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r>
        <w:t>Статья «ИДЕОЛОГИЯ УКРАИНСКОГО НАЦИЗМА»</w:t>
      </w:r>
      <w:r>
        <w:t xml:space="preserve"> </w:t>
      </w:r>
    </w:p>
    <w:p>
      <w:pPr>
        <w:pStyle w:val="style0"/>
        <w:rPr/>
      </w:pPr>
      <w:r>
        <w:t>«</w:t>
      </w:r>
      <w:r>
        <w:t xml:space="preserve"> Союз Православных журналистов</w:t>
      </w:r>
      <w:r>
        <w:t>»</w:t>
      </w:r>
      <w:r>
        <w:t xml:space="preserve"> от </w:t>
      </w:r>
      <w:r>
        <w:t>28 марта 2025 года</w:t>
      </w:r>
      <w:r>
        <w:t xml:space="preserve"> сообщает</w:t>
      </w:r>
      <w:r>
        <w:t xml:space="preserve">, </w:t>
      </w:r>
      <w:r>
        <w:t xml:space="preserve"> что </w:t>
      </w:r>
      <w:r>
        <w:t xml:space="preserve"> в Киево-Печерскую лавру </w:t>
      </w:r>
      <w:r>
        <w:t>прибыла комиссия из минкульта в сопровождении полиции</w:t>
      </w:r>
      <w:r>
        <w:t>. Рано утром, пока город спал, на территорию монастыря заехало несколько машин с правоохранителями, некоторые из которых были с болгарками. Они срезали и заменили замки в дверях, ведущих в Ближние пещеры, и проникли внутрь. А вскоре та же судьба постигла и Дальние пещеры. Произошел фактический захват государством одной из самых почитаемых святынь православного мира – мощей Преподобных Киево-Печерских.</w:t>
      </w:r>
    </w:p>
    <w:p>
      <w:pPr>
        <w:pStyle w:val="style0"/>
        <w:rPr/>
      </w:pPr>
      <w:r>
        <w:t xml:space="preserve">   Ж</w:t>
      </w:r>
      <w:r>
        <w:t xml:space="preserve">урнал «Фома» от </w:t>
      </w:r>
      <w:r>
        <w:t>19 августа 2025 года</w:t>
      </w:r>
      <w:r>
        <w:t xml:space="preserve"> пишет что </w:t>
      </w:r>
      <w:r>
        <w:t xml:space="preserve"> сотрудники Национального заповедника «Киево-Печерская лавра» вынесли мощи святых из Ближних пещер Свято-Успенской Киево-Печерской лавры и произвели «непонятные действия» с ними.</w:t>
      </w:r>
    </w:p>
    <w:p>
      <w:pPr>
        <w:pStyle w:val="style0"/>
        <w:rPr/>
      </w:pPr>
      <w:r>
        <w:t xml:space="preserve">    «Возле Ближних пещер происходит какое-то непонятное действие со стороны музейного персонала. Раки мощей преподобных выложены на улицы. В них производят какие-то манипуляции работники заповедника. Убираются своими руками, что-то сушат. Выглядит это дико, ужасно и пренебрежительно к нашим святым.— </w:t>
      </w:r>
      <w:r>
        <w:t xml:space="preserve">вторит и </w:t>
      </w:r>
      <w:r>
        <w:t xml:space="preserve"> телеграм-канал «Фортеця (крепость) Лавра».</w:t>
      </w:r>
    </w:p>
    <w:p>
      <w:pPr>
        <w:pStyle w:val="style0"/>
        <w:rPr/>
      </w:pPr>
      <w:r>
        <w:t xml:space="preserve">    </w:t>
      </w:r>
      <w:r>
        <w:t>Все вышеуказанные события невольно наталкивают на мысль, что происходит в головах тех, кто координирует такие действия</w:t>
      </w:r>
      <w:r>
        <w:t>?</w:t>
      </w:r>
      <w:r>
        <w:t xml:space="preserve"> Какая идеология на территории бывшей УССР, ибо называть эту территорию и то что на ней происходит сегодня государством, язык не поворачивается, поэтому используем аббревиатуру нам привычную, да и к тому же в современное время она обозначает скорее географию нежели политику и историю</w:t>
      </w:r>
      <w:r>
        <w:t xml:space="preserve">. </w:t>
      </w:r>
    </w:p>
    <w:p>
      <w:pPr>
        <w:pStyle w:val="style0"/>
        <w:rPr/>
      </w:pPr>
      <w:r>
        <w:t xml:space="preserve">   Пристальное изучение тех конструктов,  которые как паразиты опутали тело сегодня УПЦ на Украине позволило выделить четыре главных источника</w:t>
      </w:r>
      <w:r>
        <w:t>.</w:t>
      </w:r>
    </w:p>
    <w:p>
      <w:pPr>
        <w:pStyle w:val="style0"/>
        <w:rPr/>
      </w:pPr>
      <w:r>
        <w:t xml:space="preserve">    </w:t>
      </w:r>
      <w:r>
        <w:t xml:space="preserve">Во-первых это Украинская </w:t>
      </w:r>
      <w:r>
        <w:t>г</w:t>
      </w:r>
      <w:r>
        <w:t>реко-</w:t>
      </w:r>
      <w:r>
        <w:t>к</w:t>
      </w:r>
      <w:r>
        <w:t xml:space="preserve">атолическая церковь (УГКЦ), </w:t>
      </w:r>
      <w:r>
        <w:t xml:space="preserve">во вторых </w:t>
      </w:r>
      <w:r>
        <w:t>бандеровская светская идеология, которую часто переплетают  с</w:t>
      </w:r>
      <w:r>
        <w:t xml:space="preserve"> остальными тремя но я склонен выделить ее в отдельный пункт, в третьих это Украинская автокефальная православная церковь или современная ПЦУ, и в четвертых неоязычество, которое в современной Украине особенно распространилось в так называемых нацбатах типо «Азова» (организация запрещенная в РФ)</w:t>
      </w:r>
    </w:p>
    <w:p>
      <w:pPr>
        <w:pStyle w:val="style0"/>
        <w:rPr/>
      </w:pPr>
      <w:r>
        <w:t xml:space="preserve"> Сразу о</w:t>
      </w:r>
      <w:r>
        <w:t>тметим</w:t>
      </w:r>
      <w:r>
        <w:t>,</w:t>
      </w:r>
      <w:r>
        <w:t xml:space="preserve"> что подобные идеологии не имели бы места при здоровом обществе, поэтому в течении многих лет под заголовком мнимого успокоения в противопоставлении 1990х в России, украинское общество постепенно толкали в пропасть нищеты. </w:t>
      </w:r>
    </w:p>
    <w:p>
      <w:pPr>
        <w:pStyle w:val="style0"/>
        <w:rPr/>
      </w:pPr>
      <w:r>
        <w:t xml:space="preserve">    </w:t>
      </w:r>
      <w:r>
        <w:t>Украинская греко</w:t>
      </w:r>
      <w:r>
        <w:t>-</w:t>
      </w:r>
      <w:r>
        <w:t>католическая церковь, далее УГКЦ появилась на свет из связки</w:t>
      </w:r>
      <w:r>
        <w:t xml:space="preserve"> </w:t>
      </w:r>
      <w:r>
        <w:t xml:space="preserve">греко-католической церкви и идей </w:t>
      </w:r>
      <w:r>
        <w:t>«</w:t>
      </w:r>
      <w:r>
        <w:t>украинства</w:t>
      </w:r>
      <w:r>
        <w:t>»</w:t>
      </w:r>
      <w:r>
        <w:t>, которые стали набирать оборот в Галиции в конце 19 века.</w:t>
      </w:r>
      <w:r>
        <w:t xml:space="preserve"> </w:t>
      </w:r>
    </w:p>
    <w:p>
      <w:pPr>
        <w:pStyle w:val="style0"/>
        <w:rPr/>
      </w:pPr>
      <w:r>
        <w:t xml:space="preserve">    </w:t>
      </w:r>
      <w:r>
        <w:t xml:space="preserve">Греко католическая церковь в Галиции </w:t>
      </w:r>
      <w:r>
        <w:t>появляется на свет Брестским собором 1596 года</w:t>
      </w:r>
      <w:r>
        <w:t>,</w:t>
      </w:r>
      <w:r>
        <w:t xml:space="preserve"> затем  через </w:t>
      </w:r>
      <w:r>
        <w:t xml:space="preserve">поддержку светской власти Сигизмунда Третьего и </w:t>
      </w:r>
      <w:r>
        <w:t xml:space="preserve">духовный орден </w:t>
      </w:r>
      <w:r>
        <w:t>«</w:t>
      </w:r>
      <w:r>
        <w:t>Васильян</w:t>
      </w:r>
      <w:r>
        <w:t>»</w:t>
      </w:r>
      <w:r>
        <w:t xml:space="preserve">  постепенно вытесняет православие</w:t>
      </w:r>
      <w:r>
        <w:t>, причем не стесняясь в средствах.</w:t>
      </w:r>
      <w:r>
        <w:t xml:space="preserve"> Униаты придерживаются внешне православных обрядов, в крещении</w:t>
      </w:r>
      <w:r>
        <w:t>,</w:t>
      </w:r>
      <w:r>
        <w:t xml:space="preserve"> языке служб, но не отрицают «филиокве» и подчиняются и поминают Пап</w:t>
      </w:r>
      <w:r>
        <w:t>е</w:t>
      </w:r>
      <w:r>
        <w:t xml:space="preserve"> Римско</w:t>
      </w:r>
      <w:r>
        <w:t>му поминая последнего на службах</w:t>
      </w:r>
      <w:r>
        <w:t>.</w:t>
      </w:r>
      <w:r>
        <w:t xml:space="preserve"> Со стороны может показаться что «униатская» церковь несла некий компромисс православия и католичества, но это лишь при беглом взгляде. На самом деле эти земли не видели от униатов разве что костров инквизиции, а так порой доходило даже до разрывания могил непокорных священников и издевательства над их мощами. </w:t>
      </w:r>
    </w:p>
    <w:p>
      <w:pPr>
        <w:pStyle w:val="style0"/>
        <w:rPr/>
      </w:pPr>
      <w:r>
        <w:t xml:space="preserve">    </w:t>
      </w:r>
      <w:r>
        <w:t>Для ясности приведем отрывок газеты «Русский инвалид» за 13 декабря 1864 года: «</w:t>
      </w:r>
      <w:r>
        <w:t> Но что всего хуже и что составляетъ варварство и звѣрство выше вѣроятія, въ томъ же Бѣлорусскомъ Полоцкѣ тотъ же отступникъ, владыка полоцкій, чтобы досадить тамошнимъ мѣщанамъ, приказалъ вырыть недавно похороненныя подлѣ церкви христіанскія тѣла умершихъ и бросить ихъ на съѣденіе собакамъ, какъ какую падаль. О нечестіе! О невыносимая неволя!»</w:t>
      </w:r>
    </w:p>
    <w:p>
      <w:pPr>
        <w:pStyle w:val="style0"/>
        <w:rPr/>
      </w:pPr>
      <w:r>
        <w:t xml:space="preserve">    </w:t>
      </w:r>
      <w:r>
        <w:t>Неправда ли перекликается с современными плясками бесов на Киево-Печерской Лавре?</w:t>
      </w:r>
    </w:p>
    <w:p>
      <w:pPr>
        <w:pStyle w:val="style0"/>
        <w:rPr/>
      </w:pPr>
      <w:r>
        <w:t xml:space="preserve">    </w:t>
      </w:r>
      <w:r>
        <w:t xml:space="preserve">Да и мотором для создания ордена </w:t>
      </w:r>
      <w:r>
        <w:t>«</w:t>
      </w:r>
      <w:r>
        <w:t>Васильян</w:t>
      </w:r>
      <w:r>
        <w:t>»,</w:t>
      </w:r>
      <w:r>
        <w:t xml:space="preserve"> который отвечал за насаждение унии в православных монастырях, послужили иезуиты, о деятельности котор</w:t>
      </w:r>
      <w:r>
        <w:t>ых</w:t>
      </w:r>
      <w:r>
        <w:t xml:space="preserve"> легенды сложили известную поговорку «цель оправдывает средства».</w:t>
      </w:r>
    </w:p>
    <w:p>
      <w:pPr>
        <w:pStyle w:val="style0"/>
        <w:rPr/>
      </w:pPr>
      <w:r>
        <w:t xml:space="preserve">    </w:t>
      </w:r>
      <w:r>
        <w:t>Да, униаты сразу начали кренится в сторону католичества, но процессы на Правобережной Украине были остановлены возвращением этих исконно</w:t>
      </w:r>
      <w:r>
        <w:t>-</w:t>
      </w:r>
      <w:r>
        <w:t>русских земель в свою историческую праматерь в результате трех разделов Речи Посполитой, и далее получили развитие лишь в Галиции. В Галиции же особенно с возрастанием популярности идей насаждаемого украинства в конце 19 века через ряд реформ греко</w:t>
      </w:r>
      <w:r>
        <w:t>-</w:t>
      </w:r>
      <w:r>
        <w:t>католическая церковь получила прилагательное «украинская» и нового вождя Андрея Шептицкого.</w:t>
      </w:r>
    </w:p>
    <w:p>
      <w:pPr>
        <w:pStyle w:val="style0"/>
        <w:rPr/>
      </w:pPr>
      <w:r>
        <w:t xml:space="preserve">   </w:t>
      </w:r>
      <w:r>
        <w:t xml:space="preserve"> Личность Шептицкого – это личность классического </w:t>
      </w:r>
      <w:r>
        <w:t>«</w:t>
      </w:r>
      <w:r>
        <w:t>украинствующего</w:t>
      </w:r>
      <w:r>
        <w:t>»</w:t>
      </w:r>
      <w:r>
        <w:t xml:space="preserve"> лидера. Он известен сво</w:t>
      </w:r>
      <w:r>
        <w:t>и</w:t>
      </w:r>
      <w:r>
        <w:t>ми рассылками корреспонденции то Николаю Второму</w:t>
      </w:r>
      <w:r>
        <w:t>,</w:t>
      </w:r>
      <w:r>
        <w:t xml:space="preserve"> то Францу Иосифу в Первую Мировую, в зависимости от того</w:t>
      </w:r>
      <w:r>
        <w:t>,</w:t>
      </w:r>
      <w:r>
        <w:t xml:space="preserve"> кто одерживал верх в боевых действиях, а апогеем стали два письма последовательно Гитлеру и Сталину. И в первом и во втором случае лидер униатов восхищается мудрым гением вождя и выражает признательность прося поддержки в построен</w:t>
      </w:r>
      <w:r>
        <w:t>и</w:t>
      </w:r>
      <w:r>
        <w:t xml:space="preserve">и Украинской державы. </w:t>
      </w:r>
    </w:p>
    <w:p>
      <w:pPr>
        <w:pStyle w:val="style0"/>
        <w:rPr/>
      </w:pPr>
      <w:r>
        <w:t xml:space="preserve">    </w:t>
      </w:r>
      <w:r>
        <w:t>Шептицкий в период между во</w:t>
      </w:r>
      <w:r>
        <w:t>й</w:t>
      </w:r>
      <w:r>
        <w:t>нами покровительсвует ОУН (организация запрещенная в РФ), часто создавая католические «колпаки» для сокрытия молодежных пластовских лагерей где готовят будущих боевиков украинского нацизма</w:t>
      </w:r>
      <w:r>
        <w:t xml:space="preserve">. </w:t>
      </w:r>
      <w:r>
        <w:t>Так в</w:t>
      </w:r>
      <w:r>
        <w:t xml:space="preserve"> 1931 году по благословению Шептицкого был создан Украинский католический союз (УКС) Молодежные структуры Украинского католического союза возглавлял один из будущих лидеров ОУН-  Андрей Мельник</w:t>
      </w:r>
      <w:r>
        <w:t>.</w:t>
      </w:r>
    </w:p>
    <w:p>
      <w:pPr>
        <w:pStyle w:val="style0"/>
        <w:rPr/>
      </w:pPr>
      <w:r>
        <w:t xml:space="preserve">    </w:t>
      </w:r>
      <w:r>
        <w:t xml:space="preserve">30 июня 1941 года, в день оккупации немцами Львова, бандеровцы провозгласили </w:t>
      </w:r>
      <w:r>
        <w:t>«</w:t>
      </w:r>
      <w:r>
        <w:t>Украинское государство</w:t>
      </w:r>
      <w:r>
        <w:t>»</w:t>
      </w:r>
      <w:r>
        <w:t xml:space="preserve"> во главе с Ярославом Стецько. На следующий день появляется обращение к народу Шептицкого, одобрившего это провозглашение и призвавшего народ к повиновению нацист</w:t>
      </w:r>
      <w:r>
        <w:t>ам.</w:t>
      </w:r>
    </w:p>
    <w:p>
      <w:pPr>
        <w:pStyle w:val="style0"/>
        <w:rPr/>
      </w:pPr>
      <w:r>
        <w:t xml:space="preserve">    </w:t>
      </w:r>
      <w:r>
        <w:t>Инициатор создания дивизии СС «Галичина»* Владимир Кубийович получал одобрение на ее формирование также у Шептицкого.</w:t>
      </w:r>
    </w:p>
    <w:p>
      <w:pPr>
        <w:pStyle w:val="style0"/>
        <w:rPr/>
      </w:pPr>
      <w:r>
        <w:t xml:space="preserve">    </w:t>
      </w:r>
      <w:r>
        <w:t>Наследником митрополичьей кафедры, всех титулов и миссии Шептицкого стал Иосиф Слипый, которому предстояло окормлять униатскую эмиграцию, униатов в подполье, а затем запустить новый виток всё того же долгоиграющего украинского «антимоскальства».</w:t>
      </w:r>
    </w:p>
    <w:p>
      <w:pPr>
        <w:pStyle w:val="style0"/>
        <w:rPr/>
      </w:pPr>
      <w:r>
        <w:t xml:space="preserve">   </w:t>
      </w:r>
      <w:r>
        <w:t>В 1945 году Львовский собор запретил в Галиции униатскую церковь</w:t>
      </w:r>
      <w:r>
        <w:t xml:space="preserve">, и до 1989 года она пребывала в «экзиле» в Канаде. </w:t>
      </w:r>
      <w:r>
        <w:t>УГКЦ было возрождено с подачи Горбачева в конце 80х и сразу показала свой неонацистский нрав, в открытую захватывая православные храмы</w:t>
      </w:r>
      <w:r>
        <w:t xml:space="preserve">. В этом отличился и недавно нашпигованный по полной свинцом Андрей Порубий, который весьма благоволил к униатству. </w:t>
      </w:r>
    </w:p>
    <w:p>
      <w:pPr>
        <w:pStyle w:val="style0"/>
        <w:rPr/>
      </w:pPr>
      <w:r>
        <w:t xml:space="preserve">   </w:t>
      </w:r>
      <w:r>
        <w:t xml:space="preserve">Сегодня в зоне СВО приходы грекокатолической церкви после 2022 года, по сути, стали узлами связи для диверсантов, местом хранения и передачи оружия и взрывчатки. </w:t>
      </w:r>
    </w:p>
    <w:p>
      <w:pPr>
        <w:pStyle w:val="style0"/>
        <w:rPr/>
      </w:pPr>
      <w:r>
        <w:t xml:space="preserve">    </w:t>
      </w:r>
      <w:r>
        <w:t>До вооруженного переворота на Украине грекокатолическая церковь практически не влияла на ситуацию в стране</w:t>
      </w:r>
      <w:r>
        <w:t>, и</w:t>
      </w:r>
      <w:r>
        <w:t xml:space="preserve">менно ее пасторы оказались в лидерах Майдана. </w:t>
      </w:r>
    </w:p>
    <w:p>
      <w:pPr>
        <w:pStyle w:val="style0"/>
        <w:rPr/>
      </w:pPr>
      <w:r>
        <w:t xml:space="preserve">   </w:t>
      </w:r>
      <w:r>
        <w:t xml:space="preserve">"Наиболее радикальные бандеровцы, наиболее оторванные изначально в новейшей истории, даже не с 2022 года, не с 2014 года, они все имели отношение именно к униатам. Будь то Парубий, будь то Тягнибок, будь то масса других персонажей", – пояснил председатель комиссии общественной палаты РФ по вопросам суверенитета Владимир Рогов. Кстати одна из версий убийства Парубия – борьба за финансы между </w:t>
      </w:r>
      <w:r>
        <w:t>«</w:t>
      </w:r>
      <w:r>
        <w:t>азовским движением</w:t>
      </w:r>
      <w:r>
        <w:t xml:space="preserve">», </w:t>
      </w:r>
      <w:r>
        <w:t>которая как мы знаем под идеологией неоязычества</w:t>
      </w:r>
      <w:r>
        <w:t>,</w:t>
      </w:r>
      <w:r>
        <w:t xml:space="preserve"> и сторонников грекокатоликов.</w:t>
      </w:r>
    </w:p>
    <w:p>
      <w:pPr>
        <w:pStyle w:val="style0"/>
        <w:rPr/>
      </w:pPr>
      <w:r>
        <w:t xml:space="preserve">    </w:t>
      </w:r>
      <w:r>
        <w:t>Второй столп - светская и</w:t>
      </w:r>
      <w:r>
        <w:t xml:space="preserve">деология украинского нацизма как общенациональная идея, </w:t>
      </w:r>
      <w:r>
        <w:t xml:space="preserve">прослеживается </w:t>
      </w:r>
      <w:r>
        <w:t xml:space="preserve">с </w:t>
      </w:r>
      <w:r>
        <w:t>«</w:t>
      </w:r>
      <w:r>
        <w:t>десяти заповедей</w:t>
      </w:r>
      <w:r>
        <w:t xml:space="preserve"> украинца»</w:t>
      </w:r>
      <w:r>
        <w:t xml:space="preserve"> Николая Михновского, лидера украинской народной партии, первой</w:t>
      </w:r>
      <w:r>
        <w:t xml:space="preserve">, </w:t>
      </w:r>
      <w:r>
        <w:t>националистической по духу, основан</w:t>
      </w:r>
      <w:r>
        <w:t>н</w:t>
      </w:r>
      <w:r>
        <w:t>ой в 1902 год</w:t>
      </w:r>
      <w:r>
        <w:t>. Да, они пока не называются «Декалогом»</w:t>
      </w:r>
      <w:r>
        <w:t xml:space="preserve">, который </w:t>
      </w:r>
      <w:r>
        <w:t>будет сформулирован в конце 20х</w:t>
      </w:r>
      <w:r>
        <w:t xml:space="preserve"> Степаном Ленкавским</w:t>
      </w:r>
      <w:r>
        <w:t xml:space="preserve"> </w:t>
      </w:r>
      <w:r>
        <w:t xml:space="preserve">и пока </w:t>
      </w:r>
      <w:r>
        <w:t>еще в этих десяти заповедях как в любой программе социалистических партий начал</w:t>
      </w:r>
      <w:r>
        <w:t>а</w:t>
      </w:r>
      <w:r>
        <w:t xml:space="preserve"> 20 века основной вопрос – социальный, но Михновский добавляет к социальному национальный </w:t>
      </w:r>
      <w:r>
        <w:t xml:space="preserve">и </w:t>
      </w:r>
      <w:r>
        <w:t>причем в самом широком смысле слова</w:t>
      </w:r>
      <w:r>
        <w:t xml:space="preserve">. Он представляет будущую </w:t>
      </w:r>
      <w:r>
        <w:t>наци</w:t>
      </w:r>
      <w:r>
        <w:t>ю</w:t>
      </w:r>
      <w:r>
        <w:t xml:space="preserve"> украинцев как наци</w:t>
      </w:r>
      <w:r>
        <w:t>ю</w:t>
      </w:r>
      <w:r>
        <w:t xml:space="preserve"> угнетенн</w:t>
      </w:r>
      <w:r>
        <w:t xml:space="preserve">ую ляхами, москалями, жидами и многими другими. </w:t>
      </w:r>
    </w:p>
    <w:p>
      <w:pPr>
        <w:pStyle w:val="style0"/>
        <w:rPr/>
      </w:pPr>
      <w:r>
        <w:t xml:space="preserve">    </w:t>
      </w:r>
      <w:r>
        <w:t>«</w:t>
      </w:r>
      <w:r>
        <w:t>Декалог</w:t>
      </w:r>
      <w:r>
        <w:t>»</w:t>
      </w:r>
      <w:r>
        <w:t xml:space="preserve"> же Степана Ленкавского датируемый 1929</w:t>
      </w:r>
      <w:r>
        <w:t xml:space="preserve"> годом</w:t>
      </w:r>
      <w:r>
        <w:t>,</w:t>
      </w:r>
      <w:r>
        <w:t xml:space="preserve"> создавался в несколько других условиях. Что же кар</w:t>
      </w:r>
      <w:r>
        <w:t>д</w:t>
      </w:r>
      <w:r>
        <w:t>инально изменилось на политической карте за 25 лет</w:t>
      </w:r>
      <w:r>
        <w:t>?</w:t>
      </w:r>
      <w:r>
        <w:t xml:space="preserve"> Появилось государство</w:t>
      </w:r>
      <w:r>
        <w:t>,</w:t>
      </w:r>
      <w:r>
        <w:t xml:space="preserve"> которое внешне провозгласило социальное равенство </w:t>
      </w:r>
      <w:r>
        <w:t xml:space="preserve">- </w:t>
      </w:r>
      <w:r>
        <w:t>СССР, и следовательно</w:t>
      </w:r>
      <w:r>
        <w:t>,</w:t>
      </w:r>
      <w:r>
        <w:t xml:space="preserve"> надо было открещиваться от того</w:t>
      </w:r>
      <w:r>
        <w:t>,</w:t>
      </w:r>
      <w:r>
        <w:t xml:space="preserve"> что главная тема украинских националистических партий – вопрос социальный. Хочешь равенства – поезжай в СССР, как кстати сделал создатель украинской истории Михаил Грушевский, получивший в том же 1929 году звание академика в Киеве. </w:t>
      </w:r>
    </w:p>
    <w:p>
      <w:pPr>
        <w:pStyle w:val="style0"/>
        <w:rPr/>
      </w:pPr>
      <w:r>
        <w:t xml:space="preserve">   Надо было менять конструкт, но на что? И вот именно в это время украинский нацизм делает шаг в сторону сакрализации политики. Термин </w:t>
      </w:r>
      <w:r>
        <w:t>с</w:t>
      </w:r>
      <w:r>
        <w:t xml:space="preserve">акрализация политики ввел </w:t>
      </w:r>
      <w:r>
        <w:t>итальянски</w:t>
      </w:r>
      <w:r>
        <w:t>й</w:t>
      </w:r>
      <w:r>
        <w:t xml:space="preserve"> историк, профессор Римского университета Ла Сапиенца</w:t>
      </w:r>
      <w:r>
        <w:t xml:space="preserve"> Эмилио Джентеле в середине 1990х. </w:t>
      </w:r>
      <w:r>
        <w:t>Сакрализация политики, по Джентиле, проявляется, когда некий политический организм (нация, раса, класс, партия) преображается в сакральную сущность, становясь неоспоримым и неприкосновенным</w:t>
      </w:r>
      <w:r>
        <w:t xml:space="preserve">. </w:t>
      </w:r>
    </w:p>
    <w:p>
      <w:pPr>
        <w:pStyle w:val="style0"/>
        <w:rPr/>
      </w:pPr>
      <w:r>
        <w:t xml:space="preserve">   Иными словами в конце 20х под влиянием теоретиков французского интегрального национализма Морраса и итальянского фашизма укра</w:t>
      </w:r>
      <w:r>
        <w:t>ин</w:t>
      </w:r>
      <w:r>
        <w:t>ский нацизм перешел на сторону мистики, что выразилось в работах его г</w:t>
      </w:r>
      <w:r>
        <w:t>лав</w:t>
      </w:r>
      <w:r>
        <w:t xml:space="preserve">ных идеологов  – Дмитро Донцова в работе Национализм (1926) и </w:t>
      </w:r>
      <w:r>
        <w:t>«</w:t>
      </w:r>
      <w:r>
        <w:t>Декалога</w:t>
      </w:r>
      <w:r>
        <w:t>»</w:t>
      </w:r>
      <w:r>
        <w:t xml:space="preserve"> украинского националиста Степана Ленкавского (1929). </w:t>
      </w:r>
      <w:r>
        <w:t xml:space="preserve">В отличии от Десяти заповедей Михновского </w:t>
      </w:r>
      <w:r>
        <w:t>«</w:t>
      </w:r>
      <w:r>
        <w:t>Декалог</w:t>
      </w:r>
      <w:r>
        <w:t>»</w:t>
      </w:r>
      <w:r>
        <w:t xml:space="preserve"> просто брызжет националистической мистикой и призывами «отмщения за великих рыцарей». </w:t>
      </w:r>
    </w:p>
    <w:p>
      <w:pPr>
        <w:pStyle w:val="style0"/>
        <w:rPr/>
      </w:pPr>
      <w:r>
        <w:t xml:space="preserve">Труд  Донцова  откровенно делит мир на святых угнетаемых украинцев избранной Богом нации и русских, «одержимых дьяволом» (цитата Донцова). </w:t>
      </w:r>
      <w:r>
        <w:t>Якобы украинский народ — избранный, он </w:t>
      </w:r>
      <w:r>
        <w:rPr>
          <w:i/>
          <w:iCs/>
        </w:rPr>
        <w:t>«создан из той глины, из какой Господь создает избранные народы»</w:t>
      </w:r>
      <w:r>
        <w:t>. Естественное же состояние русских, заявляет Донцов в своей работе под характерным названием «Московский яд», </w:t>
      </w:r>
      <w:r>
        <w:rPr>
          <w:i/>
          <w:iCs/>
        </w:rPr>
        <w:t>«быть рабами настоящей силы</w:t>
      </w:r>
      <w:r>
        <w:t>. Донцов</w:t>
      </w:r>
      <w:r>
        <w:t xml:space="preserve"> так </w:t>
      </w:r>
      <w:r>
        <w:t xml:space="preserve"> уточняет: Сущность же этой одержимости заключается </w:t>
      </w:r>
      <w:r>
        <w:rPr>
          <w:i/>
          <w:iCs/>
        </w:rPr>
        <w:t>«в стремлении поставить человеческое на место божеского»</w:t>
      </w:r>
      <w:r>
        <w:t>.</w:t>
      </w:r>
    </w:p>
    <w:p>
      <w:pPr>
        <w:pStyle w:val="style0"/>
        <w:rPr/>
      </w:pPr>
      <w:r>
        <w:t>Таким образом, война между русскими и украинцами оказывается не только столкновением расы господ и расы рабов — оно приобретает метафизический, абсолютный характер</w:t>
      </w:r>
    </w:p>
    <w:p>
      <w:pPr>
        <w:pStyle w:val="style0"/>
        <w:rPr/>
      </w:pPr>
      <w:r>
        <w:t>В «Национализме» (экстремистский материал, распространение которого запрещено в РФ) Донцов преследовал сразу две цели: оформление концепции украинского национализма и его размежевание с умеренным украинством.</w:t>
      </w:r>
      <w:r>
        <w:t xml:space="preserve"> Таким образом тема борьбы с так называемыми «чужинцами» которая была обозначена еще Михновским принимает новый оборот. Украинцев начали делить на «свидомых»  и «несвидомых». Дальнейшее деление сего одноклеточного создания дойдет до того что оно начнет пожирать своих, что будет особенно ярко видно в борьбе </w:t>
      </w:r>
      <w:r>
        <w:t>«бан</w:t>
      </w:r>
      <w:r>
        <w:t>д</w:t>
      </w:r>
      <w:r>
        <w:t>еровцев» с «мельниковцами» накануне и в период Великой Отечественной, когда от рук</w:t>
      </w:r>
      <w:r>
        <w:t xml:space="preserve"> «своих» же полягут идеологи Сциборский, Сеник и другие.</w:t>
      </w:r>
    </w:p>
    <w:p>
      <w:pPr>
        <w:pStyle w:val="style0"/>
        <w:rPr/>
      </w:pPr>
      <w:r>
        <w:t xml:space="preserve">   Но</w:t>
      </w:r>
      <w:r>
        <w:t xml:space="preserve"> </w:t>
      </w:r>
      <w:r>
        <w:t>д</w:t>
      </w:r>
      <w:r>
        <w:t>о того</w:t>
      </w:r>
      <w:r>
        <w:t>,</w:t>
      </w:r>
      <w:r>
        <w:t xml:space="preserve"> как геройски пасть от рук более «Свидомых» Сциборский успеет написать два «труда» - «Нациократию» и конституцию «будущего» украинского государства, в которых попытается сгладить кровавый мистицизм Донцова, и назовет фашизм лишь временным средством, но по сути будет проповедовать все тот же крайний нацизм и уничтожение русских в любой государственной форме. </w:t>
      </w:r>
    </w:p>
    <w:p>
      <w:pPr>
        <w:pStyle w:val="style0"/>
        <w:rPr/>
      </w:pPr>
      <w:r>
        <w:t>Особая пагубность Москвы, по Сциборскому, заключается в «московском мессианстве», якобы являющимся «инстинктом носителей московской культуры» и ядром ее «патологической» духовности.</w:t>
      </w:r>
      <w:r>
        <w:t xml:space="preserve"> </w:t>
      </w:r>
      <w:r>
        <w:t>Сциборский прекрасно понимает, что русскому мессианству нужно противопоставить нечто соразмерное по идейной мощи</w:t>
      </w:r>
      <w:r>
        <w:t xml:space="preserve">. </w:t>
      </w:r>
    </w:p>
    <w:p>
      <w:pPr>
        <w:pStyle w:val="style0"/>
        <w:rPr/>
      </w:pPr>
      <w:r>
        <w:t xml:space="preserve">  </w:t>
      </w:r>
      <w:r>
        <w:t>Характерно, что уже после Второй мировой войны, в эмиграции, националист И. Лысяк-Рудницкий развивал идею об украинском мессиан</w:t>
      </w:r>
      <w:r>
        <w:t xml:space="preserve">стве </w:t>
      </w:r>
      <w:r>
        <w:t xml:space="preserve">. Лысяк-Рудницкий понимает украинское мессианство как некое «гармоничное соединение восточных и западных культурных основ» При этом Лысяк-Рудницкий утверждал, что московское и польское мессианство — это краденое украинское мессианство. </w:t>
      </w:r>
    </w:p>
    <w:p>
      <w:pPr>
        <w:pStyle w:val="style0"/>
        <w:rPr/>
      </w:pPr>
      <w:r>
        <w:t>Иван</w:t>
      </w:r>
      <w:r>
        <w:t xml:space="preserve"> </w:t>
      </w:r>
      <w:r>
        <w:t>Лысяка- Рудницк</w:t>
      </w:r>
      <w:r>
        <w:t>ий писал</w:t>
      </w:r>
      <w:r>
        <w:t xml:space="preserve"> в статье «Национализм»:</w:t>
      </w:r>
    </w:p>
    <w:p>
      <w:pPr>
        <w:pStyle w:val="style0"/>
        <w:rPr/>
      </w:pPr>
      <w:r>
        <w:rPr>
          <w:i/>
          <w:iCs/>
        </w:rPr>
        <w:t>Ближайших родственников украинского национализма следует искать не столько в немецком нацизме или итальянском фашизме — продуктах ин</w:t>
      </w:r>
      <w:r>
        <w:rPr>
          <w:i/>
          <w:iCs/>
        </w:rPr>
        <w:t/>
      </w:r>
      <w:r>
        <w:rPr>
          <w:i/>
          <w:iCs/>
        </w:rPr>
        <w:t>дустриальных и урбанизированных сообществ, сколько среди партий этого типа у аграрных, отсталых в экономическом отношении народов Восточной Европы: хорватских усташей, румынской Железной гвардии, словацких глинковцев</w:t>
      </w:r>
      <w:r>
        <w:t>.</w:t>
      </w:r>
    </w:p>
    <w:p>
      <w:pPr>
        <w:pStyle w:val="style0"/>
        <w:rPr/>
      </w:pPr>
      <w:r>
        <w:t xml:space="preserve">Таким образом идет прямая связь с хорватскими усташами, которые как и палачи УПА работали в сербских лагерях по принципу на серба пули жалко устраивая соревнования по убийству ножом «сербосеком» за ночь. </w:t>
      </w:r>
    </w:p>
    <w:p>
      <w:pPr>
        <w:pStyle w:val="style0"/>
        <w:rPr/>
      </w:pPr>
      <w:r>
        <w:t>Однако украинский интегральный национализм не превратился в по</w:t>
      </w:r>
      <w:r>
        <w:t/>
      </w:r>
      <w:r>
        <w:t>литическую религию в той же мере, как итальянский фашизм или немецкий национал-социализм, не говоря уже о советском коммунизме. Не имела ОУН и явного лидера претендующего на должность фюрера. Кстати именно этот момент и обьясняет сейчас популярность Степана Бандеры и его раскрутку. Проще обращаться к мертвым</w:t>
      </w:r>
      <w:r>
        <w:t>,</w:t>
      </w:r>
      <w:r>
        <w:t xml:space="preserve"> ввиду отсутствия живых лидеров. Таким образом мы видим что со временем эта проблема не решилась и ныне нельзя назвать явного фюрера неонацизма.</w:t>
      </w:r>
    </w:p>
    <w:p>
      <w:pPr>
        <w:pStyle w:val="style0"/>
        <w:rPr/>
      </w:pPr>
      <w:r>
        <w:t xml:space="preserve">Местом рождения современного украинского </w:t>
      </w:r>
      <w:r>
        <w:t xml:space="preserve">крайнего </w:t>
      </w:r>
      <w:r>
        <w:t>расового национализма является Львов, Именно т</w:t>
      </w:r>
      <w:r>
        <w:t>ам в 1988  году</w:t>
      </w:r>
      <w:r>
        <w:t xml:space="preserve"> основана Организация украинской молодёжи «Наследие» (укр. «Спадщина») Первым программным документом организации стал «Декалог украинского националиста», переданный им бывшим бойцом УПА Михаилом Ветром</w:t>
      </w:r>
      <w:r>
        <w:t xml:space="preserve">. </w:t>
      </w:r>
    </w:p>
    <w:p>
      <w:pPr>
        <w:pStyle w:val="style0"/>
        <w:rPr/>
      </w:pPr>
      <w:r>
        <w:t xml:space="preserve">   </w:t>
      </w:r>
      <w:r>
        <w:t>В 1991 году «Спадщина» вошла в состав Социал-национальной партии Украины,  позже переименованной во Всеукраинское объединение «Свобода» — главное движение украинского интегрального национализма.</w:t>
      </w:r>
    </w:p>
    <w:p>
      <w:pPr>
        <w:pStyle w:val="style0"/>
        <w:rPr/>
      </w:pPr>
      <w:r>
        <w:t xml:space="preserve">   </w:t>
      </w:r>
      <w:r>
        <w:t>Другим столпом СНПУ стала организация «Варта Руху» (т. е. «Охрана Руха» (движения))</w:t>
      </w:r>
      <w:r>
        <w:t xml:space="preserve">с лидерами – психологами по образованию </w:t>
      </w:r>
      <w:r>
        <w:t>Юри</w:t>
      </w:r>
      <w:r>
        <w:t>ем</w:t>
      </w:r>
      <w:r>
        <w:t xml:space="preserve"> Криворучко и Ярослав</w:t>
      </w:r>
      <w:r>
        <w:t>ом</w:t>
      </w:r>
      <w:r>
        <w:t xml:space="preserve"> Андрушкив</w:t>
      </w:r>
      <w:r>
        <w:t>ом</w:t>
      </w:r>
      <w:r>
        <w:t>.</w:t>
      </w:r>
    </w:p>
    <w:p>
      <w:pPr>
        <w:pStyle w:val="style0"/>
        <w:rPr/>
      </w:pPr>
      <w:r>
        <w:t xml:space="preserve">   </w:t>
      </w:r>
      <w:r>
        <w:t>Союзом независимой украинской молодёжи,  благодаря инфильтрации украинских националистов во главе с Дмитрием Корчинским, стал организационной основой небезызвестной УНА-УНСО</w:t>
      </w:r>
      <w:r>
        <w:t xml:space="preserve">. </w:t>
      </w:r>
    </w:p>
    <w:p>
      <w:pPr>
        <w:pStyle w:val="style0"/>
        <w:rPr/>
      </w:pPr>
      <w:r>
        <w:t xml:space="preserve">    </w:t>
      </w:r>
      <w:r>
        <w:t>Кроме УНА-УНСО был</w:t>
      </w:r>
      <w:r>
        <w:t>о</w:t>
      </w:r>
      <w:r>
        <w:t xml:space="preserve"> Всеукраинское объединение «Тризуб», которое начинало свою деятельность как силовое крыло при «Конгрессе украинских националистов», </w:t>
      </w:r>
      <w:r>
        <w:t xml:space="preserve">который кстати возглавлялся долгое время правоприемницей эмиграциии ОУН(Б) пани Ярославой Стецько. </w:t>
      </w:r>
    </w:p>
    <w:p>
      <w:pPr>
        <w:pStyle w:val="style0"/>
        <w:rPr/>
      </w:pPr>
      <w:r>
        <w:t xml:space="preserve">    </w:t>
      </w:r>
      <w:r>
        <w:t>Именно эти организации вышли как Правый сектор на Майдан в 2014 году, потому что да</w:t>
      </w:r>
      <w:r>
        <w:t>ж</w:t>
      </w:r>
      <w:r>
        <w:t xml:space="preserve">е не смотря на градус национализма на </w:t>
      </w:r>
      <w:r>
        <w:t>У</w:t>
      </w:r>
      <w:r>
        <w:t xml:space="preserve">краине 21 века они так и не смогли прийти к власти официально через выборы. </w:t>
      </w:r>
    </w:p>
    <w:p>
      <w:pPr>
        <w:pStyle w:val="style0"/>
        <w:rPr/>
      </w:pPr>
      <w:r>
        <w:t xml:space="preserve">  </w:t>
      </w:r>
      <w:r>
        <w:t>Если подвести итог первой части нашего повествования</w:t>
      </w:r>
      <w:r>
        <w:t xml:space="preserve">, </w:t>
      </w:r>
      <w:r>
        <w:t>то знаменатель очевиден – и УГКЦ и Украинский светский нацизм создав</w:t>
      </w:r>
      <w:r>
        <w:t xml:space="preserve">ались </w:t>
      </w:r>
      <w:r>
        <w:t xml:space="preserve"> с</w:t>
      </w:r>
      <w:r>
        <w:t xml:space="preserve">о схожими </w:t>
      </w:r>
      <w:r>
        <w:t>це</w:t>
      </w:r>
      <w:r>
        <w:t>лями</w:t>
      </w:r>
      <w:r>
        <w:t xml:space="preserve"> – растащить разрушить все что связано с русским православным миром в первом случае и </w:t>
      </w:r>
      <w:r>
        <w:t xml:space="preserve">просто </w:t>
      </w:r>
      <w:r>
        <w:t>со всем русским во втором. Причем самое страшное</w:t>
      </w:r>
      <w:r>
        <w:t>,</w:t>
      </w:r>
      <w:r>
        <w:t xml:space="preserve"> что даже своих сторонников украинский нацизм кидал в горнило жертвы  только </w:t>
      </w:r>
      <w:r>
        <w:t xml:space="preserve">ради идей </w:t>
      </w:r>
      <w:r>
        <w:t>разрушения России , ничего не неся созидательного и в этом страшная разрушительная сила этой идеологии и тупиковость современной Украины как государства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 xml:space="preserve">   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 xml:space="preserve"> </w:t>
      </w:r>
    </w:p>
    <w:p>
      <w:pPr>
        <w:pStyle w:val="style0"/>
        <w:rPr/>
      </w:pPr>
    </w:p>
    <w:p>
      <w:pPr>
        <w:pStyle w:val="style0"/>
        <w:rPr/>
      </w:pPr>
    </w:p>
    <w:sectPr>
      <w:pgSz w:w="11906" w:h="16838" w:orient="portrait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cc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004020304"/>
    <w:charset w:val="cc"/>
    <w:family w:val="roman"/>
    <w:pitch w:val="variable"/>
    <w:sig w:usb0="E0002EFF" w:usb1="C000785B" w:usb2="00000009" w:usb3="00000000" w:csb0="000001FF" w:csb1="00000000"/>
  </w:font>
  <w:font w:name="Calibri Light">
    <w:altName w:val="Calibri Light"/>
    <w:panose1 w:val="020f0302020002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kern w:val="2"/>
        <w:sz w:val="22"/>
        <w:szCs w:val="22"/>
        <w:lang w:val="ru-RU" w:bidi="ar-SA" w:eastAsia="en-US"/>
        <w14:ligatures xmlns:w14="http://schemas.microsoft.com/office/word/2010/wordml" w14:val="standardContextual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basedOn w:val="style0"/>
    <w:next w:val="style0"/>
    <w:link w:val="style4097"/>
    <w:qFormat/>
    <w:uiPriority w:val="9"/>
    <w:pPr>
      <w:keepNext/>
      <w:keepLines/>
      <w:spacing w:before="360" w:after="80"/>
      <w:outlineLvl w:val="0"/>
    </w:pPr>
    <w:rPr>
      <w:rFonts w:ascii="Calibri Light" w:cs="宋体" w:eastAsia="宋体" w:hAnsi="Calibri Light"/>
      <w:color w:val="2f5496"/>
      <w:sz w:val="40"/>
      <w:szCs w:val="40"/>
    </w:rPr>
  </w:style>
  <w:style w:type="paragraph" w:styleId="style2">
    <w:name w:val="heading 2"/>
    <w:basedOn w:val="style0"/>
    <w:next w:val="style0"/>
    <w:link w:val="style4098"/>
    <w:qFormat/>
    <w:uiPriority w:val="9"/>
    <w:pPr>
      <w:keepNext/>
      <w:keepLines/>
      <w:spacing w:before="160" w:after="80"/>
      <w:outlineLvl w:val="1"/>
    </w:pPr>
    <w:rPr>
      <w:rFonts w:ascii="Calibri Light" w:cs="宋体" w:eastAsia="宋体" w:hAnsi="Calibri Light"/>
      <w:color w:val="2f5496"/>
      <w:sz w:val="32"/>
      <w:szCs w:val="32"/>
    </w:rPr>
  </w:style>
  <w:style w:type="paragraph" w:styleId="style3">
    <w:name w:val="heading 3"/>
    <w:basedOn w:val="style0"/>
    <w:next w:val="style0"/>
    <w:link w:val="style4099"/>
    <w:qFormat/>
    <w:uiPriority w:val="9"/>
    <w:pPr>
      <w:keepNext/>
      <w:keepLines/>
      <w:spacing w:before="160" w:after="80"/>
      <w:outlineLvl w:val="2"/>
    </w:pPr>
    <w:rPr>
      <w:rFonts w:cs="宋体" w:eastAsia="宋体"/>
      <w:color w:val="2f5496"/>
      <w:sz w:val="28"/>
      <w:szCs w:val="28"/>
    </w:rPr>
  </w:style>
  <w:style w:type="paragraph" w:styleId="style4">
    <w:name w:val="heading 4"/>
    <w:basedOn w:val="style0"/>
    <w:next w:val="style0"/>
    <w:link w:val="style4100"/>
    <w:qFormat/>
    <w:uiPriority w:val="9"/>
    <w:pPr>
      <w:keepNext/>
      <w:keepLines/>
      <w:spacing w:before="80" w:after="40"/>
      <w:outlineLvl w:val="3"/>
    </w:pPr>
    <w:rPr>
      <w:rFonts w:cs="宋体" w:eastAsia="宋体"/>
      <w:i/>
      <w:iCs/>
      <w:color w:val="2f5496"/>
    </w:rPr>
  </w:style>
  <w:style w:type="paragraph" w:styleId="style5">
    <w:name w:val="heading 5"/>
    <w:basedOn w:val="style0"/>
    <w:next w:val="style0"/>
    <w:link w:val="style4101"/>
    <w:qFormat/>
    <w:uiPriority w:val="9"/>
    <w:pPr>
      <w:keepNext/>
      <w:keepLines/>
      <w:spacing w:before="80" w:after="40"/>
      <w:outlineLvl w:val="4"/>
    </w:pPr>
    <w:rPr>
      <w:rFonts w:cs="宋体" w:eastAsia="宋体"/>
      <w:color w:val="2f5496"/>
    </w:rPr>
  </w:style>
  <w:style w:type="paragraph" w:styleId="style6">
    <w:name w:val="heading 6"/>
    <w:basedOn w:val="style0"/>
    <w:next w:val="style0"/>
    <w:link w:val="style4102"/>
    <w:qFormat/>
    <w:uiPriority w:val="9"/>
    <w:pPr>
      <w:keepNext/>
      <w:keepLines/>
      <w:spacing w:before="40" w:after="0"/>
      <w:outlineLvl w:val="5"/>
    </w:pPr>
    <w:rPr>
      <w:rFonts w:cs="宋体" w:eastAsia="宋体"/>
      <w:i/>
      <w:iCs/>
      <w:color w:val="595959"/>
    </w:rPr>
  </w:style>
  <w:style w:type="paragraph" w:styleId="style7">
    <w:name w:val="heading 7"/>
    <w:basedOn w:val="style0"/>
    <w:next w:val="style0"/>
    <w:link w:val="style4103"/>
    <w:qFormat/>
    <w:uiPriority w:val="9"/>
    <w:pPr>
      <w:keepNext/>
      <w:keepLines/>
      <w:spacing w:before="40" w:after="0"/>
      <w:outlineLvl w:val="6"/>
    </w:pPr>
    <w:rPr>
      <w:rFonts w:cs="宋体" w:eastAsia="宋体"/>
      <w:color w:val="595959"/>
    </w:rPr>
  </w:style>
  <w:style w:type="paragraph" w:styleId="style8">
    <w:name w:val="heading 8"/>
    <w:basedOn w:val="style0"/>
    <w:next w:val="style0"/>
    <w:link w:val="style4104"/>
    <w:qFormat/>
    <w:uiPriority w:val="9"/>
    <w:pPr>
      <w:keepNext/>
      <w:keepLines/>
      <w:spacing w:after="0"/>
      <w:outlineLvl w:val="7"/>
    </w:pPr>
    <w:rPr>
      <w:rFonts w:cs="宋体" w:eastAsia="宋体"/>
      <w:i/>
      <w:iCs/>
      <w:color w:val="272727"/>
    </w:rPr>
  </w:style>
  <w:style w:type="paragraph" w:styleId="style9">
    <w:name w:val="heading 9"/>
    <w:basedOn w:val="style0"/>
    <w:next w:val="style0"/>
    <w:link w:val="style4105"/>
    <w:qFormat/>
    <w:uiPriority w:val="9"/>
    <w:pPr>
      <w:keepNext/>
      <w:keepLines/>
      <w:spacing w:after="0"/>
      <w:outlineLvl w:val="8"/>
    </w:pPr>
    <w:rPr>
      <w:rFonts w:cs="宋体" w:eastAsia="宋体"/>
      <w:color w:val="272727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Заголовок 1 Знак"/>
    <w:basedOn w:val="style65"/>
    <w:next w:val="style4097"/>
    <w:link w:val="style1"/>
    <w:uiPriority w:val="9"/>
    <w:rPr>
      <w:rFonts w:ascii="Calibri Light" w:cs="宋体" w:eastAsia="宋体" w:hAnsi="Calibri Light"/>
      <w:color w:val="2f5496"/>
      <w:sz w:val="40"/>
      <w:szCs w:val="40"/>
    </w:rPr>
  </w:style>
  <w:style w:type="character" w:customStyle="1" w:styleId="style4098">
    <w:name w:val="Заголовок 2 Знак"/>
    <w:basedOn w:val="style65"/>
    <w:next w:val="style4098"/>
    <w:link w:val="style2"/>
    <w:uiPriority w:val="9"/>
    <w:rPr>
      <w:rFonts w:ascii="Calibri Light" w:cs="宋体" w:eastAsia="宋体" w:hAnsi="Calibri Light"/>
      <w:color w:val="2f5496"/>
      <w:sz w:val="32"/>
      <w:szCs w:val="32"/>
    </w:rPr>
  </w:style>
  <w:style w:type="character" w:customStyle="1" w:styleId="style4099">
    <w:name w:val="Заголовок 3 Знак"/>
    <w:basedOn w:val="style65"/>
    <w:next w:val="style4099"/>
    <w:link w:val="style3"/>
    <w:uiPriority w:val="9"/>
    <w:rPr>
      <w:rFonts w:cs="宋体" w:eastAsia="宋体"/>
      <w:color w:val="2f5496"/>
      <w:sz w:val="28"/>
      <w:szCs w:val="28"/>
    </w:rPr>
  </w:style>
  <w:style w:type="character" w:customStyle="1" w:styleId="style4100">
    <w:name w:val="Заголовок 4 Знак"/>
    <w:basedOn w:val="style65"/>
    <w:next w:val="style4100"/>
    <w:link w:val="style4"/>
    <w:uiPriority w:val="9"/>
    <w:rPr>
      <w:rFonts w:cs="宋体" w:eastAsia="宋体"/>
      <w:i/>
      <w:iCs/>
      <w:color w:val="2f5496"/>
    </w:rPr>
  </w:style>
  <w:style w:type="character" w:customStyle="1" w:styleId="style4101">
    <w:name w:val="Заголовок 5 Знак"/>
    <w:basedOn w:val="style65"/>
    <w:next w:val="style4101"/>
    <w:link w:val="style5"/>
    <w:uiPriority w:val="9"/>
    <w:rPr>
      <w:rFonts w:cs="宋体" w:eastAsia="宋体"/>
      <w:color w:val="2f5496"/>
    </w:rPr>
  </w:style>
  <w:style w:type="character" w:customStyle="1" w:styleId="style4102">
    <w:name w:val="Заголовок 6 Знак"/>
    <w:basedOn w:val="style65"/>
    <w:next w:val="style4102"/>
    <w:link w:val="style6"/>
    <w:uiPriority w:val="9"/>
    <w:rPr>
      <w:rFonts w:cs="宋体" w:eastAsia="宋体"/>
      <w:i/>
      <w:iCs/>
      <w:color w:val="595959"/>
    </w:rPr>
  </w:style>
  <w:style w:type="character" w:customStyle="1" w:styleId="style4103">
    <w:name w:val="Заголовок 7 Знак"/>
    <w:basedOn w:val="style65"/>
    <w:next w:val="style4103"/>
    <w:link w:val="style7"/>
    <w:uiPriority w:val="9"/>
    <w:rPr>
      <w:rFonts w:cs="宋体" w:eastAsia="宋体"/>
      <w:color w:val="595959"/>
    </w:rPr>
  </w:style>
  <w:style w:type="character" w:customStyle="1" w:styleId="style4104">
    <w:name w:val="Заголовок 8 Знак"/>
    <w:basedOn w:val="style65"/>
    <w:next w:val="style4104"/>
    <w:link w:val="style8"/>
    <w:uiPriority w:val="9"/>
    <w:rPr>
      <w:rFonts w:cs="宋体" w:eastAsia="宋体"/>
      <w:i/>
      <w:iCs/>
      <w:color w:val="272727"/>
    </w:rPr>
  </w:style>
  <w:style w:type="character" w:customStyle="1" w:styleId="style4105">
    <w:name w:val="Заголовок 9 Знак"/>
    <w:basedOn w:val="style65"/>
    <w:next w:val="style4105"/>
    <w:link w:val="style9"/>
    <w:uiPriority w:val="9"/>
    <w:rPr>
      <w:rFonts w:cs="宋体" w:eastAsia="宋体"/>
      <w:color w:val="272727"/>
    </w:rPr>
  </w:style>
  <w:style w:type="paragraph" w:styleId="style62">
    <w:name w:val="Title"/>
    <w:basedOn w:val="style0"/>
    <w:next w:val="style0"/>
    <w:link w:val="style4106"/>
    <w:qFormat/>
    <w:uiPriority w:val="10"/>
    <w:pPr>
      <w:spacing w:after="80" w:lineRule="auto" w:line="240"/>
      <w:contextualSpacing/>
    </w:pPr>
    <w:rPr>
      <w:rFonts w:ascii="Calibri Light" w:cs="宋体" w:eastAsia="宋体" w:hAnsi="Calibri Light"/>
      <w:spacing w:val="-10"/>
      <w:kern w:val="28"/>
      <w:sz w:val="56"/>
      <w:szCs w:val="56"/>
    </w:rPr>
  </w:style>
  <w:style w:type="character" w:customStyle="1" w:styleId="style4106">
    <w:name w:val="Заголовок Знак"/>
    <w:basedOn w:val="style65"/>
    <w:next w:val="style4106"/>
    <w:link w:val="style62"/>
    <w:uiPriority w:val="10"/>
    <w:rPr>
      <w:rFonts w:ascii="Calibri Light" w:cs="宋体" w:eastAsia="宋体" w:hAnsi="Calibri Light"/>
      <w:spacing w:val="-10"/>
      <w:kern w:val="28"/>
      <w:sz w:val="56"/>
      <w:szCs w:val="56"/>
    </w:rPr>
  </w:style>
  <w:style w:type="paragraph" w:styleId="style74">
    <w:name w:val="Subtitle"/>
    <w:basedOn w:val="style0"/>
    <w:next w:val="style0"/>
    <w:link w:val="style4107"/>
    <w:qFormat/>
    <w:uiPriority w:val="11"/>
    <w:pPr>
      <w:numPr>
        <w:ilvl w:val="1"/>
        <w:numId w:val="0"/>
      </w:numPr>
    </w:pPr>
    <w:rPr>
      <w:rFonts w:cs="宋体" w:eastAsia="宋体"/>
      <w:color w:val="595959"/>
      <w:spacing w:val="15"/>
      <w:sz w:val="28"/>
      <w:szCs w:val="28"/>
    </w:rPr>
  </w:style>
  <w:style w:type="character" w:customStyle="1" w:styleId="style4107">
    <w:name w:val="Подзаголовок Знак"/>
    <w:basedOn w:val="style65"/>
    <w:next w:val="style4107"/>
    <w:link w:val="style74"/>
    <w:uiPriority w:val="11"/>
    <w:rPr>
      <w:rFonts w:cs="宋体" w:eastAsia="宋体"/>
      <w:color w:val="595959"/>
      <w:spacing w:val="15"/>
      <w:sz w:val="28"/>
      <w:szCs w:val="28"/>
    </w:rPr>
  </w:style>
  <w:style w:type="paragraph" w:styleId="style180">
    <w:name w:val="Quote"/>
    <w:basedOn w:val="style0"/>
    <w:next w:val="style0"/>
    <w:link w:val="style4108"/>
    <w:qFormat/>
    <w:uiPriority w:val="29"/>
    <w:pPr>
      <w:spacing w:before="160"/>
      <w:jc w:val="center"/>
    </w:pPr>
    <w:rPr>
      <w:i/>
      <w:iCs/>
      <w:color w:val="404040"/>
    </w:rPr>
  </w:style>
  <w:style w:type="character" w:customStyle="1" w:styleId="style4108">
    <w:name w:val="Цитата 2 Знак"/>
    <w:basedOn w:val="style65"/>
    <w:next w:val="style4108"/>
    <w:link w:val="style180"/>
    <w:uiPriority w:val="29"/>
    <w:rPr>
      <w:i/>
      <w:iCs/>
      <w:color w:val="404040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character" w:styleId="style261">
    <w:name w:val="Intense Emphasis"/>
    <w:basedOn w:val="style65"/>
    <w:next w:val="style261"/>
    <w:qFormat/>
    <w:uiPriority w:val="21"/>
    <w:rPr>
      <w:i/>
      <w:iCs/>
      <w:color w:val="2f5496"/>
    </w:rPr>
  </w:style>
  <w:style w:type="paragraph" w:styleId="style181">
    <w:name w:val="Intense Quote"/>
    <w:basedOn w:val="style0"/>
    <w:next w:val="style0"/>
    <w:link w:val="style4109"/>
    <w:qFormat/>
    <w:uiPriority w:val="30"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496"/>
    </w:rPr>
  </w:style>
  <w:style w:type="character" w:customStyle="1" w:styleId="style4109">
    <w:name w:val="Выделенная цитата Знак"/>
    <w:basedOn w:val="style65"/>
    <w:next w:val="style4109"/>
    <w:link w:val="style181"/>
    <w:uiPriority w:val="30"/>
    <w:rPr>
      <w:i/>
      <w:iCs/>
      <w:color w:val="2f5496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2f5496"/>
      <w:spacing w:val="5"/>
    </w:rPr>
  </w:style>
  <w:style w:type="character" w:styleId="style85">
    <w:name w:val="Hyperlink"/>
    <w:basedOn w:val="style65"/>
    <w:next w:val="style85"/>
    <w:uiPriority w:val="99"/>
    <w:rPr>
      <w:color w:val="0563c1"/>
      <w:u w:val="single"/>
    </w:rPr>
  </w:style>
  <w:style w:type="character" w:customStyle="1" w:styleId="style4110">
    <w:name w:val="Unresolved Mention"/>
    <w:basedOn w:val="style65"/>
    <w:next w:val="style4110"/>
    <w:uiPriority w:val="99"/>
    <w:rPr>
      <w:color w:val="605e5c"/>
      <w:shd w:val="clear" w:color="auto" w:fill="e1dfdd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1934</Words>
  <Pages>5</Pages>
  <Characters>12608</Characters>
  <Application>WPS Office</Application>
  <DocSecurity>0</DocSecurity>
  <Paragraphs>55</Paragraphs>
  <ScaleCrop>false</ScaleCrop>
  <LinksUpToDate>false</LinksUpToDate>
  <CharactersWithSpaces>14672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2026-05-26T14:41:24Z</dcterms:created>
  <dc:creator>Пользователь</dc:creator>
  <lastModifiedBy>SM-S938B</lastModifiedBy>
  <dcterms:modified xsi:type="dcterms:W3CDTF">2026-05-26T14:41:24Z</dcterms:modified>
  <revision>12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8db863789fa44962af2abbd2520c5845</vt:lpwstr>
  </property>
</Properties>
</file>