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Instrument Serif" w:cs="Instrument Serif" w:eastAsia="Instrument Serif" w:hAnsi="Instrument Serif"/>
          <w:color w:val="0c3e67"/>
          <w:sz w:val="64"/>
          <w:szCs w:val="64"/>
          <w:rtl w:val="0"/>
        </w:rPr>
        <w:t xml:space="preserve">Portfolio Manager: Term Sheet</w:t>
      </w:r>
      <w:r w:rsidDel="00000000" w:rsidR="00000000" w:rsidRPr="00000000">
        <w:rPr>
          <w:rtl w:val="0"/>
        </w:rPr>
      </w:r>
    </w:p>
    <w:p w:rsidR="00000000" w:rsidDel="00000000" w:rsidP="00000000" w:rsidRDefault="00000000" w:rsidRPr="00000000" w14:paraId="00000002">
      <w:pPr>
        <w:spacing w:after="320" w:lineRule="auto"/>
        <w:rPr/>
      </w:pPr>
      <w:r w:rsidDel="00000000" w:rsidR="00000000" w:rsidRPr="00000000">
        <w:rPr>
          <w:i w:val="1"/>
          <w:iCs w:val="1"/>
          <w:color w:val="222933"/>
          <w:sz w:val="24"/>
          <w:szCs w:val="24"/>
          <w:rtl w:val="0"/>
        </w:rPr>
        <w:t xml:space="preserve">A long-term partnership between POD and the Portfolio Manager (aka Investment Advisor or IA) -</w:t>
      </w:r>
      <w:r w:rsidDel="00000000" w:rsidR="00000000" w:rsidRPr="00000000">
        <w:rPr>
          <w:rtl w:val="0"/>
        </w:rPr>
        <w:t xml:space="preserve"> </w:t>
      </w:r>
      <w:r w:rsidDel="00000000" w:rsidR="00000000" w:rsidRPr="00000000">
        <w:rPr>
          <w:i w:val="1"/>
          <w:iCs w:val="1"/>
          <w:color w:val="222933"/>
          <w:sz w:val="24"/>
          <w:szCs w:val="24"/>
          <w:rtl w:val="0"/>
        </w:rPr>
        <w:t xml:space="preserve">building and growing a Segregated Portfolio together.</w:t>
      </w:r>
      <w:r w:rsidDel="00000000" w:rsidR="00000000" w:rsidRPr="00000000">
        <w:rPr>
          <w:rtl w:val="0"/>
        </w:rPr>
      </w:r>
    </w:p>
    <w:p w:rsidR="00000000" w:rsidDel="00000000" w:rsidP="00000000" w:rsidRDefault="00000000" w:rsidRPr="00000000" w14:paraId="00000003">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At a Glance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The partnership. </w:t>
      </w:r>
      <w:r w:rsidDel="00000000" w:rsidR="00000000" w:rsidRPr="00000000">
        <w:rPr>
          <w:color w:val="222933"/>
          <w:rtl w:val="0"/>
        </w:rPr>
        <w:t xml:space="preserve">A long-term partnership between POD and the Investment Advisor (“IA”) to launch, run and grow a Segregated Portfolio (“SP”) within POD Emerging Alpha 1 Fund SPC. POD provides regulatory infrastructure, administration, distribution, and brand support, together: the “POD Platform”; the IA manages the SP’s investment strategy.</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How the structure works. </w:t>
      </w:r>
      <w:r w:rsidDel="00000000" w:rsidR="00000000" w:rsidRPr="00000000">
        <w:rPr>
          <w:color w:val="222933"/>
          <w:rtl w:val="0"/>
        </w:rPr>
        <w:t xml:space="preserve">POD owns the Fund and acts as Manager under the Investment Management Agreement (“IMA”), sub-delegating portfolio management to the IA under the Investment Advisor Agreement (“IAA”). Shareholders pay management and performance fees to the SP; under the IMA those fees flow to the Manager, and under the IAA the Manager pays the IA the IA’s share. POD’s economic role is the difference (the “Revenue Share” in §7.1).</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Partnership Period. </w:t>
      </w:r>
      <w:r w:rsidDel="00000000" w:rsidR="00000000" w:rsidRPr="00000000">
        <w:rPr>
          <w:color w:val="222933"/>
          <w:rtl w:val="0"/>
        </w:rPr>
        <w:t xml:space="preserve">5 years firm from the date of the most recent SP creation on behalf of the IA. Mutual extension by written agreement; partnership extends automatically by 2 years on each of two Distribution Milestones ($25M and $50M of POD Distributed Investment, (i.e. investment coming via POD’s Discovery platform). Scope is Competing Funds only -</w:t>
      </w:r>
      <w:r w:rsidDel="00000000" w:rsidR="00000000" w:rsidRPr="00000000">
        <w:rPr>
          <w:rtl w:val="0"/>
        </w:rPr>
        <w:t xml:space="preserve"> </w:t>
      </w:r>
      <w:r w:rsidDel="00000000" w:rsidR="00000000" w:rsidRPr="00000000">
        <w:rPr>
          <w:color w:val="222933"/>
          <w:rtl w:val="0"/>
        </w:rPr>
        <w:t xml:space="preserve">SMAs and similar bilateral mandates sit outside the partnership perimeter.</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Grandfathering. </w:t>
      </w:r>
      <w:r w:rsidDel="00000000" w:rsidR="00000000" w:rsidRPr="00000000">
        <w:rPr>
          <w:color w:val="222933"/>
          <w:rtl w:val="0"/>
        </w:rPr>
        <w:t xml:space="preserve">Pre-existing fund and platform relationships at signing are fully grandfathered (e.g., existing SMA relationships, prior fund admin platforms). The IA may continue and grow these without restriction; new fund mandates during the Partnership Period are launched within POD.</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Revenue Share. </w:t>
      </w:r>
      <w:r w:rsidDel="00000000" w:rsidR="00000000" w:rsidRPr="00000000">
        <w:rPr>
          <w:color w:val="222933"/>
          <w:rtl w:val="0"/>
        </w:rPr>
        <w:t xml:space="preserve">Tiered % of management + performance fees collected from the SP, with the rate decreasing as SP AUM grows. POD’s economic role under the IMA, taken at the Manager level not an additional charge to the IA.</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Platform Fee. </w:t>
      </w:r>
      <w:r w:rsidDel="00000000" w:rsidR="00000000" w:rsidRPr="00000000">
        <w:rPr>
          <w:color w:val="222933"/>
          <w:rtl w:val="0"/>
        </w:rPr>
        <w:t xml:space="preserve">20 basis points per annum of SP AUM, charged directly to the Fund as a Shareholder-borne expense.</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Cost transparency. </w:t>
      </w:r>
      <w:r w:rsidDel="00000000" w:rsidR="00000000" w:rsidRPr="00000000">
        <w:rPr>
          <w:color w:val="222933"/>
          <w:rtl w:val="0"/>
        </w:rPr>
        <w:t xml:space="preserve">POD negotiates wholesale pricing with operating vendors (custody, prime brokerage, KYC, audit, etc.) and passes through cost benefits to the SP at zero margin. Where vendors require minimum spend, POD absorbs the minimum so the SP only pays variable cost.</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Distribution Share. </w:t>
      </w:r>
      <w:r w:rsidDel="00000000" w:rsidR="00000000" w:rsidRPr="00000000">
        <w:rPr>
          <w:color w:val="222933"/>
          <w:rtl w:val="0"/>
        </w:rPr>
        <w:t xml:space="preserve">20% of the IA’s management + performance fees on Shareholders sourced via POD’s platform investor base (POD-Sourced Subscribers), in recognition of the distribution channel POD brings. Does not apply to investors the IA introduces (IA-Sourced Subscribers).</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Referrals. </w:t>
      </w:r>
      <w:r w:rsidDel="00000000" w:rsidR="00000000" w:rsidRPr="00000000">
        <w:rPr>
          <w:color w:val="222933"/>
          <w:rtl w:val="0"/>
        </w:rPr>
        <w:t xml:space="preserve">Stepped revenue share to the IA on investors and PMs the IA refers to POD: 20% in Year 1, 10% in Year 2.</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Brand &amp; distribution support. </w:t>
      </w:r>
      <w:r w:rsidDel="00000000" w:rsidR="00000000" w:rsidRPr="00000000">
        <w:rPr>
          <w:color w:val="222933"/>
          <w:rtl w:val="0"/>
        </w:rPr>
        <w:t xml:space="preserve">POD creates a Brand for the SP’s reporting and distribution; the IA may distribute performance commentary on third-party platforms (Telegram, X, etc.) under the Brand and within applicable regulations. The Investor Portal supports custom Shareholder reporting direct to investor inboxes.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Continuity. </w:t>
      </w:r>
      <w:r w:rsidDel="00000000" w:rsidR="00000000" w:rsidRPr="00000000">
        <w:rPr>
          <w:color w:val="222933"/>
          <w:rtl w:val="0"/>
        </w:rPr>
        <w:t xml:space="preserve">Provisions to handle Key Person events, succession, and partnership exit ensure both parties have clarity if circumstances change. Detailed in §6.</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80" w:lineRule="auto"/>
        <w:ind w:left="540" w:hanging="270"/>
        <w:rPr/>
      </w:pPr>
      <w:r w:rsidDel="00000000" w:rsidR="00000000" w:rsidRPr="00000000">
        <w:rPr>
          <w:b w:val="1"/>
          <w:bCs w:val="1"/>
          <w:color w:val="222933"/>
          <w:rtl w:val="0"/>
        </w:rPr>
        <w:t xml:space="preserve">Personal carve-outs. </w:t>
      </w:r>
      <w:r w:rsidDel="00000000" w:rsidR="00000000" w:rsidRPr="00000000">
        <w:rPr>
          <w:color w:val="222933"/>
          <w:rtl w:val="0"/>
        </w:rPr>
        <w:t xml:space="preserve">The IA’s and Key Person’s personal trading accounts (&lt;$1M) and family-only investment vehicles (&lt;$25M) sit entirely outside the partnership perimeter.</w:t>
      </w:r>
      <w:r w:rsidDel="00000000" w:rsidR="00000000" w:rsidRPr="00000000">
        <w:rPr>
          <w:rtl w:val="0"/>
        </w:rPr>
      </w:r>
    </w:p>
    <w:p w:rsidR="00000000" w:rsidDel="00000000" w:rsidP="00000000" w:rsidRDefault="00000000" w:rsidRPr="00000000" w14:paraId="00000011">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Parties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Inter" w:cs="Inter" w:eastAsia="Inter" w:hAnsi="Inter"/>
                <w:b w:val="1"/>
                <w:bCs w:val="1"/>
                <w:color w:val="0c3e67"/>
                <w:sz w:val="21"/>
                <w:szCs w:val="21"/>
                <w:rtl w:val="0"/>
              </w:rPr>
              <w:t xml:space="preserve">Role</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Inter" w:cs="Inter" w:eastAsia="Inter" w:hAnsi="Inter"/>
                <w:b w:val="1"/>
                <w:bCs w:val="1"/>
                <w:color w:val="0c3e67"/>
                <w:sz w:val="21"/>
                <w:szCs w:val="21"/>
                <w:rtl w:val="0"/>
              </w:rPr>
              <w:t xml:space="preserve">Entity</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color w:val="222933"/>
                <w:sz w:val="21"/>
                <w:szCs w:val="21"/>
                <w:rtl w:val="0"/>
              </w:rPr>
              <w:t xml:space="preserve">Manager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222933"/>
                <w:sz w:val="21"/>
                <w:szCs w:val="21"/>
                <w:rtl w:val="0"/>
              </w:rPr>
              <w:t xml:space="preserve">POD Capital Management (BVI) Ltd - FSC-approved manager of POD Emerging Alpha 1 Fund SPC</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color w:val="222933"/>
                <w:sz w:val="21"/>
                <w:szCs w:val="21"/>
                <w:rtl w:val="0"/>
              </w:rPr>
              <w:t xml:space="preserve">Administrator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color w:val="222933"/>
                <w:sz w:val="21"/>
                <w:szCs w:val="21"/>
                <w:rtl w:val="0"/>
              </w:rPr>
              <w:t xml:space="preserve">Elysium Fund Services (“EFS”), operator of the Administration Platform</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color w:val="222933"/>
                <w:sz w:val="21"/>
                <w:szCs w:val="21"/>
                <w:rtl w:val="0"/>
              </w:rPr>
              <w:t xml:space="preserve">Fund</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222933"/>
                <w:sz w:val="21"/>
                <w:szCs w:val="21"/>
                <w:rtl w:val="0"/>
              </w:rPr>
              <w:t xml:space="preserve">POD Emerging Alpha 1 Fund SPC (BVI professional fund under SIBA)</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222933"/>
                <w:sz w:val="21"/>
                <w:szCs w:val="21"/>
                <w:rtl w:val="0"/>
              </w:rPr>
              <w:t xml:space="preserve">Investment Advisor (“IA”)</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222933"/>
                <w:sz w:val="21"/>
                <w:szCs w:val="21"/>
                <w:rtl w:val="0"/>
              </w:rPr>
              <w:t xml:space="preserve">[IA entity name], a [jurisdiction] [company / LLP] or Named Individual if no company exists</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222933"/>
                <w:sz w:val="21"/>
                <w:szCs w:val="21"/>
                <w:rtl w:val="0"/>
              </w:rPr>
              <w:t xml:space="preserve">Key Person(s)</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222933"/>
                <w:sz w:val="21"/>
                <w:szCs w:val="21"/>
                <w:rtl w:val="0"/>
              </w:rPr>
              <w:t xml:space="preserve">[Name(s)] - individual(s) whose continued active involvement is a condition of this Agreement</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color w:val="222933"/>
          <w:rtl w:val="0"/>
        </w:rPr>
        <w:t xml:space="preserve">Collectively the Manager, the Administrator, the Fund and its affiliates are the “POD Group”.</w:t>
      </w:r>
      <w:r w:rsidDel="00000000" w:rsidR="00000000" w:rsidRPr="00000000">
        <w:rPr>
          <w:rtl w:val="0"/>
        </w:rPr>
      </w:r>
    </w:p>
    <w:p w:rsidR="00000000" w:rsidDel="00000000" w:rsidP="00000000" w:rsidRDefault="00000000" w:rsidRPr="00000000" w14:paraId="00000021">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2. Recitals</w:t>
      </w:r>
    </w:p>
    <w:p w:rsidR="00000000" w:rsidDel="00000000" w:rsidP="00000000" w:rsidRDefault="00000000" w:rsidRPr="00000000" w14:paraId="00000023">
      <w:pPr>
        <w:spacing w:after="120" w:lineRule="auto"/>
        <w:rPr/>
      </w:pPr>
      <w:r w:rsidDel="00000000" w:rsidR="00000000" w:rsidRPr="00000000">
        <w:rPr>
          <w:color w:val="222933"/>
          <w:rtl w:val="0"/>
        </w:rPr>
        <w:t xml:space="preserve">(A) POD owns and operates a regulated, technology-driven fund administration platform built around POD Emerging Alpha 1 Fund SPC (the “Fund”), a BVI professional fund recognised by the Financial Services Commission (the “FSC”) under SIBA. POD’s manager entity, POD Capital Management (BVI) Ltd (the “Manager”), is FSC-approved and is appointed as Manager of the Fund under the Investment Management Agreement (the “IMA”).</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color w:val="222933"/>
          <w:rtl w:val="0"/>
        </w:rPr>
        <w:t xml:space="preserve">(B) The Investment Advisor (the “IA”) wishes to launch a Segregated Portfolio within the Fund (an “SP”), leveraging POD’s regulatory framework, administration platform, distribution channel, and brand support.</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color w:val="222933"/>
          <w:rtl w:val="0"/>
        </w:rPr>
        <w:t xml:space="preserve">(C) Both parties enter this Agreement intending a long-term partnership in the SP. POD undertakes to absorb material setup and ongoing platform costs at the IA’s launch, at no upfront charge to the IA; in exchange, the IA undertakes to manage the SP within the POD platform during the Partnership Period defined herein. The provisions of this Agreement are calibrated to give both parties enough runway to recoup their respective investments and grow the SP together.</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color w:val="222933"/>
          <w:rtl w:val="0"/>
        </w:rPr>
        <w:t xml:space="preserve">(D) This Agreement sets out the commercial terms of the partnership: the economic split between the parties, the Partnership Period and continuity provisions, distribution-side arrangements, and the governance applicable to the IA and its Key Person(s).</w:t>
      </w:r>
      <w:r w:rsidDel="00000000" w:rsidR="00000000" w:rsidRPr="00000000">
        <w:rPr>
          <w:rtl w:val="0"/>
        </w:rPr>
      </w:r>
    </w:p>
    <w:p w:rsidR="00000000" w:rsidDel="00000000" w:rsidP="00000000" w:rsidRDefault="00000000" w:rsidRPr="00000000" w14:paraId="00000027">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3. Spirit of the Agreement</w:t>
      </w:r>
    </w:p>
    <w:p w:rsidR="00000000" w:rsidDel="00000000" w:rsidP="00000000" w:rsidRDefault="00000000" w:rsidRPr="00000000" w14:paraId="00000029">
      <w:pPr>
        <w:spacing w:after="120" w:lineRule="auto"/>
        <w:rPr/>
      </w:pPr>
      <w:r w:rsidDel="00000000" w:rsidR="00000000" w:rsidRPr="00000000">
        <w:rPr>
          <w:color w:val="222933"/>
          <w:rtl w:val="0"/>
        </w:rPr>
        <w:t xml:space="preserve">Both parties enter this partnership in good faith and with a shared interest in the SP’s long-term success. POD’s role is to provide the regulatory, administrative, distribution, and brand platform; the IA’s role is to manage the SP’s investment strategy and steward investor capital.</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color w:val="222933"/>
          <w:rtl w:val="0"/>
        </w:rPr>
        <w:t xml:space="preserve">POD invests material upfront and ongoing resources to launch the IA - fund setup, regulatory infrastructure, administration, distribution access, and brand development - at no direct cost to the IA. The Partnership Period and the economic provisions in §§7 and 8 are designed to give both parties sufficient runway to recoup their respective investments and benefit from the SP’s growth.</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color w:val="222933"/>
          <w:rtl w:val="0"/>
        </w:rPr>
        <w:t xml:space="preserve">The provisions that follow should be read in this spirit. Where formal legal language (“shall”, “shall not”, “material breach”, etc.) is used, it is to provide clarity and enforceability - not to suggest distrust between the partners.</w:t>
      </w:r>
      <w:r w:rsidDel="00000000" w:rsidR="00000000" w:rsidRPr="00000000">
        <w:rPr>
          <w:rtl w:val="0"/>
        </w:rPr>
      </w:r>
    </w:p>
    <w:p w:rsidR="00000000" w:rsidDel="00000000" w:rsidP="00000000" w:rsidRDefault="00000000" w:rsidRPr="00000000" w14:paraId="0000002C">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4. Structure &amp; Delegation</w:t>
      </w:r>
    </w:p>
    <w:p w:rsidR="00000000" w:rsidDel="00000000" w:rsidP="00000000" w:rsidRDefault="00000000" w:rsidRPr="00000000" w14:paraId="0000002E">
      <w:pPr>
        <w:spacing w:after="120" w:lineRule="auto"/>
        <w:rPr/>
      </w:pPr>
      <w:r w:rsidDel="00000000" w:rsidR="00000000" w:rsidRPr="00000000">
        <w:rPr>
          <w:color w:val="222933"/>
          <w:rtl w:val="0"/>
        </w:rPr>
        <w:t xml:space="preserve">This section explains how the SP sits within the POD legal stack and what each party is authorised to do. The shape of the structure protects investors and clarifies the boundaries of the partnership.</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color w:val="222933"/>
          <w:rtl w:val="0"/>
        </w:rPr>
        <w:t xml:space="preserve">4.1 The Manager shall establish (or has established) one or more Segregated Portfolios within the Fund on behalf of the IA (each an “SP”).</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color w:val="222933"/>
          <w:rtl w:val="0"/>
        </w:rPr>
        <w:t xml:space="preserve">4.2 Legal title to the assets of each SP, all regulatory obligations as investment manager, and all administration functions remain with the POD Group. The IA is appointed under the IAA solely to provide investment advisory and portfolio management services in respect of SP assets, subject to the investment policy, risk limits, and Proper Instructions framework set out in the IAA.</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color w:val="222933"/>
          <w:rtl w:val="0"/>
        </w:rPr>
        <w:t xml:space="preserve">4.3 The IA has no authority to: (a) hold or transfer SP assets outside the accounts designated by the Manager; (b) contract with investors directly on behalf of the SP; or (c) bind the Fund, the Manager, or the POD Group, save as expressly permitted in the IAA. These constraints exist to protect Shareholders and to keep regulatory accountability with the POD Group.</w:t>
      </w:r>
      <w:r w:rsidDel="00000000" w:rsidR="00000000" w:rsidRPr="00000000">
        <w:rPr>
          <w:rtl w:val="0"/>
        </w:rPr>
      </w:r>
    </w:p>
    <w:p w:rsidR="00000000" w:rsidDel="00000000" w:rsidP="00000000" w:rsidRDefault="00000000" w:rsidRPr="00000000" w14:paraId="00000032">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5. Platform Services</w:t>
      </w:r>
    </w:p>
    <w:p w:rsidR="00000000" w:rsidDel="00000000" w:rsidP="00000000" w:rsidRDefault="00000000" w:rsidRPr="00000000" w14:paraId="00000034">
      <w:pPr>
        <w:spacing w:after="120" w:lineRule="auto"/>
        <w:rPr/>
      </w:pPr>
      <w:r w:rsidDel="00000000" w:rsidR="00000000" w:rsidRPr="00000000">
        <w:rPr>
          <w:i w:val="1"/>
          <w:iCs w:val="1"/>
          <w:color w:val="222933"/>
          <w:rtl w:val="0"/>
        </w:rPr>
        <w:t xml:space="preserve">(binding, drawn from draft IAA §2)</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color w:val="222933"/>
          <w:rtl w:val="0"/>
        </w:rPr>
        <w:t xml:space="preserve">In consideration of the Revenue Share and the Platform Fee, POD provides the IA with the following Platform Services for the duration of the partnership. Each item below is part of POD’s upfront and ongoing investment in the IA’s launch:</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color w:val="222933"/>
          <w:rtl w:val="0"/>
        </w:rPr>
        <w:t xml:space="preserve">5.1 The Manager provides the IA with access to the following Platform Services:</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color w:val="222933"/>
          <w:rtl w:val="0"/>
        </w:rPr>
        <w:t xml:space="preserve">(a) the POD Emerging Alpha 1 Fund SPC structure, being a BVI professional fund recognised by the FSC under SIBA, within which the Investment Advisor manages the Segregated Portfolio pursuant to the IAA;</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color w:val="222933"/>
          <w:rtl w:val="0"/>
        </w:rPr>
        <w:t xml:space="preserve">(b) the Manager’s FSC registration as an approved manager, which provides the regulatory framework for the Investment Advisor’s appointment;</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color w:val="222933"/>
          <w:rtl w:val="0"/>
        </w:rPr>
        <w:t xml:space="preserve">(c) the Administration Platform operated by EFS under the Administration Agreement, comprising the Investor Passport onboarding system, the Investor Portal, the share register, NAV calculation, transfer agency, settlement and associated compliance services;</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color w:val="222933"/>
          <w:rtl w:val="0"/>
        </w:rPr>
        <w:t xml:space="preserve">(d) the registered office, authorised representative and BVI company secretarial services provided by SHRM Trustees (BVI) Limited;</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b w:val="1"/>
          <w:bCs w:val="1"/>
          <w:color w:val="222933"/>
          <w:rtl w:val="0"/>
        </w:rPr>
        <w:t xml:space="preserve">(e) Brand creation. </w:t>
      </w:r>
      <w:r w:rsidDel="00000000" w:rsidR="00000000" w:rsidRPr="00000000">
        <w:rPr>
          <w:color w:val="222933"/>
          <w:rtl w:val="0"/>
        </w:rPr>
        <w:t xml:space="preserve">POD shall, at no additional cost to the IA, design and create a Brand (name, identity, visual system) for the SP, suitable for use in Shareholder reporting, marketing collateral, and third-party distribution. Brand IP ownership and licensing terms to be agreed in the IAA - the Manager’s stated intent is to retain Brand IP, with a perpetual royalty-free licence granted to the IA for use within the SP and on POD-linked channels;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bCs w:val="1"/>
          <w:color w:val="222933"/>
          <w:rtl w:val="0"/>
        </w:rPr>
        <w:t xml:space="preserve">(f) Distribution and reporting. </w:t>
      </w:r>
      <w:r w:rsidDel="00000000" w:rsidR="00000000" w:rsidRPr="00000000">
        <w:rPr>
          <w:color w:val="222933"/>
          <w:rtl w:val="0"/>
        </w:rPr>
        <w:t xml:space="preserve">POD shall enable the IA to generate standard and custom Shareholder reports through the Administration Platform and to deliver them directly to Shareholders’ inboxes via the Investor Portal’s distribution mechanism;</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b w:val="1"/>
          <w:bCs w:val="1"/>
          <w:color w:val="222933"/>
          <w:rtl w:val="0"/>
        </w:rPr>
        <w:t xml:space="preserve">(g) Investor relations support. </w:t>
      </w:r>
      <w:r w:rsidDel="00000000" w:rsidR="00000000" w:rsidRPr="00000000">
        <w:rPr>
          <w:color w:val="222933"/>
          <w:rtl w:val="0"/>
        </w:rPr>
        <w:t xml:space="preserve">Subject to applicable marketing, advertising, and securities-promotion regulations, the IA may distribute SP performance and commentary through third-party channels (including Telegram, X, and similar platforms) under the Brand, provided that all such distribution complies with the IAA’s marketing-conduct provisions and any relevant FSC and Shareholder-domicile requirements.</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color w:val="222933"/>
          <w:rtl w:val="0"/>
        </w:rPr>
        <w:t xml:space="preserve">5.2 The Manager shall use reasonable endeavours to maintain the Platform Services throughout the term of this Agreement and shall promptly notify the IA of any material change, including any change of Administrator or registered office provider. For clarity, change of administrator implies POD launching a new admin entity inside the POD group, not using a third party. The Manager’s obligation in respect of third-party providers (including EFS and SHRM) is to use reasonable endeavours to procure their continued performance and does not extend to guaranteeing their performance or assuming liability for their errors or omissions.</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color w:val="222933"/>
          <w:rtl w:val="0"/>
        </w:rPr>
        <w:t xml:space="preserve">5.3 Any claim by the IA arising from EFS’s performance of its administration functions shall be governed by the Administration Agreement and not by this Agreement, save where such failure results from a Proper Instruction given by the Manager to EFS.</w:t>
      </w:r>
      <w:r w:rsidDel="00000000" w:rsidR="00000000" w:rsidRPr="00000000">
        <w:rPr>
          <w:rtl w:val="0"/>
        </w:rPr>
      </w:r>
    </w:p>
    <w:p w:rsidR="00000000" w:rsidDel="00000000" w:rsidP="00000000" w:rsidRDefault="00000000" w:rsidRPr="00000000" w14:paraId="00000040">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6. Partnership Period &amp; Continuity</w:t>
      </w:r>
    </w:p>
    <w:p w:rsidR="00000000" w:rsidDel="00000000" w:rsidP="00000000" w:rsidRDefault="00000000" w:rsidRPr="00000000" w14:paraId="00000042">
      <w:pPr>
        <w:spacing w:after="120" w:lineRule="auto"/>
        <w:rPr/>
      </w:pPr>
      <w:r w:rsidDel="00000000" w:rsidR="00000000" w:rsidRPr="00000000">
        <w:rPr>
          <w:i w:val="1"/>
          <w:iCs w:val="1"/>
          <w:color w:val="222933"/>
          <w:rtl w:val="0"/>
        </w:rPr>
        <w:t xml:space="preserve">(binding)</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color w:val="222933"/>
          <w:rtl w:val="0"/>
        </w:rPr>
        <w:t xml:space="preserve">This is the heart of the partnership. POD invests material upfront and ongoing resources in launching and growing the SP. The Partnership Period gives both parties the runway needed to recoup that investment and build something durable together. The provisions in this section ensure that during this runway the IA’s fund-building energy is concentrated within POD, while still preserving the IA’s freedom to run separately managed accounts, family money, and pre-existing relationships.</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6.1 Partnership Period</w:t>
      </w:r>
    </w:p>
    <w:p w:rsidR="00000000" w:rsidDel="00000000" w:rsidP="00000000" w:rsidRDefault="00000000" w:rsidRPr="00000000" w14:paraId="00000045">
      <w:pPr>
        <w:spacing w:after="120" w:lineRule="auto"/>
        <w:rPr/>
      </w:pPr>
      <w:r w:rsidDel="00000000" w:rsidR="00000000" w:rsidRPr="00000000">
        <w:rPr>
          <w:color w:val="222933"/>
          <w:rtl w:val="0"/>
        </w:rPr>
        <w:t xml:space="preserve">The Partnership Period is 5 years firm from the date of creation of the most recent SP established on behalf of the IA. Neither party has a unilateral right to extend; any extension by mutual written agreement is negotiated in good faith with no obligation on either side.</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color w:val="222933"/>
          <w:rtl w:val="0"/>
        </w:rPr>
        <w:t xml:space="preserve">Two automatic extension triggers apply, designed to ensure the partnership continues as long as POD’s distribution channel is materially driving the SP’s growth - see §6.9 (Distribution Milestone Extensions).</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6.2 Scope - Competing Funds Only</w:t>
      </w:r>
    </w:p>
    <w:p w:rsidR="00000000" w:rsidDel="00000000" w:rsidP="00000000" w:rsidRDefault="00000000" w:rsidRPr="00000000" w14:paraId="00000048">
      <w:pPr>
        <w:spacing w:after="120" w:lineRule="auto"/>
        <w:rPr/>
      </w:pPr>
      <w:r w:rsidDel="00000000" w:rsidR="00000000" w:rsidRPr="00000000">
        <w:rPr>
          <w:color w:val="222933"/>
          <w:rtl w:val="0"/>
        </w:rPr>
        <w:t xml:space="preserve">The partnership commitment in this §6 applies only to Competing Funds. A “Competing Fund” means any pooled investment vehicle, fund-like entity, or trust structure (including any SPC, segregated portfolio, sub-fund, master-feeder structure, ICAV, LP, LLC, unit trust, or comparable vehicle) that performs the same economic function as the SP - namely, accepting subscriptions from third-party investors and managing pooled capital under a discretionary or quasi-discretionary mandate.</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color w:val="222933"/>
          <w:rtl w:val="0"/>
        </w:rPr>
        <w:t xml:space="preserve">Separately Managed Accounts (“SMAs”), advisory mandates, family-office mandates, and bilateral investment management arrangements are NOT Competing Funds and sit entirely outside the partnership perimeter. The IA may continue, expand, or commence such arrangements during the Partnership Period without restriction under this §6 (subject only to the Continuity provisions below).</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6.3 Mutual Commitments</w:t>
      </w:r>
    </w:p>
    <w:p w:rsidR="00000000" w:rsidDel="00000000" w:rsidP="00000000" w:rsidRDefault="00000000" w:rsidRPr="00000000" w14:paraId="0000004B">
      <w:pPr>
        <w:spacing w:after="120" w:lineRule="auto"/>
        <w:rPr/>
      </w:pPr>
      <w:r w:rsidDel="00000000" w:rsidR="00000000" w:rsidRPr="00000000">
        <w:rPr>
          <w:color w:val="222933"/>
          <w:rtl w:val="0"/>
        </w:rPr>
        <w:t xml:space="preserve">During the Partnership Period, the parties agree to focus their joint fund-building activity within the SP and the POD platform. To make that operational, the IA shall not, without the Manager’s prior written consent (not to be unreasonably withheld):</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color w:val="222933"/>
          <w:rtl w:val="0"/>
        </w:rPr>
        <w:t xml:space="preserve">(a) establish, sponsor, promote, or manage any new Competing Fund;</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color w:val="222933"/>
          <w:rtl w:val="0"/>
        </w:rPr>
        <w:t xml:space="preserve">(b) accept any appointment as investment manager, advisor, or sub-advisor to any new Competing Fund;</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color w:val="222933"/>
          <w:rtl w:val="0"/>
        </w:rPr>
        <w:t xml:space="preserve">(c) solicit any existing Shareholder of the SP to invest in any Competing Fund off the POD platform; or</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color w:val="222933"/>
          <w:rtl w:val="0"/>
        </w:rPr>
        <w:t xml:space="preserve">(d) use any information relating to the investor base, AUM, performance, or strategy of the SP, obtained in its capacity as IA, to market any Competing Fund off the POD platform.</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6.4 Grandfathering - Pre-Existing Funds and Platforms</w:t>
      </w:r>
    </w:p>
    <w:p w:rsidR="00000000" w:rsidDel="00000000" w:rsidP="00000000" w:rsidRDefault="00000000" w:rsidRPr="00000000" w14:paraId="00000051">
      <w:pPr>
        <w:spacing w:after="120" w:lineRule="auto"/>
        <w:rPr/>
      </w:pPr>
      <w:r w:rsidDel="00000000" w:rsidR="00000000" w:rsidRPr="00000000">
        <w:rPr>
          <w:color w:val="222933"/>
          <w:rtl w:val="0"/>
        </w:rPr>
        <w:t xml:space="preserve">The IA enters this partnership with a history. Pre-existing fund and platform relationships at signing are fully grandfathered and sit outside the Mutual Commitments above. Grandfathered Relationships include:</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color w:val="222933"/>
          <w:rtl w:val="0"/>
        </w:rPr>
        <w:t xml:space="preserve">(a) any existing Separately Managed Account or advisory mandate;</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color w:val="222933"/>
          <w:rtl w:val="0"/>
        </w:rPr>
        <w:t xml:space="preserve">(b) any pre-existing fund-administration or fund-platform relationship (e.g. fund-as-a-service platforms);</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color w:val="222933"/>
          <w:rtl w:val="0"/>
        </w:rPr>
        <w:t xml:space="preserve">(c) any existing fund vehicle for which the IA acts as investment manager, advisor, or sub-advisor; and</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color w:val="222933"/>
          <w:rtl w:val="0"/>
        </w:rPr>
        <w:t xml:space="preserve">(d) any other fund or pooled-investment relationship disclosed to and acknowledged by the Manager in Schedule [GF-1] at signing.</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color w:val="222933"/>
          <w:rtl w:val="0"/>
        </w:rPr>
        <w:t xml:space="preserve">The IA may continue, operate, and grow Grandfathered Relationships during the Partnership Period without restriction. The constraint applies only to launching new off-platform Competing Fund mandates during the Partnership Period - any such new mandate is launched within POD as a new SP.</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6.5 De Minimis Carve-Outs</w:t>
      </w:r>
    </w:p>
    <w:p w:rsidR="00000000" w:rsidDel="00000000" w:rsidP="00000000" w:rsidRDefault="00000000" w:rsidRPr="00000000" w14:paraId="00000058">
      <w:pPr>
        <w:spacing w:after="120" w:lineRule="auto"/>
        <w:rPr/>
      </w:pPr>
      <w:r w:rsidDel="00000000" w:rsidR="00000000" w:rsidRPr="00000000">
        <w:rPr>
          <w:color w:val="222933"/>
          <w:rtl w:val="0"/>
        </w:rPr>
        <w:t xml:space="preserve">The Mutual Commitments in §6.3 do NOT apply to:</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color w:val="222933"/>
          <w:rtl w:val="0"/>
        </w:rPr>
        <w:t xml:space="preserve">(a) the IA’s or any Key Person’s personal trading account(s) with aggregate AUM not exceeding $1,000,000; and</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color w:val="222933"/>
          <w:rtl w:val="0"/>
        </w:rPr>
        <w:t xml:space="preserve">(b) any Key Person’s family office (or family-only investment vehicle) with aggregate AUM not exceeding $25,000,000, provided no third-party capital is admitted.</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color w:val="222933"/>
          <w:rtl w:val="0"/>
        </w:rPr>
        <w:t xml:space="preserve">The IA discloses the existence and approximate scale of any reliance on these carve-outs annually.</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6.6 Application to Key Persons &amp; Affiliates</w:t>
      </w:r>
    </w:p>
    <w:p w:rsidR="00000000" w:rsidDel="00000000" w:rsidP="00000000" w:rsidRDefault="00000000" w:rsidRPr="00000000" w14:paraId="0000005D">
      <w:pPr>
        <w:spacing w:after="120" w:lineRule="auto"/>
        <w:rPr/>
      </w:pPr>
      <w:r w:rsidDel="00000000" w:rsidR="00000000" w:rsidRPr="00000000">
        <w:rPr>
          <w:color w:val="222933"/>
          <w:rtl w:val="0"/>
        </w:rPr>
        <w:t xml:space="preserve">The Mutual Commitments in §6.3 extend to the Key Person personally, and to any entity in which the IA or the Key Person both:</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color w:val="222933"/>
          <w:rtl w:val="0"/>
        </w:rPr>
        <w:t xml:space="preserve">(a) holds a controlling or material interest (10% or more of the voting rights or economic interest); and</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color w:val="222933"/>
          <w:rtl w:val="0"/>
        </w:rPr>
        <w:t xml:space="preserve">(b) has active management, advisory, board, or comparable policy-setting involvement.</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color w:val="222933"/>
          <w:rtl w:val="0"/>
        </w:rPr>
        <w:t xml:space="preserve">Pure passive investments (where the Key Person has no management, advisory, or board role) below 25% sit outside this cascade, even if they exceed 10%. The intent is to preserve the Key Person’s freedom to make passive angel or LP investments in unrelated managers.</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6.7 Continuity Event</w:t>
      </w:r>
    </w:p>
    <w:p w:rsidR="00000000" w:rsidDel="00000000" w:rsidP="00000000" w:rsidRDefault="00000000" w:rsidRPr="00000000" w14:paraId="00000062">
      <w:pPr>
        <w:spacing w:after="120" w:lineRule="auto"/>
        <w:rPr/>
      </w:pPr>
      <w:r w:rsidDel="00000000" w:rsidR="00000000" w:rsidRPr="00000000">
        <w:rPr>
          <w:color w:val="222933"/>
          <w:rtl w:val="0"/>
        </w:rPr>
        <w:t xml:space="preserve">Things change. People take time off, leave, or face circumstances they didn’t plan. This section sets out what happens if the Key Person’s continued active involvement in the SP is materially affected, so both parties have a clear path forward.</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color w:val="222933"/>
          <w:rtl w:val="0"/>
        </w:rPr>
        <w:t xml:space="preserve">A “Continuity Event” occurs where the Key Person: (a) ceases to be actively engaged in managing the SP for any 30 consecutive calendar days (other than scheduled leave notified in advance); (b) dies or becomes permanently incapacitated; (c) is convicted of a disqualifying offence or becomes subject to regulatory sanction; or (d) leaves the IA.</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color w:val="222933"/>
          <w:rtl w:val="0"/>
        </w:rPr>
        <w:t xml:space="preserve">On a Continuity Event, the Manager has the right (but not the obligation) to: (i) suspend subscriptions and performance crystallisation; (ii) require appointment of a replacement Key Person acceptable to the Manager within 90 days; or (iii) terminate the IAA for cause under §12.2. These are protective rights for Shareholders, not levers to be used in the ordinary course.</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6.8 Distribution Milestone Extensions</w:t>
      </w:r>
    </w:p>
    <w:p w:rsidR="00000000" w:rsidDel="00000000" w:rsidP="00000000" w:rsidRDefault="00000000" w:rsidRPr="00000000" w14:paraId="00000067">
      <w:pPr>
        <w:spacing w:after="120" w:lineRule="auto"/>
        <w:rPr/>
      </w:pPr>
      <w:r w:rsidDel="00000000" w:rsidR="00000000" w:rsidRPr="00000000">
        <w:rPr>
          <w:color w:val="222933"/>
          <w:rtl w:val="0"/>
        </w:rPr>
        <w:t xml:space="preserve">Where POD’s distribution channel materially drives the SP’s growth, the partnership extends automatically. The Partnership Period (per §6.1) shall extend by 2 years upon the SP first reaching each of the following thresholds of POD Distributed Investment (i.e., AUM attributable to POD-Sourced Subscribers as defined in §8.4):</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color w:val="222933"/>
          <w:rtl w:val="0"/>
        </w:rPr>
        <w:t xml:space="preserve">(a) $25 million of POD Distributed Investment - first 2-year extension; and</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color w:val="222933"/>
          <w:rtl w:val="0"/>
        </w:rPr>
        <w:t xml:space="preserve">(b) $50 million of POD Distributed Investment - second 2-year extension.</w:t>
      </w:r>
      <w:r w:rsidDel="00000000" w:rsidR="00000000" w:rsidRPr="00000000">
        <w:rPr>
          <w:rtl w:val="0"/>
        </w:rPr>
      </w:r>
    </w:p>
    <w:p w:rsidR="00000000" w:rsidDel="00000000" w:rsidP="00000000" w:rsidRDefault="00000000" w:rsidRPr="00000000" w14:paraId="0000006A">
      <w:pPr>
        <w:spacing w:after="120" w:lineRule="auto"/>
        <w:rPr>
          <w:color w:val="222933"/>
        </w:rPr>
      </w:pPr>
      <w:r w:rsidDel="00000000" w:rsidR="00000000" w:rsidRPr="00000000">
        <w:rPr>
          <w:color w:val="222933"/>
          <w:rtl w:val="0"/>
        </w:rPr>
        <w:t xml:space="preserve">These milestones refer to subscription amounts: AUM increases from returns do not contribute to the totals.</w:t>
      </w:r>
    </w:p>
    <w:p w:rsidR="00000000" w:rsidDel="00000000" w:rsidP="00000000" w:rsidRDefault="00000000" w:rsidRPr="00000000" w14:paraId="0000006B">
      <w:pPr>
        <w:spacing w:after="120" w:lineRule="auto"/>
        <w:rPr/>
      </w:pPr>
      <w:r w:rsidDel="00000000" w:rsidR="00000000" w:rsidRPr="00000000">
        <w:rPr>
          <w:color w:val="222933"/>
          <w:rtl w:val="0"/>
        </w:rPr>
        <w:t xml:space="preserve">These extensions are cumulative; achievement of both thresholds extends the Partnership Period by a total of 4 years from its scheduled expiry. Extensions are automatic - no notice or election is required from either party.</w:t>
      </w:r>
      <w:r w:rsidDel="00000000" w:rsidR="00000000" w:rsidRPr="00000000">
        <w:rPr>
          <w:rtl w:val="0"/>
        </w:rPr>
      </w:r>
    </w:p>
    <w:p w:rsidR="00000000" w:rsidDel="00000000" w:rsidP="00000000" w:rsidRDefault="00000000" w:rsidRPr="00000000" w14:paraId="0000006C">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7. Commercial Terms</w:t>
      </w:r>
    </w:p>
    <w:p w:rsidR="00000000" w:rsidDel="00000000" w:rsidP="00000000" w:rsidRDefault="00000000" w:rsidRPr="00000000" w14:paraId="0000006E">
      <w:pPr>
        <w:spacing w:after="120" w:lineRule="auto"/>
        <w:rPr/>
      </w:pPr>
      <w:r w:rsidDel="00000000" w:rsidR="00000000" w:rsidRPr="00000000">
        <w:rPr>
          <w:i w:val="1"/>
          <w:iCs w:val="1"/>
          <w:color w:val="222933"/>
          <w:rtl w:val="0"/>
        </w:rPr>
        <w:t xml:space="preserve">(binding)</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color w:val="222933"/>
          <w:rtl w:val="0"/>
        </w:rPr>
        <w:t xml:space="preserve">Both parties participate in the SP’s economics by role. POD’s economic role under the IMA is the Revenue Share (§7.1), reflecting POD’s position as Manager and platform operator. The Platform Fee (§7.3) covers Shareholder-borne platform costs. The Distribution Share (§8) recognises the value of POD’s investor base when POD-Sourced Subscribers invest in the SP. Each stream is independent and additive.</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7.1 Revenue Share</w:t>
      </w:r>
    </w:p>
    <w:p w:rsidR="00000000" w:rsidDel="00000000" w:rsidP="00000000" w:rsidRDefault="00000000" w:rsidRPr="00000000" w14:paraId="00000071">
      <w:pPr>
        <w:spacing w:after="120" w:lineRule="auto"/>
        <w:rPr/>
      </w:pPr>
      <w:r w:rsidDel="00000000" w:rsidR="00000000" w:rsidRPr="00000000">
        <w:rPr>
          <w:color w:val="222933"/>
          <w:rtl w:val="0"/>
        </w:rPr>
        <w:t xml:space="preserve">Each party participates in the SP’s economics as a function of their role: the Manager (POD) for fund infrastructure, regulatory standing, and platform operations; the IA for portfolio management and stewardship of investor capital.</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color w:val="222933"/>
          <w:rtl w:val="0"/>
        </w:rPr>
        <w:t xml:space="preserve">Mechanically, this works through the standard fund waterfall:</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color w:val="222933"/>
          <w:rtl w:val="0"/>
        </w:rPr>
        <w:t xml:space="preserve">(a) Shareholders pay management and performance fees to the SP (a segregated portfolio of the Fund);</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color w:val="222933"/>
          <w:rtl w:val="0"/>
        </w:rPr>
        <w:t xml:space="preserve">(b) those fees flow to the Manager under the IMA;</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color w:val="222933"/>
          <w:rtl w:val="0"/>
        </w:rPr>
        <w:t xml:space="preserve">(c) the Manager pays the IA the IA’s share under the IAA;</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color w:val="222933"/>
          <w:rtl w:val="0"/>
        </w:rPr>
        <w:t xml:space="preserve">(d) the difference - the Manager’s economic role - is the Revenue Share.</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color w:val="222933"/>
          <w:rtl w:val="0"/>
        </w:rPr>
        <w:t xml:space="preserve">The Revenue Share is not an additional charge on the IA. The IA’s entitlement is the IAA portion; the Manager’s entitlement is the spread. The IA’s headline management and performance fees as disclosed to Shareholders are unaffected.</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7.2 Revenue Share - Tiered Rates</w:t>
      </w:r>
    </w:p>
    <w:p w:rsidR="00000000" w:rsidDel="00000000" w:rsidP="00000000" w:rsidRDefault="00000000" w:rsidRPr="00000000" w14:paraId="00000079">
      <w:pPr>
        <w:spacing w:after="120" w:lineRule="auto"/>
        <w:rPr/>
      </w:pPr>
      <w:r w:rsidDel="00000000" w:rsidR="00000000" w:rsidRPr="00000000">
        <w:rPr>
          <w:color w:val="222933"/>
          <w:rtl w:val="0"/>
        </w:rPr>
        <w:t xml:space="preserve">The Manager’s Revenue Share decreases as SP AUM increases. Rates decline as the SP grows, on the basis that POD’s relative economic role decreases as the SP becomes more self-sustaining. Each tier applies only to fees attributable to AUM within that band.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00"/>
        <w:gridCol w:w="3860"/>
        <w:tblGridChange w:id="0">
          <w:tblGrid>
            <w:gridCol w:w="2400"/>
            <w:gridCol w:w="3100"/>
            <w:gridCol w:w="3860"/>
          </w:tblGrid>
        </w:tblGridChange>
      </w:tblGrid>
      <w:tr>
        <w:trPr>
          <w:cantSplit w:val="0"/>
          <w:tblHeader w:val="1"/>
        </w:trPr>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Inter" w:cs="Inter" w:eastAsia="Inter" w:hAnsi="Inter"/>
                <w:b w:val="1"/>
                <w:bCs w:val="1"/>
                <w:color w:val="0c3e67"/>
                <w:sz w:val="21"/>
                <w:szCs w:val="21"/>
                <w:rtl w:val="0"/>
              </w:rPr>
              <w:t xml:space="preserve">AUM Tier (USD)</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Inter" w:cs="Inter" w:eastAsia="Inter" w:hAnsi="Inter"/>
                <w:b w:val="1"/>
                <w:bCs w:val="1"/>
                <w:color w:val="0c3e67"/>
                <w:sz w:val="21"/>
                <w:szCs w:val="21"/>
                <w:rtl w:val="0"/>
              </w:rPr>
              <w:t xml:space="preserve">Manager Revenue Share</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Inter" w:cs="Inter" w:eastAsia="Inter" w:hAnsi="Inter"/>
                <w:b w:val="1"/>
                <w:bCs w:val="1"/>
                <w:color w:val="0c3e67"/>
                <w:sz w:val="21"/>
                <w:szCs w:val="21"/>
                <w:rtl w:val="0"/>
              </w:rPr>
              <w:t xml:space="preserve">Applies to</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222933"/>
                <w:sz w:val="21"/>
                <w:szCs w:val="21"/>
                <w:rtl w:val="0"/>
              </w:rPr>
              <w:t xml:space="preserve">Up to 10M</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222933"/>
                <w:sz w:val="21"/>
                <w:szCs w:val="21"/>
                <w:rtl w:val="0"/>
              </w:rPr>
              <w:t xml:space="preserve">25% of mgmt + perf fees</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222933"/>
                <w:sz w:val="21"/>
                <w:szCs w:val="21"/>
                <w:rtl w:val="0"/>
              </w:rPr>
              <w:t xml:space="preserve">Fees attributable to AUM in this tier</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222933"/>
                <w:sz w:val="21"/>
                <w:szCs w:val="21"/>
                <w:rtl w:val="0"/>
              </w:rPr>
              <w:t xml:space="preserve">10M – 25M</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222933"/>
                <w:sz w:val="21"/>
                <w:szCs w:val="21"/>
                <w:rtl w:val="0"/>
              </w:rPr>
              <w:t xml:space="preserve">20% of mgmt + perf fees</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222933"/>
                <w:sz w:val="21"/>
                <w:szCs w:val="21"/>
                <w:rtl w:val="0"/>
              </w:rPr>
              <w:t xml:space="preserve">Fees attributable to AUM within this tier only</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222933"/>
                <w:sz w:val="21"/>
                <w:szCs w:val="21"/>
                <w:rtl w:val="0"/>
              </w:rPr>
              <w:t xml:space="preserve">25M – 75M</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222933"/>
                <w:sz w:val="21"/>
                <w:szCs w:val="21"/>
                <w:rtl w:val="0"/>
              </w:rPr>
              <w:t xml:space="preserve">15% of mgmt + perf fees</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222933"/>
                <w:sz w:val="21"/>
                <w:szCs w:val="21"/>
                <w:rtl w:val="0"/>
              </w:rPr>
              <w:t xml:space="preserve">Fees attributable to AUM within this tier only</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222933"/>
                <w:sz w:val="21"/>
                <w:szCs w:val="21"/>
                <w:rtl w:val="0"/>
              </w:rPr>
              <w:t xml:space="preserve">Above 75M</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222933"/>
                <w:sz w:val="21"/>
                <w:szCs w:val="21"/>
                <w:rtl w:val="0"/>
              </w:rPr>
              <w:t xml:space="preserve">10% of mgmt + perf fees</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222933"/>
                <w:sz w:val="21"/>
                <w:szCs w:val="21"/>
                <w:rtl w:val="0"/>
              </w:rPr>
              <w:t xml:space="preserve">Fees attributable to AUM within this tier only</w:t>
            </w:r>
            <w:r w:rsidDel="00000000" w:rsidR="00000000" w:rsidRPr="00000000">
              <w:rPr>
                <w:rtl w:val="0"/>
              </w:rPr>
            </w:r>
          </w:p>
        </w:tc>
      </w:tr>
    </w:tbl>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7.3 Platform Fee</w:t>
      </w:r>
    </w:p>
    <w:p w:rsidR="00000000" w:rsidDel="00000000" w:rsidP="00000000" w:rsidRDefault="00000000" w:rsidRPr="00000000" w14:paraId="0000008B">
      <w:pPr>
        <w:spacing w:after="120" w:lineRule="auto"/>
        <w:rPr/>
      </w:pPr>
      <w:r w:rsidDel="00000000" w:rsidR="00000000" w:rsidRPr="00000000">
        <w:rPr>
          <w:color w:val="222933"/>
          <w:rtl w:val="0"/>
        </w:rPr>
        <w:t xml:space="preserve">In addition to the Revenue Share, the Fund pays POD a Platform Fee of 20 basis points per annum (0.20%) calculated on the average daily net asset value of the SP, accrued daily and paid monthly in arrears directly from SP assets as a Shareholder-borne expense - i.e., as a Fund-level expense, not a charge to the IA.</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color w:val="222933"/>
          <w:rtl w:val="0"/>
        </w:rPr>
        <w:t xml:space="preserve">The Platform Fee is the consideration for the Platform Services in §5 - Fund structure, FSC approval, Administration Platform, registered office, and authorised representative - and is the only AUM-linked charge borne directly by Shareholders under this Agreement.</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7.4 Wholesale Cost Passthrough</w:t>
      </w:r>
    </w:p>
    <w:p w:rsidR="00000000" w:rsidDel="00000000" w:rsidP="00000000" w:rsidRDefault="00000000" w:rsidRPr="00000000" w14:paraId="0000008E">
      <w:pPr>
        <w:spacing w:after="120" w:lineRule="auto"/>
        <w:rPr/>
      </w:pPr>
      <w:r w:rsidDel="00000000" w:rsidR="00000000" w:rsidRPr="00000000">
        <w:rPr>
          <w:color w:val="222933"/>
          <w:rtl w:val="0"/>
        </w:rPr>
        <w:t xml:space="preserve">POD’s scale lets the partnership negotiate better vendor terms than the SP could on its own. Custody, prime brokerage, execution venues, KYC, audit, legal, and other operating providers all extend wholesale pricing to POD that gets passed through to the SP. The principle is simple: POD takes no economics on vendor relationships.</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1"/>
          <w:bCs w:val="1"/>
          <w:color w:val="222933"/>
          <w:rtl w:val="0"/>
        </w:rPr>
        <w:t xml:space="preserve">(a) Contractual passthrough. </w:t>
      </w:r>
      <w:r w:rsidDel="00000000" w:rsidR="00000000" w:rsidRPr="00000000">
        <w:rPr>
          <w:color w:val="222933"/>
          <w:rtl w:val="0"/>
        </w:rPr>
        <w:t xml:space="preserve">POD passes through to the SP all wholesale cost benefits negotiated, on a reasonable pro-rata basis aligned to the SP’s share of the relevant vendor’s services consumed.</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b w:val="1"/>
          <w:bCs w:val="1"/>
          <w:color w:val="222933"/>
          <w:rtl w:val="0"/>
        </w:rPr>
        <w:t xml:space="preserve">(b) No POD economics. </w:t>
      </w:r>
      <w:r w:rsidDel="00000000" w:rsidR="00000000" w:rsidRPr="00000000">
        <w:rPr>
          <w:color w:val="222933"/>
          <w:rtl w:val="0"/>
        </w:rPr>
        <w:t xml:space="preserve">POD does not retain any margin, spread, rebate, mark-up, commission, or other economic benefit on third-party vendor pricing. POD’s compensation under this Agreement is exhaustively the Revenue Share (§7.1), the Platform Fee (§7.3), and the Distribution Share (§8). No undisclosed economics arise from vendor relationships.</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b w:val="1"/>
          <w:bCs w:val="1"/>
          <w:color w:val="222933"/>
          <w:rtl w:val="0"/>
        </w:rPr>
        <w:t xml:space="preserve">(c) Minimums absorbed. </w:t>
      </w:r>
      <w:r w:rsidDel="00000000" w:rsidR="00000000" w:rsidRPr="00000000">
        <w:rPr>
          <w:color w:val="222933"/>
          <w:rtl w:val="0"/>
        </w:rPr>
        <w:t xml:space="preserve">Where a vendor requires a minimum spend or minimum AUM commitment to access wholesale pricing, POD absorbs the minimum at the POD Group level, so the SP pays only its variable share of actual cost.</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7.5 No Minimum Fee</w:t>
      </w:r>
    </w:p>
    <w:p w:rsidR="00000000" w:rsidDel="00000000" w:rsidP="00000000" w:rsidRDefault="00000000" w:rsidRPr="00000000" w14:paraId="00000093">
      <w:pPr>
        <w:spacing w:after="120" w:lineRule="auto"/>
        <w:rPr/>
      </w:pPr>
      <w:r w:rsidDel="00000000" w:rsidR="00000000" w:rsidRPr="00000000">
        <w:rPr>
          <w:color w:val="222933"/>
          <w:rtl w:val="0"/>
        </w:rPr>
        <w:t xml:space="preserve">There is no monthly, quarterly, or annual minimum fee payable by the IA or the SP under this Agreement. POD’s economics scale with the SP’s AUM and performance.</w:t>
      </w:r>
      <w:r w:rsidDel="00000000" w:rsidR="00000000" w:rsidRPr="00000000">
        <w:rPr>
          <w:rtl w:val="0"/>
        </w:rPr>
      </w:r>
    </w:p>
    <w:p w:rsidR="00000000" w:rsidDel="00000000" w:rsidP="00000000" w:rsidRDefault="00000000" w:rsidRPr="00000000" w14:paraId="00000094">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8. Distribution Share</w:t>
      </w:r>
    </w:p>
    <w:p w:rsidR="00000000" w:rsidDel="00000000" w:rsidP="00000000" w:rsidRDefault="00000000" w:rsidRPr="00000000" w14:paraId="00000096">
      <w:pPr>
        <w:spacing w:after="120" w:lineRule="auto"/>
        <w:rPr/>
      </w:pPr>
      <w:r w:rsidDel="00000000" w:rsidR="00000000" w:rsidRPr="00000000">
        <w:rPr>
          <w:i w:val="1"/>
          <w:iCs w:val="1"/>
          <w:color w:val="222933"/>
          <w:rtl w:val="0"/>
        </w:rPr>
        <w:t xml:space="preserve">(binding)</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color w:val="222933"/>
          <w:rtl w:val="0"/>
        </w:rPr>
        <w:t xml:space="preserve">POD operates an investor base that subscribes directly to SPs on the POD platform. When a POD-Sourced Subscriber invests in the SP, POD’s distribution channel - not the IA’s sales effort - has driven that capital. The Distribution Share recognises this and aligns POD’s economic role with the value POD’s investor base brings to the SP.</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8.1 Trigger</w:t>
      </w:r>
    </w:p>
    <w:p w:rsidR="00000000" w:rsidDel="00000000" w:rsidP="00000000" w:rsidRDefault="00000000" w:rsidRPr="00000000" w14:paraId="00000099">
      <w:pPr>
        <w:spacing w:after="120" w:lineRule="auto"/>
        <w:rPr/>
      </w:pPr>
      <w:r w:rsidDel="00000000" w:rsidR="00000000" w:rsidRPr="00000000">
        <w:rPr>
          <w:color w:val="222933"/>
          <w:rtl w:val="0"/>
        </w:rPr>
        <w:t xml:space="preserve">The Distribution Share is triggered when funds are invested into the SP by a Shareholder who is a POD-Sourced Subscriber under §8.4. It applies for as long as that Shareholder remains invested in the SP.</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8.2 Rate and Base</w:t>
      </w:r>
    </w:p>
    <w:p w:rsidR="00000000" w:rsidDel="00000000" w:rsidP="00000000" w:rsidRDefault="00000000" w:rsidRPr="00000000" w14:paraId="0000009B">
      <w:pPr>
        <w:spacing w:after="120" w:lineRule="auto"/>
        <w:rPr/>
      </w:pPr>
      <w:r w:rsidDel="00000000" w:rsidR="00000000" w:rsidRPr="00000000">
        <w:rPr>
          <w:color w:val="222933"/>
          <w:rtl w:val="0"/>
        </w:rPr>
        <w:t xml:space="preserve">The Distribution Share is 20% of the gross management fees and performance fees earned in respect of the POD-Sourced Subscriber’s holding. It is taken at the Manager level under the IAA waterfall: the IA’s payment under §7.1 from POD-Sourced Subscriber fees is reduced by a further 20% of gross fees before distribution to the IA.</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8.3 Attribution by Architecture</w:t>
      </w:r>
    </w:p>
    <w:p w:rsidR="00000000" w:rsidDel="00000000" w:rsidP="00000000" w:rsidRDefault="00000000" w:rsidRPr="00000000" w14:paraId="0000009D">
      <w:pPr>
        <w:spacing w:after="120" w:lineRule="auto"/>
        <w:rPr/>
      </w:pPr>
      <w:r w:rsidDel="00000000" w:rsidR="00000000" w:rsidRPr="00000000">
        <w:rPr>
          <w:color w:val="222933"/>
          <w:rtl w:val="0"/>
        </w:rPr>
        <w:t xml:space="preserve">By design of the POD platform, attribution is deterministic and dispute-free:</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b w:val="1"/>
          <w:bCs w:val="1"/>
          <w:color w:val="222933"/>
          <w:rtl w:val="0"/>
        </w:rPr>
        <w:t xml:space="preserve">(a) POD-Sourced Subscribers </w:t>
      </w:r>
      <w:r w:rsidDel="00000000" w:rsidR="00000000" w:rsidRPr="00000000">
        <w:rPr>
          <w:color w:val="222933"/>
          <w:rtl w:val="0"/>
        </w:rPr>
        <w:t xml:space="preserve">are Shareholders who subscribe to the SP via POD’s platform investor base (i.e. POD Discovery).</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b w:val="1"/>
          <w:bCs w:val="1"/>
          <w:color w:val="222933"/>
          <w:rtl w:val="0"/>
        </w:rPr>
        <w:t xml:space="preserve">(b) IA-Sourced Subscribers </w:t>
      </w:r>
      <w:r w:rsidDel="00000000" w:rsidR="00000000" w:rsidRPr="00000000">
        <w:rPr>
          <w:color w:val="222933"/>
          <w:rtl w:val="0"/>
        </w:rPr>
        <w:t xml:space="preserve">are Shareholders introduced to the SP by the IA at or before subscription, irrespective of whether Shareholder has previously executed a Subscription Agreement with any other POD SP. If the Shareholder is already on the POD platform, they must make a declaration in-app that the investment is the result of direct off-platform solicitation in order for their investment to be tagged as IA-sourced.</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b w:val="1"/>
          <w:bCs w:val="1"/>
          <w:color w:val="222933"/>
          <w:rtl w:val="0"/>
        </w:rPr>
        <w:t xml:space="preserve">(c) </w:t>
      </w:r>
      <w:r w:rsidDel="00000000" w:rsidR="00000000" w:rsidRPr="00000000">
        <w:rPr>
          <w:color w:val="222933"/>
          <w:rtl w:val="0"/>
        </w:rPr>
        <w:t xml:space="preserve">The two sets are mutually exclusive by virtue of platform architecture, with IA-introduced investors explicitly tagged as such on subscription. No documentation, audit trail, or attribution dispute mechanism is required.</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color w:val="222933"/>
          <w:rtl w:val="0"/>
        </w:rPr>
        <w:t xml:space="preserve">The Distribution Share in §8.2 applies only to POD-Sourced Subscribers.</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8.4 Definition: POD Distributed Investment</w:t>
      </w:r>
    </w:p>
    <w:p w:rsidR="00000000" w:rsidDel="00000000" w:rsidP="00000000" w:rsidRDefault="00000000" w:rsidRPr="00000000" w14:paraId="000000A3">
      <w:pPr>
        <w:spacing w:after="120" w:lineRule="auto"/>
        <w:rPr/>
      </w:pPr>
      <w:r w:rsidDel="00000000" w:rsidR="00000000" w:rsidRPr="00000000">
        <w:rPr>
          <w:color w:val="222933"/>
          <w:rtl w:val="0"/>
        </w:rPr>
        <w:t xml:space="preserve">References elsewhere in this Agreement to “POD Distributed Investment” mean the aggregate AUM in the SP attributable to POD-Sourced Subscribers as defined in §8.3(a). This figure is used in §6.9 (Distribution Milestone Extensions) and elsewhere where POD’s distribution-channel contribution is relevant.</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8.5 Stacking</w:t>
      </w:r>
    </w:p>
    <w:p w:rsidR="00000000" w:rsidDel="00000000" w:rsidP="00000000" w:rsidRDefault="00000000" w:rsidRPr="00000000" w14:paraId="000000A5">
      <w:pPr>
        <w:spacing w:after="120" w:lineRule="auto"/>
        <w:rPr/>
      </w:pPr>
      <w:r w:rsidDel="00000000" w:rsidR="00000000" w:rsidRPr="00000000">
        <w:rPr>
          <w:color w:val="222933"/>
          <w:rtl w:val="0"/>
        </w:rPr>
        <w:t xml:space="preserve">The Distribution Share is separate from and additional to: (a) the Revenue Share in §7.1; (b) the Platform Fee in §7.3; (c) Platform Services and wholesale-cost passthrough under §§5 and 7.4; and (d) any referral payments POD makes to the IA under §10.</w:t>
      </w:r>
      <w:r w:rsidDel="00000000" w:rsidR="00000000" w:rsidRPr="00000000">
        <w:rPr>
          <w:rtl w:val="0"/>
        </w:rPr>
      </w:r>
    </w:p>
    <w:p w:rsidR="00000000" w:rsidDel="00000000" w:rsidP="00000000" w:rsidRDefault="00000000" w:rsidRPr="00000000" w14:paraId="000000A6">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9. Deferred Distribution &amp; Forfeiture on Breach</w:t>
      </w:r>
    </w:p>
    <w:p w:rsidR="00000000" w:rsidDel="00000000" w:rsidP="00000000" w:rsidRDefault="00000000" w:rsidRPr="00000000" w14:paraId="000000A8">
      <w:pPr>
        <w:spacing w:after="120" w:lineRule="auto"/>
        <w:rPr/>
      </w:pPr>
      <w:r w:rsidDel="00000000" w:rsidR="00000000" w:rsidRPr="00000000">
        <w:rPr>
          <w:i w:val="1"/>
          <w:iCs w:val="1"/>
          <w:color w:val="222933"/>
          <w:rtl w:val="0"/>
        </w:rPr>
        <w:t xml:space="preserve">(binding)</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color w:val="222933"/>
          <w:rtl w:val="0"/>
        </w:rPr>
        <w:t xml:space="preserve">This section sets out a brief deferral on the IA’s performance fees and a narrow forfeiture mechanic. The intent is partnership-protective: where the IA’s breach forces POD to terminate, POD is made whole on amounts not yet distributed, but the IA’s invested principal is never affected.</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9.1 Brief Deferral of Performance Fees</w:t>
      </w:r>
    </w:p>
    <w:p w:rsidR="00000000" w:rsidDel="00000000" w:rsidP="00000000" w:rsidRDefault="00000000" w:rsidRPr="00000000" w14:paraId="000000AB">
      <w:pPr>
        <w:spacing w:after="120" w:lineRule="auto"/>
        <w:rPr/>
      </w:pPr>
      <w:r w:rsidDel="00000000" w:rsidR="00000000" w:rsidRPr="00000000">
        <w:rPr>
          <w:color w:val="222933"/>
          <w:rtl w:val="0"/>
        </w:rPr>
        <w:t xml:space="preserve">The IA’s performance fees are crystallised quarterly under the IAA. A deferral cycle of 90 days applies between crystallisation and distribution to the IA, during which the relevant amounts are held within the SP. This deferral aligns the IA’s compensation with continuing investor outcomes and is consistent with industry practice.</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9.2 Forfeiture on Termination for Cause</w:t>
      </w:r>
    </w:p>
    <w:p w:rsidR="00000000" w:rsidDel="00000000" w:rsidP="00000000" w:rsidRDefault="00000000" w:rsidRPr="00000000" w14:paraId="000000AD">
      <w:pPr>
        <w:spacing w:after="120" w:lineRule="auto"/>
        <w:rPr/>
      </w:pPr>
      <w:r w:rsidDel="00000000" w:rsidR="00000000" w:rsidRPr="00000000">
        <w:rPr>
          <w:color w:val="222933"/>
          <w:rtl w:val="0"/>
        </w:rPr>
        <w:t xml:space="preserve">If POD terminates this Agreement for cause under §12.2 on grounds of material breach by the IA that has not been cured within the cure period (or breaches incapable of cure), any deferred performance fees then in deferral are forfeited by the IA and reinvested into the SP for the benefit of continuing Shareholders.</w:t>
      </w: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b w:val="1"/>
          <w:bCs w:val="1"/>
          <w:i w:val="1"/>
          <w:iCs w:val="1"/>
          <w:color w:val="222933"/>
          <w:rtl w:val="0"/>
        </w:rPr>
        <w:t xml:space="preserve">For the avoidance of doubt, </w:t>
      </w:r>
      <w:r w:rsidDel="00000000" w:rsidR="00000000" w:rsidRPr="00000000">
        <w:rPr>
          <w:color w:val="222933"/>
          <w:rtl w:val="0"/>
        </w:rPr>
        <w:t xml:space="preserve">this forfeiture applies only to fees in deferral. It does NOT extend to: (a) the IA’s invested principal in the SP; (b) management or performance fees already distributed to the IA; or (c) accrued management fees not yet in the deferral cycle.</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9.3 Scope</w:t>
      </w:r>
    </w:p>
    <w:p w:rsidR="00000000" w:rsidDel="00000000" w:rsidP="00000000" w:rsidRDefault="00000000" w:rsidRPr="00000000" w14:paraId="000000B0">
      <w:pPr>
        <w:spacing w:after="120" w:lineRule="auto"/>
        <w:rPr/>
      </w:pPr>
      <w:r w:rsidDel="00000000" w:rsidR="00000000" w:rsidRPr="00000000">
        <w:rPr>
          <w:color w:val="222933"/>
          <w:rtl w:val="0"/>
        </w:rPr>
        <w:t xml:space="preserve">Forfeiture under this §9 applies only to termination by POD for cause under §12.2. Termination by mutual agreement, expiry of the Partnership Period, IA-initiated termination, or Manager-side convenience termination does NOT trigger forfeiture; deferred fees vest and are paid to the IA in the ordinary course.</w:t>
      </w:r>
      <w:r w:rsidDel="00000000" w:rsidR="00000000" w:rsidRPr="00000000">
        <w:rPr>
          <w:rtl w:val="0"/>
        </w:rPr>
      </w:r>
    </w:p>
    <w:p w:rsidR="00000000" w:rsidDel="00000000" w:rsidP="00000000" w:rsidRDefault="00000000" w:rsidRPr="00000000" w14:paraId="000000B1">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10. Referral Scheme</w:t>
      </w:r>
    </w:p>
    <w:p w:rsidR="00000000" w:rsidDel="00000000" w:rsidP="00000000" w:rsidRDefault="00000000" w:rsidRPr="00000000" w14:paraId="000000B3">
      <w:pPr>
        <w:spacing w:after="120" w:lineRule="auto"/>
        <w:rPr/>
      </w:pPr>
      <w:r w:rsidDel="00000000" w:rsidR="00000000" w:rsidRPr="00000000">
        <w:rPr>
          <w:i w:val="1"/>
          <w:iCs w:val="1"/>
          <w:color w:val="222933"/>
          <w:rtl w:val="0"/>
        </w:rPr>
        <w:t xml:space="preserve">(binding)</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color w:val="222933"/>
          <w:rtl w:val="0"/>
        </w:rPr>
        <w:t xml:space="preserve">Where the IA refers either an investor or a fellow PM to POD, the IA shares in POD’s revenue from those referrals on a stepped basis.</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10.1 Investor Referral</w:t>
      </w:r>
    </w:p>
    <w:p w:rsidR="00000000" w:rsidDel="00000000" w:rsidP="00000000" w:rsidRDefault="00000000" w:rsidRPr="00000000" w14:paraId="000000B6">
      <w:pPr>
        <w:spacing w:after="120" w:lineRule="auto"/>
        <w:rPr/>
      </w:pPr>
      <w:r w:rsidDel="00000000" w:rsidR="00000000" w:rsidRPr="00000000">
        <w:rPr>
          <w:color w:val="222933"/>
          <w:rtl w:val="0"/>
        </w:rPr>
        <w:t xml:space="preserve">Where the IA refers an investor who subsequently subscribes to a Segregated Portfolio managed by another Investment Advisor on the POD platform (i.e. NOT the IA’s own SP), POD shall pay the IA a stepped revenue share on the gross revenue earned by POD from that investor’s holding (comprising the Revenue Share, the Platform Fee, and any Distribution Share POD earns on that investor):</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b w:val="1"/>
          <w:bCs w:val="1"/>
          <w:color w:val="222933"/>
          <w:rtl w:val="0"/>
        </w:rPr>
        <w:t xml:space="preserve">(a) 20% in Year 1 </w:t>
      </w:r>
      <w:r w:rsidDel="00000000" w:rsidR="00000000" w:rsidRPr="00000000">
        <w:rPr>
          <w:color w:val="222933"/>
          <w:rtl w:val="0"/>
        </w:rPr>
        <w:t xml:space="preserve">- for the 12-month period commencing on the date of the investor’s first dollar invested on the POD platform via the referral;</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b w:val="1"/>
          <w:bCs w:val="1"/>
          <w:color w:val="222933"/>
          <w:rtl w:val="0"/>
        </w:rPr>
        <w:t xml:space="preserve">(b) 10% in Year 2 </w:t>
      </w:r>
      <w:r w:rsidDel="00000000" w:rsidR="00000000" w:rsidRPr="00000000">
        <w:rPr>
          <w:color w:val="222933"/>
          <w:rtl w:val="0"/>
        </w:rPr>
        <w:t xml:space="preserve">- for the immediately following 12-month period;</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b w:val="1"/>
          <w:bCs w:val="1"/>
          <w:color w:val="222933"/>
          <w:rtl w:val="0"/>
        </w:rPr>
        <w:t xml:space="preserve">(c) 0% thereafter </w:t>
      </w:r>
      <w:r w:rsidDel="00000000" w:rsidR="00000000" w:rsidRPr="00000000">
        <w:rPr>
          <w:color w:val="222933"/>
          <w:rtl w:val="0"/>
        </w:rPr>
        <w:t xml:space="preserve">- no further referral payments accrue from month 25 onwards;</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color w:val="222933"/>
          <w:rtl w:val="0"/>
        </w:rPr>
        <w:t xml:space="preserve">(d) one-time per investor - the schedule does not refresh on subsequent investments by the same investor.</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10.2 Manager Referral</w:t>
      </w:r>
    </w:p>
    <w:p w:rsidR="00000000" w:rsidDel="00000000" w:rsidP="00000000" w:rsidRDefault="00000000" w:rsidRPr="00000000" w14:paraId="000000BC">
      <w:pPr>
        <w:spacing w:after="120" w:lineRule="auto"/>
        <w:rPr/>
      </w:pPr>
      <w:r w:rsidDel="00000000" w:rsidR="00000000" w:rsidRPr="00000000">
        <w:rPr>
          <w:color w:val="222933"/>
          <w:rtl w:val="0"/>
        </w:rPr>
        <w:t xml:space="preserve">Where the IA refers a third-party PM or investment advisor who subsequently signs an Investment Advisory Agreement with POD and launches an SP, POD shall pay the IA a stepped revenue share on the gross revenue earned by POD from the referred PM’s SP (comprising the Revenue Share, the Platform Fee, and any Distribution Share POD earns on that SP):</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b w:val="1"/>
          <w:bCs w:val="1"/>
          <w:color w:val="222933"/>
          <w:rtl w:val="0"/>
        </w:rPr>
        <w:t xml:space="preserve">(a) 20% in Year 1 </w:t>
      </w:r>
      <w:r w:rsidDel="00000000" w:rsidR="00000000" w:rsidRPr="00000000">
        <w:rPr>
          <w:color w:val="222933"/>
          <w:rtl w:val="0"/>
        </w:rPr>
        <w:t xml:space="preserve">- for the 12-month period commencing on the date that the referred PM’s first SP goes live;</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b w:val="1"/>
          <w:bCs w:val="1"/>
          <w:color w:val="222933"/>
          <w:rtl w:val="0"/>
        </w:rPr>
        <w:t xml:space="preserve">(b) 10% in Year 2 </w:t>
      </w:r>
      <w:r w:rsidDel="00000000" w:rsidR="00000000" w:rsidRPr="00000000">
        <w:rPr>
          <w:color w:val="222933"/>
          <w:rtl w:val="0"/>
        </w:rPr>
        <w:t xml:space="preserve">- for the immediately following 12-month period;</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b w:val="1"/>
          <w:bCs w:val="1"/>
          <w:color w:val="222933"/>
          <w:rtl w:val="0"/>
        </w:rPr>
        <w:t xml:space="preserve">(c) 0% thereafter </w:t>
      </w:r>
      <w:r w:rsidDel="00000000" w:rsidR="00000000" w:rsidRPr="00000000">
        <w:rPr>
          <w:color w:val="222933"/>
          <w:rtl w:val="0"/>
        </w:rPr>
        <w:t xml:space="preserve">- no further referral payments accrue from month 25 onwards;</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color w:val="222933"/>
          <w:rtl w:val="0"/>
        </w:rPr>
        <w:t xml:space="preserve">(d) one-time per referred PM - the schedule does not refresh on subsequent SPs launched by the same PM;</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b w:val="1"/>
          <w:bCs w:val="1"/>
          <w:color w:val="222933"/>
          <w:rtl w:val="0"/>
        </w:rPr>
        <w:t xml:space="preserve">(e) Conduct condition. </w:t>
      </w:r>
      <w:r w:rsidDel="00000000" w:rsidR="00000000" w:rsidRPr="00000000">
        <w:rPr>
          <w:color w:val="222933"/>
          <w:rtl w:val="0"/>
        </w:rPr>
        <w:t xml:space="preserve">If the referred PM is terminated by POD for cause within the 24-month referral window, residual referral payments cease from the date of termination. Referral payments already made are not clawed back.</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10.3 Attribution and Limits</w:t>
      </w:r>
    </w:p>
    <w:p w:rsidR="00000000" w:rsidDel="00000000" w:rsidP="00000000" w:rsidRDefault="00000000" w:rsidRPr="00000000" w14:paraId="000000C3">
      <w:pPr>
        <w:spacing w:after="120" w:lineRule="auto"/>
        <w:rPr/>
      </w:pPr>
      <w:r w:rsidDel="00000000" w:rsidR="00000000" w:rsidRPr="00000000">
        <w:rPr>
          <w:color w:val="222933"/>
          <w:rtl w:val="0"/>
        </w:rPr>
        <w:t xml:space="preserve">Referrals must be documented in writing to POD prior to introduction; POD will acknowledge the referral or decline (where a conflict or pre-existing relationship is identified) within 10 business days. Referral payments do not stack in respect of the same investor or PM.</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10.4 Payment</w:t>
      </w:r>
    </w:p>
    <w:p w:rsidR="00000000" w:rsidDel="00000000" w:rsidP="00000000" w:rsidRDefault="00000000" w:rsidRPr="00000000" w14:paraId="000000C5">
      <w:pPr>
        <w:spacing w:after="120" w:lineRule="auto"/>
        <w:rPr/>
      </w:pPr>
      <w:r w:rsidDel="00000000" w:rsidR="00000000" w:rsidRPr="00000000">
        <w:rPr>
          <w:color w:val="222933"/>
          <w:rtl w:val="0"/>
        </w:rPr>
        <w:t xml:space="preserve">Referral payments are calculated and paid quarterly in arrears from POD’s gross revenue, net of any clawback or offset mechanism that applies to the underlying revenue items.</w:t>
      </w:r>
      <w:r w:rsidDel="00000000" w:rsidR="00000000" w:rsidRPr="00000000">
        <w:rPr>
          <w:rtl w:val="0"/>
        </w:rPr>
      </w:r>
    </w:p>
    <w:p w:rsidR="00000000" w:rsidDel="00000000" w:rsidP="00000000" w:rsidRDefault="00000000" w:rsidRPr="00000000" w14:paraId="000000C6">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11. What is Included in the Partnership</w:t>
      </w:r>
    </w:p>
    <w:p w:rsidR="00000000" w:rsidDel="00000000" w:rsidP="00000000" w:rsidRDefault="00000000" w:rsidRPr="00000000" w14:paraId="000000C8">
      <w:pPr>
        <w:spacing w:after="120" w:lineRule="auto"/>
        <w:rPr/>
      </w:pPr>
      <w:r w:rsidDel="00000000" w:rsidR="00000000" w:rsidRPr="00000000">
        <w:rPr>
          <w:i w:val="1"/>
          <w:iCs w:val="1"/>
          <w:color w:val="222933"/>
          <w:rtl w:val="0"/>
        </w:rPr>
        <w:t xml:space="preserve">(non-binding, indicative)</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color w:val="222933"/>
          <w:rtl w:val="0"/>
        </w:rPr>
        <w:t xml:space="preserve">POD’s upfront and ongoing investment in the IA’s launch comes through in concrete cost absorption. The items below are what an emerging manager would typically pay piecemeal under a traditional administrator / ManCo arrangement, and which POD bears or absorbs as part of the Revenue Share, the 20bps Platform Fee, and the wholesale-cost passthrough in §7.4. None are charged to the IA or the SP separately.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000"/>
        <w:gridCol w:w="3060"/>
        <w:tblGridChange w:id="0">
          <w:tblGrid>
            <w:gridCol w:w="3300"/>
            <w:gridCol w:w="3000"/>
            <w:gridCol w:w="3060"/>
          </w:tblGrid>
        </w:tblGridChange>
      </w:tblGrid>
      <w:tr>
        <w:trPr>
          <w:cantSplit w:val="0"/>
          <w:tblHeader w:val="1"/>
        </w:trPr>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Inter" w:cs="Inter" w:eastAsia="Inter" w:hAnsi="Inter"/>
                <w:b w:val="1"/>
                <w:bCs w:val="1"/>
                <w:color w:val="0c3e67"/>
                <w:sz w:val="21"/>
                <w:szCs w:val="21"/>
                <w:rtl w:val="0"/>
              </w:rPr>
              <w:t xml:space="preserve">Item</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Inter" w:cs="Inter" w:eastAsia="Inter" w:hAnsi="Inter"/>
                <w:b w:val="1"/>
                <w:bCs w:val="1"/>
                <w:color w:val="0c3e67"/>
                <w:sz w:val="21"/>
                <w:szCs w:val="21"/>
                <w:rtl w:val="0"/>
              </w:rPr>
              <w:t xml:space="preserve">Typical market cost</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Inter" w:cs="Inter" w:eastAsia="Inter" w:hAnsi="Inter"/>
                <w:b w:val="1"/>
                <w:bCs w:val="1"/>
                <w:color w:val="0c3e67"/>
                <w:sz w:val="21"/>
                <w:szCs w:val="21"/>
                <w:rtl w:val="0"/>
              </w:rPr>
              <w:t xml:space="preserve">POD charge</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222933"/>
                <w:sz w:val="21"/>
                <w:szCs w:val="21"/>
                <w:rtl w:val="0"/>
              </w:rPr>
              <w:t xml:space="preserve">Fund formation / SP setup</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222933"/>
                <w:sz w:val="21"/>
                <w:szCs w:val="21"/>
                <w:rtl w:val="0"/>
              </w:rPr>
              <w:t xml:space="preserve">$20,000 – 150,000</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222933"/>
                <w:sz w:val="21"/>
                <w:szCs w:val="21"/>
                <w:rtl w:val="0"/>
              </w:rPr>
              <w:t xml:space="preserve">~$8,000 in direct pass through costs. No extra charge from POD.</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222933"/>
                <w:sz w:val="21"/>
                <w:szCs w:val="21"/>
                <w:rtl w:val="0"/>
              </w:rPr>
              <w:t xml:space="preserve">Monthly platform / admin minimum</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222933"/>
                <w:sz w:val="21"/>
                <w:szCs w:val="21"/>
                <w:rtl w:val="0"/>
              </w:rPr>
              <w:t xml:space="preserve">$2,000 – 15,000/mo</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222933"/>
                <w:sz w:val="21"/>
                <w:szCs w:val="21"/>
                <w:rtl w:val="0"/>
              </w:rPr>
              <w:t xml:space="preserve">Zero (POD absorbs vendor minimums under §6.4)</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222933"/>
                <w:sz w:val="21"/>
                <w:szCs w:val="21"/>
                <w:rtl w:val="0"/>
              </w:rPr>
              <w:t xml:space="preserve">Annual ManCo / approved-manager retainer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222933"/>
                <w:sz w:val="21"/>
                <w:szCs w:val="21"/>
                <w:rtl w:val="0"/>
              </w:rPr>
              <w:t xml:space="preserve">$30,000 – 75,000/yr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222933"/>
                <w:sz w:val="21"/>
                <w:szCs w:val="21"/>
                <w:rtl w:val="0"/>
              </w:rPr>
              <w:t xml:space="preserve">Zero</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222933"/>
                <w:sz w:val="21"/>
                <w:szCs w:val="21"/>
                <w:rtl w:val="0"/>
              </w:rPr>
              <w:t xml:space="preserve">Per-SP compliance/regulatory review</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color w:val="222933"/>
                <w:sz w:val="21"/>
                <w:szCs w:val="21"/>
                <w:rtl w:val="0"/>
              </w:rPr>
              <w:t xml:space="preserve">$10,000 – 25,000/SP</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222933"/>
                <w:sz w:val="21"/>
                <w:szCs w:val="21"/>
                <w:rtl w:val="0"/>
              </w:rPr>
              <w:t xml:space="preserve">Zero</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222933"/>
                <w:sz w:val="21"/>
                <w:szCs w:val="21"/>
                <w:rtl w:val="0"/>
              </w:rPr>
              <w:t xml:space="preserve">Per-investor KYC / onboarding fee</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222933"/>
                <w:sz w:val="21"/>
                <w:szCs w:val="21"/>
                <w:rtl w:val="0"/>
              </w:rPr>
              <w:t xml:space="preserve">$100 – 500/investor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color w:val="222933"/>
                <w:sz w:val="21"/>
                <w:szCs w:val="21"/>
                <w:rtl w:val="0"/>
              </w:rPr>
              <w:t xml:space="preserve">Zero (Investor Passport)</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222933"/>
                <w:sz w:val="21"/>
                <w:szCs w:val="21"/>
                <w:rtl w:val="0"/>
              </w:rPr>
              <w:t xml:space="preserve">Transfer agency setup &amp; maintenance</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color w:val="222933"/>
                <w:sz w:val="21"/>
                <w:szCs w:val="21"/>
                <w:rtl w:val="0"/>
              </w:rPr>
              <w:t xml:space="preserve">$10,000+/yr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222933"/>
                <w:sz w:val="21"/>
                <w:szCs w:val="21"/>
                <w:rtl w:val="0"/>
              </w:rPr>
              <w:t xml:space="preserve">Zero</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222933"/>
                <w:sz w:val="21"/>
                <w:szCs w:val="21"/>
                <w:rtl w:val="0"/>
              </w:rPr>
              <w:t xml:space="preserve">Registered office / company secretarial</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222933"/>
                <w:sz w:val="21"/>
                <w:szCs w:val="21"/>
                <w:rtl w:val="0"/>
              </w:rPr>
              <w:t xml:space="preserve">$5,000 – 10,000/yr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222933"/>
                <w:sz w:val="21"/>
                <w:szCs w:val="21"/>
                <w:rtl w:val="0"/>
              </w:rPr>
              <w:t xml:space="preserve">Zero</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222933"/>
                <w:sz w:val="21"/>
                <w:szCs w:val="21"/>
                <w:rtl w:val="0"/>
              </w:rPr>
              <w:t xml:space="preserve">Authorised representative / FSC liaison</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222933"/>
                <w:sz w:val="21"/>
                <w:szCs w:val="21"/>
                <w:rtl w:val="0"/>
              </w:rPr>
              <w:t xml:space="preserve">$3,000 – 10,000/yr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222933"/>
                <w:sz w:val="21"/>
                <w:szCs w:val="21"/>
                <w:rtl w:val="0"/>
              </w:rPr>
              <w:t xml:space="preserve">Zero</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222933"/>
                <w:sz w:val="21"/>
                <w:szCs w:val="21"/>
                <w:rtl w:val="0"/>
              </w:rPr>
              <w:t xml:space="preserve">Director fees (independent or platform)</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222933"/>
                <w:sz w:val="21"/>
                <w:szCs w:val="21"/>
                <w:rtl w:val="0"/>
              </w:rPr>
              <w:t xml:space="preserve">$15,000 – 40,000/yr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222933"/>
                <w:sz w:val="21"/>
                <w:szCs w:val="21"/>
                <w:rtl w:val="0"/>
              </w:rPr>
              <w:t xml:space="preserve">Zero (POD-nominated directors)</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222933"/>
                <w:sz w:val="21"/>
                <w:szCs w:val="21"/>
                <w:rtl w:val="0"/>
              </w:rPr>
              <w:t xml:space="preserve">Investor reporting / portal</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222933"/>
                <w:sz w:val="21"/>
                <w:szCs w:val="21"/>
                <w:rtl w:val="0"/>
              </w:rPr>
              <w:t xml:space="preserve">$5,000 – 15,000/yr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222933"/>
                <w:sz w:val="21"/>
                <w:szCs w:val="21"/>
                <w:rtl w:val="0"/>
              </w:rPr>
              <w:t xml:space="preserve">Zero (Investor Portal included)</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222933"/>
                <w:sz w:val="21"/>
                <w:szCs w:val="21"/>
                <w:rtl w:val="0"/>
              </w:rPr>
              <w:t xml:space="preserve">Settlement, custody and trading aggregation</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222933"/>
                <w:sz w:val="21"/>
                <w:szCs w:val="21"/>
                <w:rtl w:val="0"/>
              </w:rPr>
              <w:t xml:space="preserve">Variable, retail-pricing common</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222933"/>
                <w:sz w:val="21"/>
                <w:szCs w:val="21"/>
                <w:rtl w:val="0"/>
              </w:rPr>
              <w:t xml:space="preserve">Wholesale via §6.4 passthrough</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222933"/>
                <w:sz w:val="21"/>
                <w:szCs w:val="21"/>
                <w:rtl w:val="0"/>
              </w:rPr>
              <w:t xml:space="preserve">Audit liaison fee (admin side)</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222933"/>
                <w:sz w:val="21"/>
                <w:szCs w:val="21"/>
                <w:rtl w:val="0"/>
              </w:rPr>
              <w:t xml:space="preserve">$5,000 – 10,000/yr</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222933"/>
                <w:sz w:val="21"/>
                <w:szCs w:val="21"/>
                <w:rtl w:val="0"/>
              </w:rPr>
              <w:t xml:space="preserve">Zero (SP audit costs remain SP expenses)</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222933"/>
                <w:sz w:val="21"/>
                <w:szCs w:val="21"/>
                <w:rtl w:val="0"/>
              </w:rPr>
              <w:t xml:space="preserve">Marketing / collateral support</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222933"/>
                <w:sz w:val="21"/>
                <w:szCs w:val="21"/>
                <w:rtl w:val="0"/>
              </w:rPr>
              <w:t xml:space="preserve">Variable</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222933"/>
                <w:sz w:val="21"/>
                <w:szCs w:val="21"/>
                <w:rtl w:val="0"/>
              </w:rPr>
              <w:t xml:space="preserve">Included (POD branding, investor materials)</w:t>
            </w:r>
            <w:r w:rsidDel="00000000" w:rsidR="00000000" w:rsidRPr="00000000">
              <w:rPr>
                <w:rtl w:val="0"/>
              </w:rPr>
            </w:r>
          </w:p>
        </w:tc>
      </w:tr>
    </w:tbl>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b w:val="1"/>
          <w:bCs w:val="1"/>
          <w:color w:val="222933"/>
          <w:rtl w:val="0"/>
        </w:rPr>
        <w:t xml:space="preserve">Net effect. </w:t>
      </w:r>
      <w:r w:rsidDel="00000000" w:rsidR="00000000" w:rsidRPr="00000000">
        <w:rPr>
          <w:color w:val="222933"/>
          <w:rtl w:val="0"/>
        </w:rPr>
        <w:t xml:space="preserve">A typical emerging manager launching off-platform should expect ~$100k–250k in fixed annual cost before management fees flow. With the POD platform, the equivalent fixed cost faced is &lt;$10k(pass through), and POD’s economics are entirely AUM-linked across three streams (Revenue Share §6.1; Platform Fee §6.3; Capital Subscriptions §7), with vendor passthrough at zero margin under §6.4.</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i w:val="1"/>
          <w:iCs w:val="1"/>
          <w:color w:val="222933"/>
          <w:rtl w:val="0"/>
        </w:rPr>
        <w:t xml:space="preserve">Market cost ranges are indicative, drawn from emerging-manager market norms.</w:t>
      </w:r>
      <w:r w:rsidDel="00000000" w:rsidR="00000000" w:rsidRPr="00000000">
        <w:rPr>
          <w:rtl w:val="0"/>
        </w:rPr>
      </w:r>
    </w:p>
    <w:p w:rsidR="00000000" w:rsidDel="00000000" w:rsidP="00000000" w:rsidRDefault="00000000" w:rsidRPr="00000000" w14:paraId="000000F7">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12. Term &amp; Termination</w:t>
      </w:r>
    </w:p>
    <w:p w:rsidR="00000000" w:rsidDel="00000000" w:rsidP="00000000" w:rsidRDefault="00000000" w:rsidRPr="00000000" w14:paraId="000000F9">
      <w:pPr>
        <w:spacing w:after="120" w:lineRule="auto"/>
        <w:rPr/>
      </w:pPr>
      <w:r w:rsidDel="00000000" w:rsidR="00000000" w:rsidRPr="00000000">
        <w:rPr>
          <w:color w:val="222933"/>
          <w:rtl w:val="0"/>
        </w:rPr>
        <w:t xml:space="preserve">This section covers how the Agreement starts, how it ends, and what survives. It is calibrated to give both parties confidence that the partnership endures in the ordinary course and that there is a clean exit if circumstances genuinely require it.</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b w:val="1"/>
          <w:bCs w:val="1"/>
          <w:color w:val="222933"/>
          <w:rtl w:val="0"/>
        </w:rPr>
        <w:t xml:space="preserve">12.1 Term. </w:t>
      </w:r>
      <w:r w:rsidDel="00000000" w:rsidR="00000000" w:rsidRPr="00000000">
        <w:rPr>
          <w:color w:val="222933"/>
          <w:rtl w:val="0"/>
        </w:rPr>
        <w:t xml:space="preserve">This Agreement commences on the Effective Date and continues for so long as the IAA remains in force in respect of at least one SP. The Partnership Period (per §6.1, including any Distribution Milestone Extensions under §6.9) survives termination in accordance with its terms.</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b w:val="1"/>
          <w:bCs w:val="1"/>
          <w:color w:val="222933"/>
          <w:rtl w:val="0"/>
        </w:rPr>
        <w:t xml:space="preserve">12.2 Termination for Cause. </w:t>
      </w:r>
      <w:r w:rsidDel="00000000" w:rsidR="00000000" w:rsidRPr="00000000">
        <w:rPr>
          <w:color w:val="222933"/>
          <w:rtl w:val="0"/>
        </w:rPr>
        <w:t xml:space="preserve">Either party may terminate on written notice for material breach uncured after 30 days’ written notice, insolvency, or regulatory disqualification of the other party. Termination by POD under this clause on grounds of IA breach triggers the Forfeiture provisions in §9.2.</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b w:val="1"/>
          <w:bCs w:val="1"/>
          <w:color w:val="222933"/>
          <w:rtl w:val="0"/>
        </w:rPr>
        <w:t xml:space="preserve">12.3 Termination for Convenience. </w:t>
      </w:r>
      <w:r w:rsidDel="00000000" w:rsidR="00000000" w:rsidRPr="00000000">
        <w:rPr>
          <w:color w:val="222933"/>
          <w:rtl w:val="0"/>
        </w:rPr>
        <w:t xml:space="preserve">The IA may not terminate for convenience during the Partnership Period. POD may terminate for convenience on 3 months’ written notice; on such termination, any deferred performance fees in deferral vest and are paid to the IA in the ordinary course.</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b w:val="1"/>
          <w:bCs w:val="1"/>
          <w:color w:val="222933"/>
          <w:rtl w:val="0"/>
        </w:rPr>
        <w:t xml:space="preserve">12.4 Survival. </w:t>
      </w:r>
      <w:r w:rsidDel="00000000" w:rsidR="00000000" w:rsidRPr="00000000">
        <w:rPr>
          <w:color w:val="222933"/>
          <w:rtl w:val="0"/>
        </w:rPr>
        <w:t xml:space="preserve">§6 (Partnership Period &amp; Continuity, for the balance of the Partnership Period), §9 (Deferred Distribution &amp; Forfeiture, in respect of fees in deferral at the time of termination), §13 (General), and any accrued rights survive termination.</w:t>
      </w:r>
      <w:r w:rsidDel="00000000" w:rsidR="00000000" w:rsidRPr="00000000">
        <w:rPr>
          <w:rtl w:val="0"/>
        </w:rPr>
      </w:r>
    </w:p>
    <w:p w:rsidR="00000000" w:rsidDel="00000000" w:rsidP="00000000" w:rsidRDefault="00000000" w:rsidRPr="00000000" w14:paraId="000000FE">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13. General</w:t>
      </w:r>
    </w:p>
    <w:p w:rsidR="00000000" w:rsidDel="00000000" w:rsidP="00000000" w:rsidRDefault="00000000" w:rsidRPr="00000000" w14:paraId="00000100">
      <w:pPr>
        <w:spacing w:after="120" w:lineRule="auto"/>
        <w:rPr/>
      </w:pPr>
      <w:r w:rsidDel="00000000" w:rsidR="00000000" w:rsidRPr="00000000">
        <w:rPr>
          <w:i w:val="1"/>
          <w:iCs w:val="1"/>
          <w:color w:val="222933"/>
          <w:rtl w:val="0"/>
        </w:rPr>
        <w:t xml:space="preserve">(short form - to be expanded in full IAA)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Inter" w:cs="Inter" w:eastAsia="Inter" w:hAnsi="Inter"/>
                <w:b w:val="1"/>
                <w:bCs w:val="1"/>
                <w:color w:val="0c3e67"/>
                <w:sz w:val="21"/>
                <w:szCs w:val="21"/>
                <w:rtl w:val="0"/>
              </w:rPr>
              <w:t xml:space="preserve">Clause</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shd w:fill="f6eee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Inter" w:cs="Inter" w:eastAsia="Inter" w:hAnsi="Inter"/>
                <w:b w:val="1"/>
                <w:bCs w:val="1"/>
                <w:color w:val="0c3e67"/>
                <w:sz w:val="21"/>
                <w:szCs w:val="21"/>
                <w:rtl w:val="0"/>
              </w:rPr>
              <w:t xml:space="preserve">Position</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222933"/>
                <w:sz w:val="21"/>
                <w:szCs w:val="21"/>
                <w:rtl w:val="0"/>
              </w:rPr>
              <w:t xml:space="preserve">Governing law</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222933"/>
                <w:sz w:val="21"/>
                <w:szCs w:val="21"/>
                <w:rtl w:val="0"/>
              </w:rPr>
              <w:t xml:space="preserve">British Virgin Islands</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222933"/>
                <w:sz w:val="21"/>
                <w:szCs w:val="21"/>
                <w:rtl w:val="0"/>
              </w:rPr>
              <w:t xml:space="preserve">Dispute resolution</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222933"/>
                <w:sz w:val="21"/>
                <w:szCs w:val="21"/>
                <w:rtl w:val="0"/>
              </w:rPr>
              <w:t xml:space="preserve">Arbitration - BVI IAC, single arbitrator, English language</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222933"/>
                <w:sz w:val="21"/>
                <w:szCs w:val="21"/>
                <w:rtl w:val="0"/>
              </w:rPr>
              <w:t xml:space="preserve">Assignment</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222933"/>
                <w:sz w:val="21"/>
                <w:szCs w:val="21"/>
                <w:rtl w:val="0"/>
              </w:rPr>
              <w:t xml:space="preserve">No assignment without prior written consent of the other party, save intragroup assignments by the Manager on notice</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222933"/>
                <w:sz w:val="21"/>
                <w:szCs w:val="21"/>
                <w:rtl w:val="0"/>
              </w:rPr>
              <w:t xml:space="preserve">Confidentiality</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222933"/>
                <w:sz w:val="21"/>
                <w:szCs w:val="21"/>
                <w:rtl w:val="0"/>
              </w:rPr>
              <w:t xml:space="preserve">Mutual, 5-year tail post-termination, standard carve-outs</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222933"/>
                <w:sz w:val="21"/>
                <w:szCs w:val="21"/>
                <w:rtl w:val="0"/>
              </w:rPr>
              <w:t xml:space="preserve">Notices</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222933"/>
                <w:sz w:val="21"/>
                <w:szCs w:val="21"/>
                <w:rtl w:val="0"/>
              </w:rPr>
              <w:t xml:space="preserve">Email to nominated addresses, deemed received next business day</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color w:val="222933"/>
                <w:sz w:val="21"/>
                <w:szCs w:val="21"/>
                <w:rtl w:val="0"/>
              </w:rPr>
              <w:t xml:space="preserve">Entire agreement</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222933"/>
                <w:sz w:val="21"/>
                <w:szCs w:val="21"/>
                <w:rtl w:val="0"/>
              </w:rPr>
              <w:t xml:space="preserve">This term sheet + executed IAA + Administration Agreement constitute the complete commercial arrangement</w:t>
            </w:r>
            <w:r w:rsidDel="00000000" w:rsidR="00000000" w:rsidRPr="00000000">
              <w:rPr>
                <w:rtl w:val="0"/>
              </w:rPr>
            </w:r>
          </w:p>
        </w:tc>
      </w:tr>
      <w:tr>
        <w:trPr>
          <w:cantSplit w:val="0"/>
          <w:tblHeader w:val="0"/>
        </w:trPr>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color w:val="222933"/>
                <w:sz w:val="21"/>
                <w:szCs w:val="21"/>
                <w:rtl w:val="0"/>
              </w:rPr>
              <w:t xml:space="preserve">Binding effect</w:t>
            </w:r>
            <w:r w:rsidDel="00000000" w:rsidR="00000000" w:rsidRPr="00000000">
              <w:rPr>
                <w:rtl w:val="0"/>
              </w:rPr>
            </w:r>
          </w:p>
        </w:tc>
        <w:tc>
          <w:tcPr>
            <w:tcBorders>
              <w:top w:color="ead8cb" w:space="0" w:sz="4" w:val="single"/>
              <w:left w:color="ead8cb" w:space="0" w:sz="4" w:val="single"/>
              <w:bottom w:color="ead8cb" w:space="0" w:sz="4" w:val="single"/>
              <w:right w:color="ead8cb"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222933"/>
                <w:sz w:val="21"/>
                <w:szCs w:val="21"/>
                <w:rtl w:val="0"/>
              </w:rPr>
              <w:t xml:space="preserve">§§5, 6, 7, 8, 9, 10 are legally binding on signature; all other provisions are non-binding indications of intent pending execution of the definitive IAA</w:t>
            </w:r>
            <w:r w:rsidDel="00000000" w:rsidR="00000000" w:rsidRPr="00000000">
              <w:rPr>
                <w:rtl w:val="0"/>
              </w:rPr>
            </w:r>
          </w:p>
        </w:tc>
      </w:tr>
    </w:tbl>
    <w:p w:rsidR="00000000" w:rsidDel="00000000" w:rsidP="00000000" w:rsidRDefault="00000000" w:rsidRPr="00000000" w14:paraId="00000111">
      <w:pPr>
        <w:pBdr>
          <w:bottom w:color="ead8cb" w:space="1" w:sz="6" w:val="single"/>
        </w:pBdr>
        <w:spacing w:after="120" w:before="120" w:lineRule="auto"/>
        <w:rPr/>
      </w:pP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14. Next Steps</w:t>
      </w:r>
    </w:p>
    <w:p w:rsidR="00000000" w:rsidDel="00000000" w:rsidP="00000000" w:rsidRDefault="00000000" w:rsidRPr="00000000" w14:paraId="00000113">
      <w:pPr>
        <w:spacing w:after="120" w:lineRule="auto"/>
        <w:rPr/>
      </w:pPr>
      <w:r w:rsidDel="00000000" w:rsidR="00000000" w:rsidRPr="00000000">
        <w:rPr>
          <w:color w:val="222933"/>
          <w:rtl w:val="0"/>
        </w:rPr>
        <w:t xml:space="preserve">If the partnership feels right, the path from here is short:</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80" w:lineRule="auto"/>
        <w:ind w:left="540" w:firstLine="0"/>
        <w:rPr>
          <w:color w:val="000000"/>
        </w:rPr>
      </w:pPr>
      <w:r w:rsidDel="00000000" w:rsidR="00000000" w:rsidRPr="00000000">
        <w:rPr>
          <w:color w:val="222933"/>
          <w:rtl w:val="0"/>
        </w:rPr>
        <w:t xml:space="preserve">1. Confirm the Revenue Share tier rates in §7.2 and any per-deal commercial overlays.</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80" w:lineRule="auto"/>
        <w:ind w:left="540" w:firstLine="0"/>
        <w:rPr>
          <w:color w:val="000000"/>
        </w:rPr>
      </w:pPr>
      <w:r w:rsidDel="00000000" w:rsidR="00000000" w:rsidRPr="00000000">
        <w:rPr>
          <w:color w:val="222933"/>
          <w:rtl w:val="0"/>
        </w:rPr>
        <w:t xml:space="preserve">2. Disclose pre-existing fund and platform relationships for inclusion in Schedule [GF-1].</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80" w:lineRule="auto"/>
        <w:ind w:left="540" w:firstLine="0"/>
        <w:rPr>
          <w:color w:val="000000"/>
        </w:rPr>
      </w:pPr>
      <w:r w:rsidDel="00000000" w:rsidR="00000000" w:rsidRPr="00000000">
        <w:rPr>
          <w:color w:val="222933"/>
          <w:rtl w:val="0"/>
        </w:rPr>
        <w:t xml:space="preserve">3. Sign this term sheet - §§5, 6, 7, 8, 9, 10 become binding on signature; the rest moves to the IAA.</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80" w:lineRule="auto"/>
        <w:ind w:left="540" w:firstLine="0"/>
        <w:rPr>
          <w:color w:val="000000"/>
        </w:rPr>
      </w:pPr>
      <w:r w:rsidDel="00000000" w:rsidR="00000000" w:rsidRPr="00000000">
        <w:rPr>
          <w:color w:val="222933"/>
          <w:rtl w:val="0"/>
        </w:rPr>
        <w:t xml:space="preserve">4. Begin KYC on the IA entity and Key Person(s); see the Onboarding Timeline.</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80" w:lineRule="auto"/>
        <w:ind w:left="540" w:firstLine="0"/>
        <w:rPr>
          <w:color w:val="000000"/>
        </w:rPr>
      </w:pPr>
      <w:r w:rsidDel="00000000" w:rsidR="00000000" w:rsidRPr="00000000">
        <w:rPr>
          <w:color w:val="222933"/>
          <w:rtl w:val="0"/>
        </w:rPr>
        <w:t xml:space="preserve">5. POD initiates SP creation in BVI; the IAA is finalised and executed in parallel.</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80" w:lineRule="auto"/>
        <w:ind w:left="540" w:firstLine="0"/>
        <w:rPr>
          <w:color w:val="000000"/>
        </w:rPr>
      </w:pPr>
      <w:r w:rsidDel="00000000" w:rsidR="00000000" w:rsidRPr="00000000">
        <w:rPr>
          <w:color w:val="222933"/>
          <w:rtl w:val="0"/>
        </w:rPr>
        <w:t xml:space="preserve">6. Account opening, production testing, then go-live - typically 6-9 weeks from term sheet signing.</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tl w:val="0"/>
        </w:rPr>
      </w:r>
    </w:p>
    <w:p w:rsidR="00000000" w:rsidDel="00000000" w:rsidP="00000000" w:rsidRDefault="00000000" w:rsidRPr="00000000" w14:paraId="0000011B">
      <w:pPr>
        <w:spacing w:after="120" w:lineRule="auto"/>
        <w:jc w:val="center"/>
        <w:rPr/>
      </w:pPr>
      <w:r w:rsidDel="00000000" w:rsidR="00000000" w:rsidRPr="00000000">
        <w:rPr>
          <w:i w:val="1"/>
          <w:iCs w:val="1"/>
          <w:color w:val="0c3e67"/>
          <w:rtl w:val="0"/>
        </w:rPr>
        <w:t xml:space="preserve">We look forward to building this partnership with you.</w:t>
      </w:r>
      <w:r w:rsidDel="00000000" w:rsidR="00000000" w:rsidRPr="00000000">
        <w:rPr>
          <w:rtl w:val="0"/>
        </w:rPr>
      </w:r>
    </w:p>
    <w:sectPr>
      <w:headerReference r:id="rId7" w:type="default"/>
      <w:footerReference r:id="rId8" w:type="default"/>
      <w:footerReference r:id="rId9"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strument Serif">
    <w:embedRegular w:fontKey="{00000000-0000-0000-0000-000000000000}" r:id="rId5" w:subsetted="0"/>
    <w:embedItalic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Inter Light" w:cs="Inter Light" w:eastAsia="Inter Light" w:hAnsi="Inter Light"/>
        <w:b w:val="0"/>
        <w:bCs w:val="0"/>
        <w:i w:val="0"/>
        <w:iCs w:val="0"/>
        <w:smallCaps w:val="0"/>
        <w:strike w:val="0"/>
        <w:color w:val="000000"/>
        <w:sz w:val="22"/>
        <w:szCs w:val="22"/>
        <w:u w:val="none"/>
        <w:shd w:fill="auto" w:val="clear"/>
        <w:vertAlign w:val="baseline"/>
      </w:rPr>
    </w:pPr>
    <w:r w:rsidDel="00000000" w:rsidR="00000000" w:rsidRPr="00000000">
      <w:rPr>
        <w:rFonts w:ascii="Inter Light" w:cs="Inter Light" w:eastAsia="Inter Light" w:hAnsi="Inter Light"/>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Inter Light" w:cs="Inter Light" w:eastAsia="Inter Light" w:hAnsi="Inter Light"/>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Inter Light" w:cs="Inter Light" w:eastAsia="Inter Light" w:hAnsi="Inter Light"/>
        <w:b w:val="0"/>
        <w:bCs w:val="0"/>
        <w:i w:val="0"/>
        <w:iCs w:val="0"/>
        <w:smallCaps w:val="0"/>
        <w:strike w:val="0"/>
        <w:color w:val="000000"/>
        <w:sz w:val="16"/>
        <w:szCs w:val="16"/>
        <w:u w:val="none"/>
        <w:shd w:fill="auto" w:val="clear"/>
        <w:vertAlign w:val="baseline"/>
      </w:rPr>
    </w:pPr>
    <w:r w:rsidDel="00000000" w:rsidR="00000000" w:rsidRPr="00000000">
      <w:rPr>
        <w:rFonts w:ascii="Inter Light" w:cs="Inter Light" w:eastAsia="Inter Light" w:hAnsi="Inter Light"/>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tabs>
        <w:tab w:val="right" w:leader="none" w:pos="9026"/>
      </w:tabs>
      <w:ind w:right="360"/>
      <w:rPr>
        <w:sz w:val="20"/>
        <w:szCs w:val="20"/>
      </w:rPr>
    </w:pPr>
    <w:r w:rsidDel="00000000" w:rsidR="00000000" w:rsidRPr="00000000">
      <w:rPr>
        <w:rFonts w:ascii="Inter" w:cs="Inter" w:eastAsia="Inter" w:hAnsi="Inter"/>
        <w:color w:val="6f7785"/>
        <w:sz w:val="16"/>
        <w:szCs w:val="16"/>
        <w:rtl w:val="0"/>
      </w:rPr>
      <w:t xml:space="preserve">Privileged &amp; Confidential · Draft for Investment Advisor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center"/>
      <w:rPr/>
    </w:pPr>
    <w:r w:rsidDel="00000000" w:rsidR="00000000" w:rsidRPr="00000000">
      <w:rPr/>
      <w:drawing>
        <wp:inline distB="0" distT="0" distL="0" distR="0">
          <wp:extent cx="1143000" cy="571500"/>
          <wp:effectExtent b="0" l="0" r="0" t="0"/>
          <wp:docPr descr="POD logo" id="1" name="image1.png"/>
          <a:graphic>
            <a:graphicData uri="http://schemas.openxmlformats.org/drawingml/2006/picture">
              <pic:pic>
                <pic:nvPicPr>
                  <pic:cNvPr descr="POD logo" id="0" name="image1.png"/>
                  <pic:cNvPicPr preferRelativeResize="0"/>
                </pic:nvPicPr>
                <pic:blipFill>
                  <a:blip r:embed="rId1"/>
                  <a:srcRect b="0" l="0" r="0" t="0"/>
                  <a:stretch>
                    <a:fillRect/>
                  </a:stretch>
                </pic:blipFill>
                <pic:spPr>
                  <a:xfrm>
                    <a:off x="0" y="0"/>
                    <a:ext cx="1143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Light" w:cs="Inter Light" w:eastAsia="Inter Light" w:hAnsi="Inter Light"/>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80" w:before="360" w:lineRule="auto"/>
    </w:pPr>
    <w:rPr>
      <w:rFonts w:ascii="Instrument Serif" w:cs="Instrument Serif" w:eastAsia="Instrument Serif" w:hAnsi="Instrument Serif"/>
      <w:color w:val="0c3e67"/>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40" w:before="280" w:lineRule="auto"/>
    </w:pPr>
    <w:rPr>
      <w:rFonts w:ascii="Instrument Serif" w:cs="Instrument Serif" w:eastAsia="Instrument Serif" w:hAnsi="Instrument Serif"/>
      <w:color w:val="0c3e67"/>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10" Type="http://schemas.openxmlformats.org/officeDocument/2006/relationships/font" Target="fonts/Inter-boldItalic.ttf"/><Relationship Id="rId9" Type="http://schemas.openxmlformats.org/officeDocument/2006/relationships/font" Target="fonts/Inter-italic.ttf"/><Relationship Id="rId5" Type="http://schemas.openxmlformats.org/officeDocument/2006/relationships/font" Target="fonts/InstrumentSerif-regular.ttf"/><Relationship Id="rId6" Type="http://schemas.openxmlformats.org/officeDocument/2006/relationships/font" Target="fonts/InstrumentSerif-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D8HzwLpaQSuiw5ZT/W3MN+b8Q==">CgMxLjA4AHIhMU16dFZoZW1XbDJ3cms0R3BZaGdLNkN5NFotRWNLQW5W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