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Brad</w:t>
      </w:r>
      <w:r>
        <w:t xml:space="preserve"> </w:t>
      </w:r>
      <w:r>
        <w:t xml:space="preserve">Duthie</w:t>
      </w:r>
    </w:p>
    <w:p>
      <w:r>
        <w:pict>
          <v:rect style="width:0;height:1.5pt" o:hralign="center" o:hrstd="t" o:hr="t"/>
        </w:pict>
      </w:r>
    </w:p>
    <w:p>
      <w:pPr>
        <w:pStyle w:val="FirstParagraph"/>
      </w:pPr>
      <w:r>
        <w:rPr>
          <w:b/>
        </w:rPr>
        <w:t xml:space="preserve">The stability of a complex system generally decreases with increasing system size, as is demonstrated by random matrix theory</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This counter-intuitive result, first shown by May</w:t>
      </w:r>
      <w:r>
        <w:rPr>
          <w:b/>
        </w:rPr>
        <w:t xml:space="preserve"> </w:t>
      </w:r>
      <w:r>
        <w:rPr>
          <w:b/>
        </w:rPr>
        <w:t xml:space="preserve">(May</w:t>
      </w:r>
      <w:r>
        <w:rPr>
          <w:b/>
        </w:rPr>
        <w:t xml:space="preserve"> </w:t>
      </w:r>
      <w:hyperlink w:anchor="ref-May1972">
        <w:r>
          <w:rPr>
            <w:rStyle w:val="Hyperlink"/>
            <w:b/>
          </w:rPr>
          <w:t xml:space="preserve">1972</w:t>
        </w:r>
      </w:hyperlink>
      <w:r>
        <w:rPr>
          <w:b/>
        </w:rPr>
        <w:t xml:space="preserve">)</w:t>
      </w:r>
      <w:r>
        <w:rPr>
          <w:b/>
        </w:rPr>
        <w:t xml:space="preserve">, is broadly relevant for understanding the dynamics and persistence of systems such as ecological</w:t>
      </w:r>
      <w:r>
        <w:rPr>
          <w:b/>
        </w:rPr>
        <w:t xml:space="preserve"> </w:t>
      </w:r>
      <w:r>
        <w:rPr>
          <w:b/>
        </w:rPr>
        <w:t xml:space="preserve">(May</w:t>
      </w:r>
      <w:r>
        <w:rPr>
          <w:b/>
        </w:rPr>
        <w:t xml:space="preserve"> </w:t>
      </w:r>
      <w:hyperlink w:anchor="ref-May1972">
        <w:r>
          <w:rPr>
            <w:rStyle w:val="Hyperlink"/>
            <w:b/>
          </w:rPr>
          <w:t xml:space="preserve">1972</w:t>
        </w:r>
      </w:hyperlink>
      <w:r>
        <w:rPr>
          <w:b/>
        </w:rPr>
        <w:t xml:space="preserve">; Allesina and Tang</w:t>
      </w:r>
      <w:r>
        <w:rPr>
          <w:b/>
        </w:rPr>
        <w:t xml:space="preserve"> </w:t>
      </w:r>
      <w:hyperlink w:anchor="ref-Allesina2012">
        <w:r>
          <w:rPr>
            <w:rStyle w:val="Hyperlink"/>
            <w:b/>
          </w:rPr>
          <w:t xml:space="preserve">2012</w:t>
        </w:r>
      </w:hyperlink>
      <w:r>
        <w:rPr>
          <w:b/>
        </w:rPr>
        <w:t xml:space="preserve">)</w:t>
      </w:r>
      <w:r>
        <w:rPr>
          <w:b/>
        </w:rPr>
        <w:t xml:space="preserve">, neurological</w:t>
      </w:r>
      <w:r>
        <w:rPr>
          <w:b/>
        </w:rPr>
        <w:t xml:space="preserve"> </w:t>
      </w:r>
      <w:r>
        <w:rPr>
          <w:b/>
        </w:rPr>
        <w:t xml:space="preserve">(Gray and Robinson</w:t>
      </w:r>
      <w:r>
        <w:rPr>
          <w:b/>
        </w:rPr>
        <w:t xml:space="preserve"> </w:t>
      </w:r>
      <w:hyperlink w:anchor="ref-Gray2008">
        <w:r>
          <w:rPr>
            <w:rStyle w:val="Hyperlink"/>
            <w:b/>
          </w:rPr>
          <w:t xml:space="preserve">2008</w:t>
        </w:r>
      </w:hyperlink>
      <w:r>
        <w:rPr>
          <w:b/>
        </w:rPr>
        <w:t xml:space="preserve">,</w:t>
      </w:r>
      <w:r>
        <w:rPr>
          <w:b/>
        </w:rPr>
        <w:t xml:space="preserve"> </w:t>
      </w:r>
      <w:hyperlink w:anchor="ref-Gray2009">
        <w:r>
          <w:rPr>
            <w:rStyle w:val="Hyperlink"/>
            <w:b/>
          </w:rPr>
          <w:t xml:space="preserve">2009</w:t>
        </w:r>
      </w:hyperlink>
      <w:r>
        <w:rPr>
          <w:b/>
        </w:rPr>
        <w:t xml:space="preserve">)</w:t>
      </w:r>
      <w:r>
        <w:rPr>
          <w:b/>
        </w:rPr>
        <w:t xml:space="preserve">, biochemical</w:t>
      </w:r>
      <w:r>
        <w:rPr>
          <w:b/>
        </w:rPr>
        <w:t xml:space="preserve"> </w:t>
      </w:r>
      <w:r>
        <w:rPr>
          <w:b/>
        </w:rPr>
        <w:t xml:space="preserve">(Rosenfeld</w:t>
      </w:r>
      <w:r>
        <w:rPr>
          <w:b/>
        </w:rPr>
        <w:t xml:space="preserve"> </w:t>
      </w:r>
      <w:hyperlink w:anchor="ref-Rosenfeld2009">
        <w:r>
          <w:rPr>
            <w:rStyle w:val="Hyperlink"/>
            <w:b/>
          </w:rPr>
          <w:t xml:space="preserve">2009</w:t>
        </w:r>
      </w:hyperlink>
      <w:r>
        <w:rPr>
          <w:b/>
        </w:rPr>
        <w:t xml:space="preserve">; MacArthur et al.</w:t>
      </w:r>
      <w:r>
        <w:rPr>
          <w:b/>
        </w:rPr>
        <w:t xml:space="preserve"> </w:t>
      </w:r>
      <w:hyperlink w:anchor="ref-MacArthur2010">
        <w:r>
          <w:rPr>
            <w:rStyle w:val="Hyperlink"/>
            <w:b/>
          </w:rPr>
          <w:t xml:space="preserve">2010</w:t>
        </w:r>
      </w:hyperlink>
      <w:r>
        <w:rPr>
          <w:b/>
        </w:rPr>
        <w:t xml:space="preserve">)</w:t>
      </w:r>
      <w:r>
        <w:rPr>
          <w:b/>
        </w:rPr>
        <w:t xml:space="preserve"> </w:t>
      </w:r>
      <w:r>
        <w:rPr>
          <w:b/>
        </w:rPr>
        <w:t xml:space="preserve">and socio-economic</w:t>
      </w:r>
      <w:r>
        <w:rPr>
          <w:b/>
        </w:rPr>
        <w:t xml:space="preserve"> </w:t>
      </w:r>
      <w:r>
        <w:rPr>
          <w:b/>
        </w:rPr>
        <w:t xml:space="preserve">(Haldane and May</w:t>
      </w:r>
      <w:r>
        <w:rPr>
          <w:b/>
        </w:rPr>
        <w:t xml:space="preserve"> </w:t>
      </w:r>
      <w:hyperlink w:anchor="ref-Haldane2011">
        <w:r>
          <w:rPr>
            <w:rStyle w:val="Hyperlink"/>
            <w:b/>
          </w:rPr>
          <w:t xml:space="preserve">2011</w:t>
        </w:r>
      </w:hyperlink>
      <w:r>
        <w:rPr>
          <w:b/>
        </w:rPr>
        <w:t xml:space="preserve">; Suweis and D’Odorico</w:t>
      </w:r>
      <w:r>
        <w:rPr>
          <w:b/>
        </w:rPr>
        <w:t xml:space="preserve"> </w:t>
      </w:r>
      <w:hyperlink w:anchor="ref-Suweis2014">
        <w:r>
          <w:rPr>
            <w:rStyle w:val="Hyperlink"/>
            <w:b/>
          </w:rPr>
          <w:t xml:space="preserve">2014</w:t>
        </w:r>
      </w:hyperlink>
      <w:r>
        <w:rPr>
          <w:b/>
        </w:rPr>
        <w:t xml:space="preserve">; Bardoscia et al.</w:t>
      </w:r>
      <w:r>
        <w:rPr>
          <w:b/>
        </w:rPr>
        <w:t xml:space="preserve"> </w:t>
      </w:r>
      <w:hyperlink w:anchor="ref-Bardoscia2017">
        <w:r>
          <w:rPr>
            <w:rStyle w:val="Hyperlink"/>
            <w:b/>
          </w:rPr>
          <w:t xml:space="preserve">2017</w:t>
        </w:r>
      </w:hyperlink>
      <w:r>
        <w:rPr>
          <w:b/>
        </w:rPr>
        <w:t xml:space="preserve">)</w:t>
      </w:r>
      <w:r>
        <w:rPr>
          <w:b/>
        </w:rPr>
        <w:t xml:space="preserve"> </w:t>
      </w:r>
      <w:r>
        <w:rPr>
          <w:b/>
        </w:rPr>
        <w:t xml:space="preserve">networks. Much attention has especially been given to the stability of ecological communities such as food webs or mutualist networks, with recent work investigating how different community structures affect stability</w:t>
      </w:r>
      <w:r>
        <w:rPr>
          <w:b/>
        </w:rPr>
        <w:t xml:space="preserve"> </w:t>
      </w:r>
      <w:r>
        <w:rPr>
          <w:b/>
        </w:rPr>
        <w:t xml:space="preserve">(Allesina and Tang</w:t>
      </w:r>
      <w:r>
        <w:rPr>
          <w:b/>
        </w:rPr>
        <w:t xml:space="preserve"> </w:t>
      </w:r>
      <w:hyperlink w:anchor="ref-Allesina2012">
        <w:r>
          <w:rPr>
            <w:rStyle w:val="Hyperlink"/>
            <w:b/>
          </w:rPr>
          <w:t xml:space="preserve">2012</w:t>
        </w:r>
      </w:hyperlink>
      <w:r>
        <w:rPr>
          <w:b/>
        </w:rPr>
        <w:t xml:space="preserve">,</w:t>
      </w:r>
      <w:r>
        <w:rPr>
          <w:b/>
        </w:rPr>
        <w:t xml:space="preserve"> </w:t>
      </w:r>
      <w:hyperlink w:anchor="ref-Allesina2015a">
        <w:r>
          <w:rPr>
            <w:rStyle w:val="Hyperlink"/>
            <w:b/>
          </w:rPr>
          <w:t xml:space="preserve">2015</w:t>
        </w:r>
      </w:hyperlink>
      <w:r>
        <w:rPr>
          <w:b/>
        </w:rPr>
        <w:t xml:space="preserve">; Mougi and Kondoh</w:t>
      </w:r>
      <w:r>
        <w:rPr>
          <w:b/>
        </w:rPr>
        <w:t xml:space="preserve"> </w:t>
      </w:r>
      <w:hyperlink w:anchor="ref-Mougi2012">
        <w:r>
          <w:rPr>
            <w:rStyle w:val="Hyperlink"/>
            <w:b/>
          </w:rPr>
          <w:t xml:space="preserve">2012</w:t>
        </w:r>
      </w:hyperlink>
      <w:r>
        <w:rPr>
          <w:b/>
        </w:rPr>
        <w:t xml:space="preserve">; Gao et al.</w:t>
      </w:r>
      <w:r>
        <w:rPr>
          <w:b/>
        </w:rPr>
        <w:t xml:space="preserve"> </w:t>
      </w:r>
      <w:hyperlink w:anchor="ref-Gao2016">
        <w:r>
          <w:rPr>
            <w:rStyle w:val="Hyperlink"/>
            <w:b/>
          </w:rPr>
          <w:t xml:space="preserve">2016</w:t>
        </w:r>
      </w:hyperlink>
      <w:r>
        <w:rPr>
          <w:b/>
        </w:rPr>
        <w:t xml:space="preserve">; Grilli et al.</w:t>
      </w:r>
      <w:r>
        <w:rPr>
          <w:b/>
        </w:rPr>
        <w:t xml:space="preserve"> </w:t>
      </w:r>
      <w:hyperlink w:anchor="ref-Grilli2017">
        <w:r>
          <w:rPr>
            <w:rStyle w:val="Hyperlink"/>
            <w:b/>
          </w:rPr>
          <w:t xml:space="preserve">2017</w:t>
        </w:r>
      </w:hyperlink>
      <w:r>
        <w:rPr>
          <w:b/>
        </w:rPr>
        <w:t xml:space="preserve">; Patel et al.</w:t>
      </w:r>
      <w:r>
        <w:rPr>
          <w:b/>
        </w:rPr>
        <w:t xml:space="preserve"> </w:t>
      </w:r>
      <w:hyperlink w:anchor="ref-Patel2018">
        <w:r>
          <w:rPr>
            <w:rStyle w:val="Hyperlink"/>
            <w:b/>
          </w:rPr>
          <w:t xml:space="preserve">2018</w:t>
        </w:r>
      </w:hyperlink>
      <w:r>
        <w:rPr>
          <w:b/>
        </w:rPr>
        <w:t xml:space="preserve">)</w:t>
      </w:r>
      <w:r>
        <w:rPr>
          <w:b/>
        </w:rPr>
        <w:t xml:space="preserve">. But more broadly, stabilising mechanisms in complex systems remain under-developed, and the effect of variation in the response rate of individual system components remains an open problem</w:t>
      </w:r>
      <w:r>
        <w:rPr>
          <w:b/>
        </w:rPr>
        <w:t xml:space="preserve"> </w:t>
      </w:r>
      <w:r>
        <w:rPr>
          <w:b/>
        </w:rPr>
        <w:t xml:space="preserve">(Allesina et al.</w:t>
      </w:r>
      <w:r>
        <w:rPr>
          <w:b/>
        </w:rPr>
        <w:t xml:space="preserve"> </w:t>
      </w:r>
      <w:hyperlink w:anchor="ref-Allesina2015">
        <w:r>
          <w:rPr>
            <w:rStyle w:val="Hyperlink"/>
            <w:b/>
          </w:rPr>
          <w:t xml:space="preserve">2015</w:t>
        </w:r>
      </w:hyperlink>
      <w:r>
        <w:rPr>
          <w:b/>
        </w:rPr>
        <w:t xml:space="preserve">)</w:t>
      </w:r>
      <w:r>
        <w:rPr>
          <w:b/>
        </w:rPr>
        <w:t xml:space="preserve">. Here I show that when components of a complex system respond to system dynamics at different rates (</w:t>
      </w:r>
      <m:oMath>
        <m:r>
          <m:rPr>
            <m:sty m:val="b"/>
          </m:rPr>
          <m:t>γ</m:t>
        </m:r>
      </m:oMath>
      <w:r>
        <w:rPr>
          <w:b/>
        </w:rPr>
        <w:t xml:space="preserve">), the potential for system stability is markedly increased. Stability increases due to the clustering of some eigenvalues toward the centre of eigenvalue distributions despite the destabilising effect of higher variation among interaction strengths (</w:t>
      </w:r>
      <m:oMath>
        <m:sSup>
          <m:e>
            <m:r>
              <m:rPr>
                <m:sty m:val="b"/>
              </m:rPr>
              <m:t>σ</m:t>
            </m:r>
          </m:e>
          <m:sup>
            <m:r>
              <m:rPr>
                <m:sty m:val="b"/>
              </m:rPr>
              <m:t>2</m:t>
            </m:r>
          </m:sup>
        </m:sSup>
      </m:oMath>
      <w:r>
        <w:rPr>
          <w:b/>
        </w:rPr>
        <w:t xml:space="preserve">). This effect of variation in</w:t>
      </w:r>
      <w:r>
        <w:rPr>
          <w:b/>
        </w:rPr>
        <w:t xml:space="preserve"> </w:t>
      </w:r>
      <m:oMath>
        <m:r>
          <m:rPr>
            <m:sty m:val="b"/>
          </m:rPr>
          <m:t>γ</m:t>
        </m:r>
      </m:oMath>
      <w:r>
        <w:rPr>
          <w:b/>
        </w:rPr>
        <w:t xml:space="preserve"> </w:t>
      </w:r>
      <w:r>
        <w:rPr>
          <w:b/>
        </w:rPr>
        <w:t xml:space="preserve">becomes increasingly important as system size increases, to the extent that the largest stable complex systems would otherwise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therefore reveal a previously unconsidered driver of system stability that is likely to be pervasive across all complex systems. Future research in complex systems should therefore account for the varying response rates of individual system components when assessing whole system stability.</w:t>
      </w:r>
    </w:p>
    <w:p>
      <w:pPr>
        <w:pStyle w:val="BodyText"/>
      </w:pPr>
      <w:r>
        <w:t xml:space="preserve">In 1972, May</w:t>
      </w:r>
      <w:r>
        <w:t xml:space="preserve"> </w:t>
      </w:r>
      <w:r>
        <w:t xml:space="preserve">(May</w:t>
      </w:r>
      <w:r>
        <w:t xml:space="preserve"> </w:t>
      </w:r>
      <w:hyperlink w:anchor="ref-May1972">
        <w:r>
          <w:rPr>
            <w:rStyle w:val="Hyperlink"/>
          </w:rPr>
          <w:t xml:space="preserve">1972</w:t>
        </w:r>
      </w:hyperlink>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interacting components;</w:t>
      </w:r>
      <w:r>
        <w:t xml:space="preserve"> </w:t>
      </w:r>
      <m:oMath>
        <m:r>
          <m:t>S</m:t>
        </m:r>
      </m:oMath>
      <w:r>
        <w:t xml:space="preserve">), its inter-connectivity (i.e., the probability that one component will affect another;</w:t>
      </w:r>
      <w:r>
        <w:t xml:space="preserve"> </w:t>
      </w:r>
      <m:oMath>
        <m:r>
          <m:t>C</m:t>
        </m:r>
      </m:oMath>
      <w:r>
        <w:t xml:space="preserve">), and the variance of interaction strengths (</w:t>
      </w:r>
      <m:oMath>
        <m:sSup>
          <m:e>
            <m:r>
              <m:t>σ</m:t>
            </m:r>
          </m:e>
          <m:sup>
            <m:r>
              <m:t>2</m:t>
            </m:r>
          </m:sup>
        </m:sSup>
      </m:oMath>
      <w:r>
        <w:t xml:space="preserve">)</w:t>
      </w:r>
      <w:r>
        <w:t xml:space="preserve">(Allesina and Tang</w:t>
      </w:r>
      <w:r>
        <w:t xml:space="preserve"> </w:t>
      </w:r>
      <w:hyperlink w:anchor="ref-Allesina2012">
        <w:r>
          <w:rPr>
            <w:rStyle w:val="Hyperlink"/>
          </w:rPr>
          <w:t xml:space="preserve">2012</w:t>
        </w:r>
      </w:hyperlink>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has profound consequences across multiple disciplines, raising the question of how complex systems in, e.g., ecology</w:t>
      </w:r>
      <w:r>
        <w:t xml:space="preserve">(Mougi and Kondoh</w:t>
      </w:r>
      <w:r>
        <w:t xml:space="preserve"> </w:t>
      </w:r>
      <w:hyperlink w:anchor="ref-Mougi2012">
        <w:r>
          <w:rPr>
            <w:rStyle w:val="Hyperlink"/>
          </w:rPr>
          <w:t xml:space="preserve">2012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 Grilli et al.</w:t>
      </w:r>
      <w:r>
        <w:t xml:space="preserve"> </w:t>
      </w:r>
      <w:hyperlink w:anchor="ref-Grilli2017">
        <w:r>
          <w:rPr>
            <w:rStyle w:val="Hyperlink"/>
          </w:rPr>
          <w:t xml:space="preserve">2017</w:t>
        </w:r>
      </w:hyperlink>
      <w:r>
        <w:t xml:space="preserve">)</w:t>
      </w:r>
      <w:r>
        <w:t xml:space="preserve"> </w:t>
      </w:r>
      <w:r>
        <w:t xml:space="preserve">or banking</w:t>
      </w:r>
      <w:r>
        <w:t xml:space="preserve"> </w:t>
      </w:r>
      <w:r>
        <w:t xml:space="preserve">(May et al.</w:t>
      </w:r>
      <w:r>
        <w:t xml:space="preserve"> </w:t>
      </w:r>
      <w:hyperlink w:anchor="ref-May2008">
        <w:r>
          <w:rPr>
            <w:rStyle w:val="Hyperlink"/>
          </w:rPr>
          <w:t xml:space="preserve">2008</w:t>
        </w:r>
      </w:hyperlink>
      <w:r>
        <w:t xml:space="preserve">; Haldane and May</w:t>
      </w:r>
      <w:r>
        <w:t xml:space="preserve"> </w:t>
      </w:r>
      <w:hyperlink w:anchor="ref-Haldane2011">
        <w:r>
          <w:rPr>
            <w:rStyle w:val="Hyperlink"/>
          </w:rPr>
          <w:t xml:space="preserve">2011</w:t>
        </w:r>
      </w:hyperlink>
      <w:r>
        <w:t xml:space="preserve">; Bardoscia et al.</w:t>
      </w:r>
      <w:r>
        <w:t xml:space="preserve"> </w:t>
      </w:r>
      <w:hyperlink w:anchor="ref-Bardoscia2017">
        <w:r>
          <w:rPr>
            <w:rStyle w:val="Hyperlink"/>
          </w:rPr>
          <w:t xml:space="preserve">2017</w:t>
        </w:r>
      </w:hyperlink>
      <w:r>
        <w:t xml:space="preserve">)</w:t>
      </w:r>
      <w:r>
        <w:t xml:space="preserve"> </w:t>
      </w:r>
      <w:r>
        <w:t xml:space="preserve">are predicted to persist or change.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species</w:t>
      </w:r>
      <w:r>
        <w:t xml:space="preserve">(Allesina and Tang</w:t>
      </w:r>
      <w:r>
        <w:t xml:space="preserve"> </w:t>
      </w:r>
      <w:hyperlink w:anchor="ref-Allesina2012">
        <w:r>
          <w:rPr>
            <w:rStyle w:val="Hyperlink"/>
          </w:rPr>
          <w:t xml:space="preserve">2012</w:t>
        </w:r>
      </w:hyperlink>
      <w:r>
        <w:t xml:space="preserve">)</w:t>
      </w:r>
      <w:r>
        <w:t xml:space="preserve"> </w:t>
      </w:r>
      <w:r>
        <w:t xml:space="preserve">or banks</w:t>
      </w:r>
      <w:r>
        <w:t xml:space="preserve">(Haldane and May</w:t>
      </w:r>
      <w:r>
        <w:t xml:space="preserve"> </w:t>
      </w:r>
      <w:hyperlink w:anchor="ref-Haldane2011">
        <w:r>
          <w:rPr>
            <w:rStyle w:val="Hyperlink"/>
          </w:rPr>
          <w:t xml:space="preserve">2011</w:t>
        </w:r>
      </w:hyperlink>
      <w:r>
        <w:t xml:space="preserve">)</w:t>
      </w:r>
      <w:r>
        <w:t xml:space="preserve">). One element of such a matrix</w:t>
      </w:r>
      <w:r>
        <w:t xml:space="preserve"> </w:t>
      </w:r>
      <m:oMath>
        <m:sSub>
          <m:e>
            <m:r>
              <m:t>M</m:t>
            </m:r>
          </m:e>
          <m:sub>
            <m:r>
              <m:t>i</m:t>
            </m:r>
            <m:r>
              <m:t>j</m:t>
            </m:r>
          </m:sub>
        </m:sSub>
      </m:oMath>
      <w:r>
        <w:t xml:space="preserve"> </w:t>
      </w:r>
      <w:r>
        <w:t xml:space="preserve">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(Allesina and Tang</w:t>
      </w:r>
      <w:r>
        <w:t xml:space="preserve"> </w:t>
      </w:r>
      <w:hyperlink w:anchor="ref-Allesina2012">
        <w:r>
          <w:rPr>
            <w:rStyle w:val="Hyperlink"/>
          </w:rPr>
          <w:t xml:space="preserve">2012</w:t>
        </w:r>
      </w:hyperlink>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values of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In a large system (high</w:t>
      </w:r>
      <w:r>
        <w:t xml:space="preserve"> </w:t>
      </w:r>
      <m:oMath>
        <m:r>
          <m:t>S</m:t>
        </m:r>
      </m:oMath>
      <w:r>
        <w:t xml:space="preserve">), eigenvalues are distributed uniformly</w:t>
      </w:r>
      <w:r>
        <w:t xml:space="preserve">(Tao and Vu</w:t>
      </w:r>
      <w:r>
        <w:t xml:space="preserve"> </w:t>
      </w:r>
      <w:hyperlink w:anchor="ref-Tao2010">
        <w:r>
          <w:rPr>
            <w:rStyle w:val="Hyperlink"/>
          </w:rPr>
          <w:t xml:space="preserve">2010</w:t>
        </w:r>
      </w:hyperlink>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 Allesina et al.</w:t>
      </w:r>
      <w:r>
        <w:t xml:space="preserve"> </w:t>
      </w:r>
      <w:hyperlink w:anchor="ref-Allesina2015">
        <w:r>
          <w:rPr>
            <w:rStyle w:val="Hyperlink"/>
          </w:rPr>
          <w:t xml:space="preserve">2015</w:t>
        </w:r>
      </w:hyperlink>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The above stability criterion 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actually tend to be more stable, especially when</w:t>
      </w:r>
      <w:r>
        <w:t xml:space="preserve"> </w:t>
      </w:r>
      <m:oMath>
        <m:r>
          <m:t>S</m:t>
        </m:r>
      </m:oMath>
      <w:r>
        <w:t xml:space="preserve"> </w:t>
      </w:r>
      <w:r>
        <w:t xml:space="preserve">is high.</w:t>
      </w:r>
    </w:p>
    <w:p>
      <w:pPr>
        <w:pStyle w:val="BodyText"/>
      </w:pPr>
      <w:r>
        <w:t xml:space="preserve">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scalar value</w:t>
      </w:r>
      <w:r>
        <w:t xml:space="preserve"> </w:t>
      </w:r>
      <m:oMath>
        <m:sSub>
          <m:e>
            <m:r>
              <m:t>γ</m:t>
            </m:r>
          </m:e>
          <m:sub>
            <m:r>
              <m:t>i</m:t>
            </m:r>
          </m:sub>
        </m:sSub>
      </m:oMath>
      <w:r>
        <w:t xml:space="preserve">(Patel et al.</w:t>
      </w:r>
      <w:r>
        <w:t xml:space="preserve"> </w:t>
      </w:r>
      <w:hyperlink w:anchor="ref-Patel2018">
        <w:r>
          <w:rPr>
            <w:rStyle w:val="Hyperlink"/>
          </w:rPr>
          <w:t xml:space="preserve">2018</w:t>
        </w:r>
      </w:hyperlink>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y</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(grey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0 stable given</w:t>
      </w:r>
      <w:r>
        <w:t xml:space="preserve"> </w:t>
      </w:r>
      <m:oMath>
        <m:r>
          <m:t>γ</m:t>
        </m:r>
        <m:r>
          <m:t>=</m:t>
        </m:r>
        <m:r>
          <m:t>1</m:t>
        </m:r>
      </m:oMath>
      <w:r>
        <w:t xml:space="preserve"> </w:t>
      </w:r>
      <w:r>
        <w:t xml:space="preserve">versus 0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now focus on a uniform distribution where</w:t>
      </w:r>
      <w:r>
        <w:t xml:space="preserve"> </w:t>
      </w:r>
      <m:oMath>
        <m:r>
          <m:t>γ</m:t>
        </m:r>
        <m:r>
          <m:t>∼</m:t>
        </m:r>
        <m:r>
          <m:rPr>
            <m:sty m:val="p"/>
            <m:scr m:val="script"/>
          </m:rPr>
          <m:t>U</m:t>
        </m:r>
        <m:r>
          <m:t>(</m:t>
        </m:r>
        <m:r>
          <m:t>0</m:t>
        </m:r>
        <m:r>
          <m:t>,</m:t>
        </m:r>
        <m:r>
          <m:t>2</m:t>
        </m:r>
        <m:r>
          <m:t>)</m:t>
        </m:r>
      </m:oMath>
      <w:r>
        <w:t xml:space="preserve"> </w:t>
      </w:r>
      <w:r>
        <w:t xml:space="preserve">(see Supporting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 As expected</w:t>
      </w:r>
      <w:r>
        <w:t xml:space="preserve"> </w:t>
      </w:r>
      <w:r>
        <w:t xml:space="preserve">(Tao and Vu</w:t>
      </w:r>
      <w:r>
        <w:t xml:space="preserve"> </w:t>
      </w:r>
      <w:hyperlink w:anchor="ref-Tao2010">
        <w:r>
          <w:rPr>
            <w:rStyle w:val="Hyperlink"/>
          </w:rPr>
          <w:t xml:space="preserve">2010</w:t>
        </w:r>
      </w:hyperlink>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12.649. Uniform variation in</w:t>
      </w:r>
      <w:r>
        <w:t xml:space="preserve"> </w:t>
      </w:r>
      <m:oMath>
        <m:r>
          <m:t>γ</m:t>
        </m:r>
      </m:oMath>
      <w:r>
        <w:t xml:space="preserve"> </w:t>
      </w:r>
      <w:r>
        <w:t xml:space="preserve">leads to a non-uniform distribution of eigenvalues, some of which are clustered tightly around the centre of the distribution, but others of which are spread outside the former radius of 12.649 (red circle Fig 2b). This larger radius occurs because the addition of</w:t>
      </w:r>
      <w:r>
        <w:t xml:space="preserve"> </w:t>
      </w:r>
      <m:oMath>
        <m:r>
          <m:t>V</m:t>
        </m:r>
        <m:r>
          <m:t>a</m:t>
        </m:r>
        <m:r>
          <m:t>r</m:t>
        </m:r>
        <m:r>
          <m:t>(</m:t>
        </m:r>
        <m:r>
          <m:t>γ</m:t>
        </m:r>
        <m:r>
          <m:t>)</m:t>
        </m:r>
      </m:oMath>
      <w:r>
        <w:t xml:space="preserve"> </w:t>
      </w:r>
      <w:r>
        <w:t xml:space="preserve">increases the realised</w:t>
      </w:r>
      <w:r>
        <w:t xml:space="preserve"> </w:t>
      </w:r>
      <m:oMath>
        <m:r>
          <m:t>σ</m:t>
        </m:r>
      </m:oMath>
      <w:r>
        <w:t xml:space="preserve"> </w:t>
      </w:r>
      <w:r>
        <w:t xml:space="preserve">of</w:t>
      </w:r>
      <w:r>
        <w:t xml:space="preserve"> </w:t>
      </w:r>
      <m:oMath>
        <m:r>
          <m:t>M</m:t>
        </m:r>
      </m:oMath>
      <w:r>
        <w:t xml:space="preserve">.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(May</w:t>
      </w:r>
      <w:r>
        <w:t xml:space="preserve"> </w:t>
      </w:r>
      <w:hyperlink w:anchor="ref-May1972">
        <w:r>
          <w:rPr>
            <w:rStyle w:val="Hyperlink"/>
          </w:rPr>
          <w:t xml:space="preserve">1972</w:t>
        </w:r>
      </w:hyperlink>
      <w:r>
        <w:t xml:space="preserve">; Allesina and Tang</w:t>
      </w:r>
      <w:r>
        <w:t xml:space="preserve"> </w:t>
      </w:r>
      <w:hyperlink w:anchor="ref-Allesina2012">
        <w:r>
          <w:rPr>
            <w:rStyle w:val="Hyperlink"/>
          </w:rPr>
          <w:t xml:space="preserve">2012</w:t>
        </w:r>
      </w:hyperlink>
      <w:r>
        <w:t xml:space="preserve">)</w:t>
      </w:r>
      <w:r>
        <w:t xml:space="preserve"> </w:t>
      </w:r>
      <w:r>
        <w:t xml:space="preserve">threshold of</w:t>
      </w:r>
      <w:r>
        <w:t xml:space="preserve"> </w:t>
      </w:r>
      <m:oMath>
        <m:r>
          <m:t>σ</m:t>
        </m:r>
        <m:rad>
          <m:radPr>
            <m:degHide m:val="1"/>
          </m:radPr>
          <m:deg/>
          <m:e>
            <m:r>
              <m:t>S</m:t>
            </m:r>
            <m:r>
              <m:t>C</m:t>
            </m:r>
          </m:e>
        </m:rad>
        <m:r>
          <m:t>&gt;</m:t>
        </m:r>
        <m:r>
          <m:t>1</m:t>
        </m:r>
      </m:oMath>
      <w:r>
        <w:t xml:space="preserve">.</w:t>
      </w:r>
    </w:p>
    <w:p>
      <w:pPr>
        <w:pStyle w:val="BodyText"/>
      </w:pPr>
      <w:r>
        <w:t xml:space="preserve">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w:t>
      </w:r>
      <w:r>
        <w:t xml:space="preserve"> </w:t>
      </w:r>
      <m:oMath>
        <m:r>
          <m:t>2</m:t>
        </m:r>
        <m:r>
          <m:t>−</m:t>
        </m:r>
        <m:r>
          <m:t>32</m:t>
        </m:r>
      </m:oMath>
      <w:r>
        <w:t xml:space="preserve"> </w:t>
      </w:r>
      <w:r>
        <w:t xml:space="preserve">(see Supporting Information for different values of</w:t>
      </w:r>
      <w:r>
        <w:t xml:space="preserve"> </w:t>
      </w:r>
      <m:oMath>
        <m:r>
          <m:t>σ</m:t>
        </m:r>
      </m:oMath>
      <w:r>
        <w:t xml:space="preserve"> </w:t>
      </w:r>
      <w:r>
        <w:t xml:space="preserve">and</w:t>
      </w:r>
      <w:r>
        <w:t xml:space="preserve"> </w:t>
      </w:r>
      <m:oMath>
        <m:r>
          <m:t>C</m:t>
        </m:r>
      </m:oMath>
      <w:r>
        <w:t xml:space="preserve">).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w:t>
      </w:r>
      <w:r>
        <w:t xml:space="preserve">(note that under these conditions,</w:t>
      </w:r>
      <w:r>
        <w:t xml:space="preserve"> </w:t>
      </w:r>
      <m:oMath>
        <m:r>
          <m:t>σ</m:t>
        </m:r>
        <m:rad>
          <m:radPr>
            <m:degHide m:val="1"/>
          </m:radPr>
          <m:deg/>
          <m:e>
            <m:r>
              <m:t>S</m:t>
            </m:r>
            <m:r>
              <m:t>C</m:t>
            </m:r>
          </m:e>
        </m:rad>
        <m:r>
          <m:t>=</m:t>
        </m:r>
        <m:r>
          <m:t>1</m:t>
        </m:r>
      </m:oMath>
      <w:r>
        <w:t xml:space="preserve"> </w:t>
      </w:r>
      <w:r>
        <w:t xml:space="preserve">given</w:t>
      </w:r>
      <w:r>
        <w:t xml:space="preserve"> </w:t>
      </w:r>
      <m:oMath>
        <m:r>
          <m:t>S</m:t>
        </m:r>
        <m:r>
          <m:t>=</m:t>
        </m:r>
        <m:r>
          <m:t>25</m:t>
        </m:r>
      </m:oMath>
      <w:r>
        <w:t xml:space="preserve"> </w:t>
      </w:r>
      <w:r>
        <w:t xml:space="preserve">when</w:t>
      </w:r>
      <w:r>
        <w:t xml:space="preserve"> </w:t>
      </w:r>
      <m:oMath>
        <m:r>
          <m:t>γ</m:t>
        </m:r>
        <m:r>
          <m:t>=</m:t>
        </m:r>
        <m:r>
          <m:t>1</m:t>
        </m:r>
      </m:oMath>
      <w:r>
        <w:t xml:space="preserve">). I found that the number of stable random systems was consistently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and the maximum observed</w:t>
      </w:r>
      <w:r>
        <w:t xml:space="preserve"> </w:t>
      </w:r>
      <m:oMath>
        <m:r>
          <m:t>S</m:t>
        </m:r>
      </m:oMath>
      <w:r>
        <w:t xml:space="preserve"> </w:t>
      </w:r>
      <w:r>
        <w:t xml:space="preserve">for which a system was stable was</w:t>
      </w:r>
      <w:r>
        <w:t xml:space="preserve"> </w:t>
      </w:r>
      <m:oMath>
        <m:r>
          <m:t>31</m:t>
        </m:r>
      </m:oMath>
      <w:r>
        <w:t xml:space="preserve"> </w:t>
      </w:r>
      <w:r>
        <w:t xml:space="preserve">given</w:t>
      </w:r>
      <w:r>
        <w:t xml:space="preserve"> </w:t>
      </w:r>
      <m:oMath>
        <m:r>
          <m:t>V</m:t>
        </m:r>
        <m:r>
          <m:t>a</m:t>
        </m:r>
        <m:r>
          <m:t>r</m:t>
        </m:r>
        <m:r>
          <m:t>(</m:t>
        </m:r>
        <m:r>
          <m:t>γ</m:t>
        </m:r>
        <m:r>
          <m:t>)</m:t>
        </m:r>
      </m:oMath>
      <w:r>
        <w:t xml:space="preserve"> </w:t>
      </w:r>
      <w:r>
        <w:t xml:space="preserve">versus</w:t>
      </w:r>
      <w:r>
        <w:t xml:space="preserve"> </w:t>
      </w:r>
      <m:oMath>
        <m:r>
          <m:t>27</m:t>
        </m:r>
      </m:oMath>
      <w:r>
        <w:t xml:space="preserve"> </w:t>
      </w:r>
      <w:r>
        <w:t xml:space="preserve">given</w:t>
      </w:r>
      <w:r>
        <w:t xml:space="preserve"> </w:t>
      </w:r>
      <m:oMath>
        <m:r>
          <m:t>γ</m:t>
        </m:r>
        <m:r>
          <m:t>=</m:t>
        </m:r>
        <m:r>
          <m:t>1</m:t>
        </m:r>
      </m:oMath>
      <w:r>
        <w:t xml:space="preserve"> </w:t>
      </w:r>
      <w:r>
        <w:t xml:space="preserve">(see Supporting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Some care is needed when interpreting these results. First, I emphasise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Supporting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r>
        <w:t xml:space="preserve"> </w:t>
      </w:r>
    </w:p>
    <w:p>
      <w:r>
        <w:pict>
          <v:rect style="width:0;height:1.5pt" o:hralign="center" o:hrstd="t" o:hr="t"/>
        </w:pict>
      </w:r>
    </w:p>
    <w:p>
      <w:pPr>
        <w:pStyle w:val="FirstParagraph"/>
      </w:pPr>
      <w:r>
        <w:rPr>
          <w:b/>
        </w:rPr>
        <w:t xml:space="preserve">References</w:t>
      </w:r>
    </w:p>
    <w:p>
      <w:pPr>
        <w:pStyle w:val="BodyText"/>
      </w:pPr>
      <w:r>
        <w:t xml:space="preserve">Allesina, S., and S. Tang. 2012. Stability criteria for complex ecosystems. Nature 483:205–208. Nature Publishing Group.</w:t>
      </w:r>
    </w:p>
    <w:p>
      <w:pPr>
        <w:pStyle w:val="BodyText"/>
      </w:pPr>
      <w:r>
        <w:t xml:space="preserve">Allesina, S., and S. Tang. 2015. The stability–complexity relationship at age 40: a random matrix perspective. Population Ecology 63–75.</w:t>
      </w:r>
    </w:p>
    <w:p>
      <w:pPr>
        <w:pStyle w:val="BodyText"/>
      </w:pPr>
      <w:r>
        <w:t xml:space="preserve">Allesina, S., J. Grilli, G. Barabás, S. Tang, J. Aljadeff, and A. Maritan. 2015. Predicting the stability of large structured food webs. Nature Communications 6:7842.</w:t>
      </w:r>
    </w:p>
    <w:p>
      <w:pPr>
        <w:pStyle w:val="BodyText"/>
      </w:pPr>
      <w:r>
        <w:t xml:space="preserve">Bardoscia, M., S. Battiston, F. Caccioli, and G. Caldarelli. 2017. Pathways towards instability in financial networks. Nature Communications 8:1–7. Nature Publishing Group.</w:t>
      </w:r>
    </w:p>
    <w:p>
      <w:pPr>
        <w:pStyle w:val="BodyText"/>
      </w:pPr>
      <w:r>
        <w:t xml:space="preserve">Gao, J., B. Barzel, and A. L. Barabási. 2016. Universal resilience patterns in complex networks. Nature 530:307–312. Nature Publishing Group.</w:t>
      </w:r>
    </w:p>
    <w:p>
      <w:pPr>
        <w:pStyle w:val="BodyText"/>
      </w:pPr>
      <w:r>
        <w:t xml:space="preserve">Gray, R. T., and P. A. Robinson. 2008. Stability and synchronization of random brain networks with a distribution of connection strengths. Neurocomputing 71:1373–1387.</w:t>
      </w:r>
    </w:p>
    <w:p>
      <w:pPr>
        <w:pStyle w:val="BodyText"/>
      </w:pPr>
      <w:r>
        <w:t xml:space="preserve">Gray, R. T., and P. A. Robinson. 2009. Stability of random brain networks with excitatory and inhibitory connections. Neurocomputing 72:1849–1858.</w:t>
      </w:r>
    </w:p>
    <w:p>
      <w:pPr>
        <w:pStyle w:val="BodyText"/>
      </w:pPr>
      <w:r>
        <w:t xml:space="preserve">Grilli, J., M. Adorisio, S. Suweis, G. Barabás, J. R. Banavar, S. Allesina, and A. Maritan. 2017. Feasibility and coexistence of large ecological communities. Nature Communications 8.</w:t>
      </w:r>
    </w:p>
    <w:p>
      <w:pPr>
        <w:pStyle w:val="BodyText"/>
      </w:pPr>
      <w:r>
        <w:t xml:space="preserve">Haldane, A. G., and R. M. May. 2011. Systemic risk in banking ecosystems. Nature 469:351–355. Nature Publishing Group.</w:t>
      </w:r>
    </w:p>
    <w:p>
      <w:pPr>
        <w:pStyle w:val="BodyText"/>
      </w:pPr>
      <w:r>
        <w:t xml:space="preserve">MacArthur, B. D., R. J. Sanchez-Garcia, and A. Ma’ayan. 2010. Microdynamics and criticality of adaptive regulatory networks. Physics Review Letters 104:168701.</w:t>
      </w:r>
    </w:p>
    <w:p>
      <w:pPr>
        <w:pStyle w:val="BodyText"/>
      </w:pPr>
      <w:r>
        <w:t xml:space="preserve">May, R. M. 1972. Will a large complex system be stable? Nature 238:413–414.</w:t>
      </w:r>
    </w:p>
    <w:p>
      <w:pPr>
        <w:pStyle w:val="BodyText"/>
      </w:pPr>
      <w:r>
        <w:t xml:space="preserve">May, R. M., S. A. Levin, and G. Sugihara. 2008. Complex systems: Ecology for bankers. Nature 451:893–895.</w:t>
      </w:r>
    </w:p>
    <w:p>
      <w:pPr>
        <w:pStyle w:val="BodyText"/>
      </w:pPr>
      <w:r>
        <w:t xml:space="preserve">Mougi, A., and M. Kondoh. 2012. Diversity of interaction types and ecological community stability. Science 337:349–351.</w:t>
      </w:r>
    </w:p>
    <w:p>
      <w:pPr>
        <w:pStyle w:val="BodyText"/>
      </w:pPr>
      <w:r>
        <w:t xml:space="preserve">Patel, S., M. H. Cortez, and S. J. Schreiber. 2018. Partitioning the effects of eco-evolutionary feedbacks on community stability. American Naturalist 191:1–29.</w:t>
      </w:r>
    </w:p>
    <w:p>
      <w:pPr>
        <w:pStyle w:val="BodyText"/>
      </w:pPr>
      <w:r>
        <w:t xml:space="preserve">Rosenfeld, S. 2009. Patterns of stochastic behavior in dynamically unstable high-dimensional biochemical networks. Gene Regulation and Systems Biology 3:1–10.</w:t>
      </w:r>
    </w:p>
    <w:p>
      <w:pPr>
        <w:pStyle w:val="BodyText"/>
      </w:pPr>
      <w:r>
        <w:t xml:space="preserve">Suweis, S., and P. D’Odorico. 2014. Early warning signs in social-ecological networks. PLoS ONE 9.</w:t>
      </w:r>
    </w:p>
    <w:p>
      <w:pPr>
        <w:pStyle w:val="BodyText"/>
      </w:pPr>
      <w:r>
        <w:t xml:space="preserve">Tao, T., and V. Vu. 2010. Random matrices: Universality of ESDs and the circular law. Annals of Probability 38:2023–2065.</w:t>
      </w:r>
    </w:p>
    <w:p>
      <w:r>
        <w:pict>
          <v:rect style="width:0;height:1.5pt" o:hralign="center" o:hrstd="t" o:hr="t"/>
        </w:pict>
      </w:r>
    </w:p>
    <w:p>
      <w:pPr>
        <w:pStyle w:val="FirstParagraph"/>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grey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of</w:t>
      </w:r>
      <w:r>
        <w:t xml:space="preserve"> </w:t>
      </w:r>
      <m:oMath>
        <m:r>
          <m:t>σ</m:t>
        </m:r>
        <m:rad>
          <m:radPr>
            <m:degHide m:val="1"/>
          </m:radPr>
          <m:deg/>
          <m:e>
            <m:r>
              <m:t>S</m:t>
            </m:r>
            <m:r>
              <m:t>C</m:t>
            </m:r>
          </m:e>
        </m:rad>
        <m:r>
          <m:t>=</m:t>
        </m:r>
      </m:oMath>
      <w:r>
        <w:t xml:space="preserve"> </w:t>
      </w:r>
      <w:r>
        <w:t xml:space="preserve">1.718 centred at</w:t>
      </w:r>
      <w:r>
        <w:t xml:space="preserve"> </w:t>
      </w:r>
      <m:oMath>
        <m:r>
          <m:t>γ</m:t>
        </m:r>
        <m:r>
          <m:t>=</m:t>
        </m:r>
        <m:r>
          <m:t>−</m:t>
        </m:r>
        <m:r>
          <m:t>1.95</m:t>
        </m:r>
      </m:oMath>
      <w:r>
        <w:t xml:space="preserve"> </w:t>
      </w:r>
      <w:r>
        <w:t xml:space="preserve">and one small circle of</w:t>
      </w:r>
      <w:r>
        <w:t xml:space="preserve"> </w:t>
      </w:r>
      <m:oMath>
        <m:r>
          <m:t>σ</m:t>
        </m:r>
        <m:rad>
          <m:radPr>
            <m:degHide m:val="1"/>
          </m:radPr>
          <m:deg/>
          <m:e>
            <m:r>
              <m:t>S</m:t>
            </m:r>
            <m:r>
              <m:t>C</m:t>
            </m:r>
          </m:e>
        </m:rad>
        <m:r>
          <m:t>=</m:t>
        </m:r>
      </m:oMath>
      <w:r>
        <w:t xml:space="preserve"> </w:t>
      </w:r>
      <w:r>
        <w:t xml:space="preserve">0.044 centred at</w:t>
      </w:r>
      <w:r>
        <w:t xml:space="preserve"> </w:t>
      </w:r>
      <m:oMath>
        <m:r>
          <m:t>γ</m:t>
        </m:r>
        <m:r>
          <m:t>=</m:t>
        </m:r>
        <m:r>
          <m:t>−</m:t>
        </m:r>
        <m:r>
          <m:t>0.05</m:t>
        </m:r>
      </m:oMath>
      <w:r>
        <w:t xml:space="preserve">. In a, the maximum real eigenvalaue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0 were stable when</w:t>
      </w:r>
      <w:r>
        <w:t xml:space="preserve"> </w:t>
      </w:r>
      <m:oMath>
        <m:r>
          <m:t>γ</m:t>
        </m:r>
        <m:r>
          <m:t>=</m:t>
        </m:r>
        <m:r>
          <m:t>1</m:t>
        </m:r>
      </m:oMath>
      <w:r>
        <w:t xml:space="preserve"> </w:t>
      </w:r>
      <w:r>
        <w:t xml:space="preserve">while 0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6-1.png" id="0" name="Picture"/>
                    <pic:cNvPicPr>
                      <a:picLocks noChangeArrowheads="1" noChangeAspect="1"/>
                    </pic:cNvPicPr>
                  </pic:nvPicPr>
                  <pic:blipFill>
                    <a:blip r:embed="rId21"/>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1</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clusters eigenvalues toward the distribution’s centre (-1, 0). Black and red elipses in both panels show the circle centred on the distribution in panels a and b, respectively, which have a radius of</w:t>
      </w:r>
      <w:r>
        <w:t xml:space="preserve"> </w:t>
      </w:r>
      <m:oMath>
        <m:r>
          <m:t>σ</m:t>
        </m:r>
        <m:rad>
          <m:radPr>
            <m:degHide m:val="1"/>
          </m:radPr>
          <m:deg/>
          <m:e>
            <m:r>
              <m:t>S</m:t>
            </m:r>
            <m:r>
              <m:t>C</m:t>
            </m:r>
          </m:e>
        </m:rad>
      </m:oMath>
      <w:r>
        <w:t xml:space="preserve">. Proportions of</w:t>
      </w:r>
      <w:r>
        <w:t xml:space="preserve"> </w:t>
      </w:r>
      <m:oMath>
        <m:r>
          <m:t>ℜ</m:t>
        </m:r>
        <m:r>
          <m:t>(</m:t>
        </m:r>
        <m:r>
          <m:t>λ</m:t>
        </m:r>
        <m:r>
          <m:t>)</m:t>
        </m:r>
        <m:r>
          <m:t>&lt;</m:t>
        </m:r>
        <m:r>
          <m:t>0</m:t>
        </m:r>
      </m:oMath>
      <w:r>
        <w:t xml:space="preserve"> </w:t>
      </w:r>
      <w:r>
        <w:t xml:space="preserve">are 0.546 and 0.556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8-1.png" id="0" name="Picture"/>
                    <pic:cNvPicPr>
                      <a:picLocks noChangeArrowheads="1" noChangeAspect="1"/>
                    </pic:cNvPicPr>
                  </pic:nvPicPr>
                  <pic:blipFill>
                    <a:blip r:embed="rId22"/>
                    <a:stretch>
                      <a:fillRect/>
                    </a:stretch>
                  </pic:blipFill>
                  <pic:spPr bwMode="auto">
                    <a:xfrm>
                      <a:off x="0" y="0"/>
                      <a:ext cx="5029200" cy="3352799"/>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Light and dark grey bars show the number of stable systems in the absence and presence of variance in</w:t>
      </w:r>
      <w:r>
        <w:t xml:space="preserve"> </w:t>
      </w:r>
      <m:oMath>
        <m:r>
          <m:t>γ</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9-1.png" id="0" name="Picture"/>
                    <pic:cNvPicPr>
                      <a:picLocks noChangeArrowheads="1" noChangeAspect="1"/>
                    </pic:cNvPicPr>
                  </pic:nvPicPr>
                  <pic:blipFill>
                    <a:blip r:embed="rId23"/>
                    <a:stretch>
                      <a:fillRect/>
                    </a:stretch>
                  </pic:blipFill>
                  <pic:spPr bwMode="auto">
                    <a:xfrm>
                      <a:off x="0" y="0"/>
                      <a:ext cx="5029200" cy="3911599"/>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
        </w:rPr>
        <w:t xml:space="preserve">Figure 4: Distributions of variation in component response time evolved to generate stable systems</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36b7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Brad Duthie</dc:creator>
  <dcterms:created xsi:type="dcterms:W3CDTF">2018-05-19T13:01:05Z</dcterms:created>
  <dcterms:modified xsi:type="dcterms:W3CDTF">2018-05-19T13:01:05Z</dcterms:modified>
</cp:coreProperties>
</file>