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underlies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r>
        <w:t xml:space="preserve"> </w:t>
      </w:r>
      <w:r>
        <w:t xml:space="preserve">(</w:t>
      </w:r>
      <w:r>
        <w:t xml:space="preserve"> </w:t>
      </w:r>
      <w:hyperlink r:id="rId21">
        <w:r>
          <w:rPr>
            <w:rStyle w:val="Hyperlink"/>
          </w:rPr>
          <w:t xml:space="preserve">alexander.duthie@stir.ac.uk</w:t>
        </w:r>
      </w:hyperlink>
      <w:r>
        <w:t xml:space="preserve"> </w:t>
      </w:r>
      <w:r>
        <w:t xml:space="preserv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FirstParagraph"/>
      </w:pPr>
      <w:r>
        <w:rPr>
          <w:b/>
        </w:rPr>
        <w:t xml:space="preserve">Key words:</w:t>
      </w:r>
      <w:r>
        <w:t xml:space="preserve"> </w:t>
      </w:r>
      <w:r>
        <w:t xml:space="preserve">Ecological networks, gene-regulatory networks, neural networks, financial networks, system stability, random matrix theory</w:t>
      </w:r>
    </w:p>
    <w:p>
      <w:pPr>
        <w:pStyle w:val="Heading2"/>
      </w:pPr>
      <w:bookmarkStart w:id="22" w:name="abstract"/>
      <w:bookmarkEnd w:id="22"/>
      <w:r>
        <w:t xml:space="preserve">Abstract</w:t>
      </w:r>
    </w:p>
    <w:p>
      <w:pPr>
        <w:pStyle w:val="FirstParagraph"/>
      </w:pPr>
      <w:r>
        <w:t xml:space="preserve">The stability of a complex system generally decreases with increasing system size and interconnectivity, a counterintuitive result of widespread importance across the physical, life, and social sciences. Despite recent interest in the relationship between system properties and stability, the effect of variation in the response rate of individual system components remains unconsidered. Here I vary the component response rates (</w:t>
      </w:r>
      <m:oMath>
        <m:r>
          <m:rPr>
            <m:sty m:val="b"/>
          </m:rPr>
          <m:t>γ</m:t>
        </m:r>
      </m:oMath>
      <w:r>
        <w:t xml:space="preserve">) of randomly generated complex systems. I show that when component response rates vary, the potential for system stability is markedly increased. Variation in</w:t>
      </w:r>
      <w:r>
        <w:t xml:space="preserve"> </w:t>
      </w:r>
      <m:oMath>
        <m:r>
          <m:rPr>
            <m:sty m:val="b"/>
          </m:rPr>
          <m:t>γ</m:t>
        </m:r>
      </m:oMath>
      <w:r>
        <w:t xml:space="preserve"> </w:t>
      </w:r>
      <w:r>
        <w:t xml:space="preserve">becomes increasingly important as system size increases, such that the largest stable complex systems would be unstable if not for</w:t>
      </w:r>
      <w:r>
        <w:t xml:space="preserve"> </w:t>
      </w:r>
      <m:oMath>
        <m:r>
          <m:rPr>
            <m:sty m:val="b"/>
          </m:rPr>
          <m:t>V</m:t>
        </m:r>
        <m:r>
          <m:rPr>
            <m:sty m:val="b"/>
          </m:rPr>
          <m:t>a</m:t>
        </m:r>
        <m:r>
          <m:rPr>
            <m:sty m:val="b"/>
          </m:rPr>
          <m:t>r</m:t>
        </m:r>
        <m:r>
          <m:rPr>
            <m:sty m:val="b"/>
          </m:rPr>
          <m:t>(</m:t>
        </m:r>
        <m:r>
          <m:rPr>
            <m:sty m:val="b"/>
          </m:rPr>
          <m:t>γ</m:t>
        </m:r>
        <m:r>
          <m:rPr>
            <m:sty m:val="b"/>
          </m:rPr>
          <m:t>)</m:t>
        </m:r>
      </m:oMath>
      <w:r>
        <w:t xml:space="preserve">. My results reveal a previously unconsidered aspect of system stability that is likely to be pervasive across all complex systems.</w:t>
      </w:r>
    </w:p>
    <w:p>
      <w:pPr>
        <w:pStyle w:val="Heading2"/>
      </w:pPr>
      <w:bookmarkStart w:id="23" w:name="author-summary"/>
      <w:bookmarkEnd w:id="23"/>
      <w:r>
        <w:t xml:space="preserve">Author Summary</w:t>
      </w:r>
    </w:p>
    <w:p>
      <w:pPr>
        <w:pStyle w:val="FirstParagraph"/>
      </w:pPr>
      <w:r>
        <w:t xml:space="preserve">Any set of discrete components that potentially interact can define a complex system. Typically, properties of individual components will cause them to respond to system perturbation at different rates, but the consequences of such variation for system stability are unexplored. This work makes three novel theoretical contributions: First, I show that large complex systems with varying component response rates are more likely to be stable than when response rates are uniform. Second, I show that a targeted manipulation of component response rates can increase the probability of system stability by several orders of magnitude. Lastly, I show that varying component response rate does not affect system feasibility. These results are general to any physical, biological, social, or mixed system.</w:t>
      </w:r>
    </w:p>
    <w:p>
      <w:pPr>
        <w:pStyle w:val="Heading2"/>
      </w:pPr>
      <w:bookmarkStart w:id="24" w:name="introduction"/>
      <w:bookmarkEnd w:id="24"/>
      <w:r>
        <w:t xml:space="preserve">Introduction</w:t>
      </w:r>
    </w:p>
    <w:p>
      <w:pPr>
        <w:pStyle w:val="FirstParagraph"/>
      </w:pPr>
      <w:r>
        <w:t xml:space="preserve">In 1972, May</w:t>
      </w:r>
      <w:r>
        <w:t xml:space="preserve"> </w:t>
      </w:r>
      <w:r>
        <w:t xml:space="preserve">(</w:t>
      </w:r>
      <w:hyperlink w:anchor="ref-May1972">
        <w:r>
          <w:rPr>
            <w:i/>
            <w:rStyle w:val="Hyperlink"/>
          </w:rPr>
          <w:t xml:space="preserve">1</w:t>
        </w:r>
      </w:hyperlink>
      <w:r>
        <w:t xml:space="preserve">)</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r>
        <w:t xml:space="preserve"> </w:t>
      </w:r>
      <w:r>
        <w:t xml:space="preserve">(</w:t>
      </w:r>
      <w:hyperlink w:anchor="ref-Allesina2012">
        <w:r>
          <w:rPr>
            <w:i/>
            <w:rStyle w:val="Hyperlink"/>
          </w:rPr>
          <w:t xml:space="preserve">2</w:t>
        </w:r>
      </w:hyperlink>
      <w:r>
        <w:t xml:space="preserve">)</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is broadly relevant for understanding the dynamics and persistence of systems such as ecological</w:t>
      </w:r>
      <w:r>
        <w:t xml:space="preserve"> </w:t>
      </w:r>
      <w:r>
        <w:t xml:space="preserve">(</w:t>
      </w:r>
      <w:hyperlink w:anchor="ref-May1972">
        <w:r>
          <w:rPr>
            <w:i/>
            <w:rStyle w:val="Hyperlink"/>
          </w:rPr>
          <w:t xml:space="preserve">1</w:t>
        </w:r>
      </w:hyperlink>
      <w:r>
        <w:t xml:space="preserve">–</w:t>
      </w:r>
      <w:hyperlink w:anchor="ref-Grilli2017">
        <w:r>
          <w:rPr>
            <w:i/>
            <w:rStyle w:val="Hyperlink"/>
          </w:rPr>
          <w:t xml:space="preserve">5</w:t>
        </w:r>
      </w:hyperlink>
      <w:r>
        <w:t xml:space="preserve">)</w:t>
      </w:r>
      <w:r>
        <w:t xml:space="preserve">, neurological</w:t>
      </w:r>
      <w:r>
        <w:t xml:space="preserve"> </w:t>
      </w:r>
      <w:r>
        <w:t xml:space="preserve">(</w:t>
      </w:r>
      <w:hyperlink w:anchor="ref-Gray2008">
        <w:r>
          <w:rPr>
            <w:i/>
            <w:rStyle w:val="Hyperlink"/>
          </w:rPr>
          <w:t xml:space="preserve">6</w:t>
        </w:r>
      </w:hyperlink>
      <w:r>
        <w:t xml:space="preserve">,</w:t>
      </w:r>
      <w:r>
        <w:t xml:space="preserve"> </w:t>
      </w:r>
      <w:hyperlink w:anchor="ref-Gray2009">
        <w:r>
          <w:rPr>
            <w:i/>
            <w:rStyle w:val="Hyperlink"/>
          </w:rPr>
          <w:t xml:space="preserve">7</w:t>
        </w:r>
      </w:hyperlink>
      <w:r>
        <w:t xml:space="preserve">)</w:t>
      </w:r>
      <w:r>
        <w:t xml:space="preserve">, biochemical</w:t>
      </w:r>
      <w:r>
        <w:t xml:space="preserve"> </w:t>
      </w:r>
      <w:r>
        <w:t xml:space="preserve">(</w:t>
      </w:r>
      <w:hyperlink w:anchor="ref-Rosenfeld2009">
        <w:r>
          <w:rPr>
            <w:i/>
            <w:rStyle w:val="Hyperlink"/>
          </w:rPr>
          <w:t xml:space="preserve">8</w:t>
        </w:r>
      </w:hyperlink>
      <w:r>
        <w:t xml:space="preserve">,</w:t>
      </w:r>
      <w:r>
        <w:t xml:space="preserve"> </w:t>
      </w:r>
      <w:hyperlink w:anchor="ref-MacArthur2010">
        <w:r>
          <w:rPr>
            <w:i/>
            <w:rStyle w:val="Hyperlink"/>
          </w:rPr>
          <w:t xml:space="preserve">9</w:t>
        </w:r>
      </w:hyperlink>
      <w:r>
        <w:t xml:space="preserve">)</w:t>
      </w:r>
      <w:r>
        <w:t xml:space="preserve">, and socio-economic</w:t>
      </w:r>
      <w:r>
        <w:t xml:space="preserve"> </w:t>
      </w:r>
      <w:r>
        <w:t xml:space="preserve">(</w:t>
      </w:r>
      <w:hyperlink w:anchor="ref-May2008">
        <w:r>
          <w:rPr>
            <w:i/>
            <w:rStyle w:val="Hyperlink"/>
          </w:rPr>
          <w:t xml:space="preserve">10</w:t>
        </w:r>
      </w:hyperlink>
      <w:r>
        <w:t xml:space="preserve">–</w:t>
      </w:r>
      <w:hyperlink w:anchor="ref-Bardoscia2017">
        <w:r>
          <w:rPr>
            <w:i/>
            <w:rStyle w:val="Hyperlink"/>
          </w:rPr>
          <w:t xml:space="preserve">13</w:t>
        </w:r>
      </w:hyperlink>
      <w:r>
        <w:t xml:space="preserve">)</w:t>
      </w:r>
      <w:r>
        <w:t xml:space="preserve"> </w:t>
      </w:r>
      <w:r>
        <w:t xml:space="preserve">networks. As such, identifying general principles that affect stability in complex systems is of wide-ranging importance.</w:t>
      </w:r>
    </w:p>
    <w:p>
      <w:pPr>
        <w:pStyle w:val="BodyText"/>
      </w:pPr>
      <w:r>
        <w:t xml:space="preserve">Randomly assembled complex systems can be represented as large square matrices (</w:t>
      </w:r>
      <m:oMath>
        <m:r>
          <m:rPr>
            <m:sty m:val="b"/>
          </m:rPr>
          <m:t>M</m:t>
        </m:r>
      </m:oMath>
      <w:r>
        <w:t xml:space="preserve">) with</w:t>
      </w:r>
      <w:r>
        <w:t xml:space="preserve"> </w:t>
      </w:r>
      <m:oMath>
        <m:r>
          <m:t>S</m:t>
        </m:r>
      </m:oMath>
      <w:r>
        <w:t xml:space="preserve"> </w:t>
      </w:r>
      <w:r>
        <w:t xml:space="preserve">components (e.g., networks of species</w:t>
      </w:r>
      <w:r>
        <w:t xml:space="preserve"> </w:t>
      </w:r>
      <w:r>
        <w:t xml:space="preserve">(</w:t>
      </w:r>
      <w:hyperlink w:anchor="ref-Allesina2012">
        <w:r>
          <w:rPr>
            <w:i/>
            <w:rStyle w:val="Hyperlink"/>
          </w:rPr>
          <w:t xml:space="preserve">2</w:t>
        </w:r>
      </w:hyperlink>
      <w:r>
        <w:t xml:space="preserve">)</w:t>
      </w:r>
      <w:r>
        <w:t xml:space="preserve"> </w:t>
      </w:r>
      <w:r>
        <w:t xml:space="preserve">or banks</w:t>
      </w:r>
      <w:r>
        <w:t xml:space="preserve"> </w:t>
      </w:r>
      <w:r>
        <w:t xml:space="preserve">(</w:t>
      </w:r>
      <w:hyperlink w:anchor="ref-Haldane2011">
        <w:r>
          <w:rPr>
            <w:i/>
            <w:rStyle w:val="Hyperlink"/>
          </w:rPr>
          <w:t xml:space="preserve">11</w:t>
        </w:r>
      </w:hyperlink>
      <w:r>
        <w:t xml:space="preserve">)</w:t>
      </w:r>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 </w:t>
      </w:r>
      <w:r>
        <w:t xml:space="preserve">(</w:t>
      </w:r>
      <w:hyperlink w:anchor="ref-Allesina2012">
        <w:r>
          <w:rPr>
            <w:i/>
            <w:rStyle w:val="Hyperlink"/>
          </w:rPr>
          <w:t xml:space="preserve">2</w:t>
        </w:r>
      </w:hyperlink>
      <w:r>
        <w:t xml:space="preserve">)</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 </w:t>
      </w:r>
      <w:r>
        <w:t xml:space="preserve">(</w:t>
      </w:r>
      <w:hyperlink w:anchor="ref-May1972">
        <w:r>
          <w:rPr>
            <w:i/>
            <w:rStyle w:val="Hyperlink"/>
          </w:rPr>
          <w:t xml:space="preserve">1</w:t>
        </w:r>
      </w:hyperlink>
      <w:r>
        <w:t xml:space="preserve">,</w:t>
      </w:r>
      <w:r>
        <w:t xml:space="preserve"> </w:t>
      </w:r>
      <w:hyperlink w:anchor="ref-Allesina2012">
        <w:r>
          <w:rPr>
            <w:i/>
            <w:rStyle w:val="Hyperlink"/>
          </w:rPr>
          <w:t xml:space="preserve">2</w:t>
        </w:r>
      </w:hyperlink>
      <w:r>
        <w:t xml:space="preserve">,</w:t>
      </w:r>
      <w:r>
        <w:t xml:space="preserve"> </w:t>
      </w:r>
      <w:hyperlink w:anchor="ref-Allesina2015">
        <w:r>
          <w:rPr>
            <w:i/>
            <w:rStyle w:val="Hyperlink"/>
          </w:rPr>
          <w:t xml:space="preserve">4</w:t>
        </w:r>
      </w:hyperlink>
      <w:r>
        <w:t xml:space="preserve">)</w:t>
      </w:r>
      <w:r>
        <w:t xml:space="preserve">. Local system stability is assessed using eigenanalysis, with the system being stable if the real parts of all eigenvalues (</w:t>
      </w:r>
      <m:oMath>
        <m:r>
          <m:t>λ</m:t>
        </m:r>
      </m:oMath>
      <w:r>
        <w:t xml:space="preserve">) of</w:t>
      </w:r>
      <w:r>
        <w:t xml:space="preserve"> </w:t>
      </w:r>
      <m:oMath>
        <m:r>
          <m:rPr>
            <m:sty m:val="b"/>
          </m:rP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 </w:t>
      </w:r>
      <w:r>
        <w:t xml:space="preserve">(</w:t>
      </w:r>
      <w:hyperlink w:anchor="ref-May1972">
        <w:r>
          <w:rPr>
            <w:i/>
            <w:rStyle w:val="Hyperlink"/>
          </w:rPr>
          <w:t xml:space="preserve">1</w:t>
        </w:r>
      </w:hyperlink>
      <w:r>
        <w:t xml:space="preserve">,</w:t>
      </w:r>
      <w:r>
        <w:t xml:space="preserve"> </w:t>
      </w:r>
      <w:hyperlink w:anchor="ref-Allesina2012">
        <w:r>
          <w:rPr>
            <w:i/>
            <w:rStyle w:val="Hyperlink"/>
          </w:rPr>
          <w:t xml:space="preserve">2</w:t>
        </w:r>
      </w:hyperlink>
      <w:r>
        <w:t xml:space="preserve">)</w:t>
      </w:r>
      <w:r>
        <w:t xml:space="preserve">. In a large system (high</w:t>
      </w:r>
      <w:r>
        <w:t xml:space="preserve"> </w:t>
      </w:r>
      <m:oMath>
        <m:r>
          <m:t>S</m:t>
        </m:r>
      </m:oMath>
      <w:r>
        <w:t xml:space="preserve">), eigenvalues are distributed uniformly</w:t>
      </w:r>
      <w:r>
        <w:t xml:space="preserve"> </w:t>
      </w:r>
      <w:r>
        <w:t xml:space="preserve">(</w:t>
      </w:r>
      <w:hyperlink w:anchor="ref-Tao2010">
        <w:r>
          <w:rPr>
            <w:i/>
            <w:rStyle w:val="Hyperlink"/>
          </w:rPr>
          <w:t xml:space="preserve">14</w:t>
        </w:r>
      </w:hyperlink>
      <w:r>
        <w:t xml:space="preserve">)</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 </w:t>
      </w:r>
      <w:r>
        <w:t xml:space="preserve">(</w:t>
      </w:r>
      <w:hyperlink w:anchor="ref-May1972">
        <w:r>
          <w:rPr>
            <w:i/>
            <w:rStyle w:val="Hyperlink"/>
          </w:rPr>
          <w:t xml:space="preserve">1</w:t>
        </w:r>
      </w:hyperlink>
      <w:r>
        <w:t xml:space="preserve">,</w:t>
      </w:r>
      <w:r>
        <w:t xml:space="preserve"> </w:t>
      </w:r>
      <w:hyperlink w:anchor="ref-Allesina2012">
        <w:r>
          <w:rPr>
            <w:i/>
            <w:rStyle w:val="Hyperlink"/>
          </w:rPr>
          <w:t xml:space="preserve">2</w:t>
        </w:r>
      </w:hyperlink>
      <w:r>
        <w:t xml:space="preserve">,</w:t>
      </w:r>
      <w:r>
        <w:t xml:space="preserve"> </w:t>
      </w:r>
      <w:hyperlink w:anchor="ref-Allesina2015">
        <w:r>
          <w:rPr>
            <w:i/>
            <w:rStyle w:val="Hyperlink"/>
          </w:rPr>
          <w:t xml:space="preserve">4</w:t>
        </w:r>
      </w:hyperlink>
      <w:r>
        <w:t xml:space="preserve">)</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May’s</w:t>
      </w:r>
      <w:r>
        <w:t xml:space="preserve"> </w:t>
      </w:r>
      <w:r>
        <w:t xml:space="preserve">(</w:t>
      </w:r>
      <w:hyperlink w:anchor="ref-May1972">
        <w:r>
          <w:rPr>
            <w:i/>
            <w:rStyle w:val="Hyperlink"/>
          </w:rPr>
          <w:t xml:space="preserve">1</w:t>
        </w:r>
      </w:hyperlink>
      <w:r>
        <w:t xml:space="preserve">,</w:t>
      </w:r>
      <w:r>
        <w:t xml:space="preserve"> </w:t>
      </w:r>
      <w:hyperlink w:anchor="ref-Allesina2012">
        <w:r>
          <w:rPr>
            <w:i/>
            <w:rStyle w:val="Hyperlink"/>
          </w:rPr>
          <w:t xml:space="preserve">2</w:t>
        </w:r>
      </w:hyperlink>
      <w:r>
        <w:t xml:space="preserve">)</w:t>
      </w:r>
      <w:r>
        <w:t xml:space="preserve"> </w:t>
      </w:r>
      <w:r>
        <w:t xml:space="preserve">stability criterion</w:t>
      </w:r>
      <w:r>
        <w:t xml:space="preserve"> </w:t>
      </w:r>
      <m:oMath>
        <m:r>
          <m:t>σ</m:t>
        </m:r>
        <m:rad>
          <m:radPr>
            <m:degHide m:val="1"/>
          </m:radPr>
          <m:deg/>
          <m:e>
            <m:r>
              <m:t>S</m:t>
            </m:r>
            <m:r>
              <m:t>C</m:t>
            </m:r>
          </m:e>
        </m:rad>
        <m:r>
          <m:t>&lt;</m:t>
        </m:r>
        <m:r>
          <m:t>1</m:t>
        </m:r>
      </m:oMath>
      <w:r>
        <w:t xml:space="preserve"> </w:t>
      </w:r>
      <w:r>
        <w:t xml:space="preserve">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organisms,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on stability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are actually more likely to be stable, especially when</w:t>
      </w:r>
      <w:r>
        <w:t xml:space="preserve"> </w:t>
      </w:r>
      <m:oMath>
        <m:r>
          <m:t>S</m:t>
        </m:r>
      </m:oMath>
      <w:r>
        <w:t xml:space="preserve"> </w:t>
      </w:r>
      <w:r>
        <w:t xml:space="preserve">is high.</w:t>
      </w:r>
    </w:p>
    <w:p>
      <w:pPr>
        <w:pStyle w:val="Heading2"/>
      </w:pPr>
      <w:bookmarkStart w:id="25" w:name="results"/>
      <w:bookmarkEnd w:id="25"/>
      <w:r>
        <w:t xml:space="preserve">Results</w:t>
      </w:r>
    </w:p>
    <w:p>
      <w:pPr>
        <w:pStyle w:val="FirstParagraph"/>
      </w:pPr>
      <w:r>
        <w:rPr>
          <w:b/>
        </w:rPr>
        <w:t xml:space="preserve">Component response rates of random complex systems</w:t>
      </w:r>
      <w:r>
        <w:t xml:space="preserve">. Rows in</w:t>
      </w:r>
      <w:r>
        <w:t xml:space="preserve"> </w:t>
      </w:r>
      <m:oMath>
        <m:r>
          <m:rPr>
            <m:sty m:val="b"/>
          </m:rP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r>
        <w:t xml:space="preserve"> </w:t>
      </w:r>
      <w:r>
        <w:t xml:space="preserve">(</w:t>
      </w:r>
      <w:hyperlink w:anchor="ref-Patel2018">
        <w:r>
          <w:rPr>
            <w:i/>
            <w:rStyle w:val="Hyperlink"/>
          </w:rPr>
          <w:t xml:space="preserve">15</w:t>
        </w:r>
      </w:hyperlink>
      <w:r>
        <w:t xml:space="preserve">)</w:t>
      </w:r>
      <w:r>
        <w:t xml:space="preserve">.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rPr>
            <m:sty m:val="b"/>
          </m:rP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rPr>
            <m:sty m:val="b"/>
          </m:rP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rPr>
            <m:sty m:val="b"/>
          </m:rPr>
          <m:t>M</m:t>
        </m:r>
      </m:oMath>
      <w:r>
        <w:t xml:space="preserve">. When</w:t>
      </w:r>
      <w:r>
        <w:t xml:space="preserve"> </w:t>
      </w:r>
      <m:oMath>
        <m:sSub>
          <m:e>
            <m:r>
              <m:t>γ</m:t>
            </m:r>
          </m:e>
          <m:sub>
            <m:r>
              <m:t>i</m:t>
            </m:r>
          </m:sub>
        </m:sSub>
        <m:r>
          <m:t>=</m:t>
        </m:r>
        <m:r>
          <m:t>1</m:t>
        </m:r>
      </m:oMath>
      <w:r>
        <w:t xml:space="preserve">, eigenvalues of</w:t>
      </w:r>
      <w:r>
        <w:t xml:space="preserve"> </w:t>
      </w:r>
      <m:oMath>
        <m:r>
          <m:rPr>
            <m:sty m:val="b"/>
          </m:rP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(red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while the latter cluster has a smaller radius, but real components have shifted to the right; all</w:t>
      </w:r>
      <w:r>
        <w:t xml:space="preserve"> </w:t>
      </w:r>
      <m:oMath>
        <m:r>
          <m:t>ℜ</m:t>
        </m:r>
        <m:r>
          <m:t>(</m:t>
        </m:r>
        <m:r>
          <m:t>λ</m:t>
        </m:r>
        <m:r>
          <m:t>)</m:t>
        </m:r>
        <m:r>
          <m:t>&lt;</m:t>
        </m:r>
        <m:r>
          <m:t>0</m:t>
        </m:r>
      </m:oMath>
      <w:r>
        <w:t xml:space="preserve">. Overall, for 1 million randomly assembled</w:t>
      </w:r>
      <w:r>
        <w:t xml:space="preserve"> </w:t>
      </w:r>
      <m:oMath>
        <m:r>
          <m:rPr>
            <m:sty m:val="b"/>
          </m:rP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pPr>
        <w:pStyle w:val="BodyText"/>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rPr>
            <m:sty m:val="b"/>
          </m:rPr>
          <m:t>M</m:t>
        </m:r>
      </m:oMath>
      <w:r>
        <w:t xml:space="preserve"> </w:t>
      </w:r>
      <w:r>
        <w:t xml:space="preserve">before and after the addition of variation in component response rate. Figure 2 shows a comparison of eigenvalue distributions given</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 As expected</w:t>
      </w:r>
      <w:r>
        <w:t xml:space="preserve"> </w:t>
      </w:r>
      <w:r>
        <w:t xml:space="preserve">(</w:t>
      </w:r>
      <w:hyperlink w:anchor="ref-Tao2010">
        <w:r>
          <w:rPr>
            <w:i/>
            <w:rStyle w:val="Hyperlink"/>
          </w:rPr>
          <w:t xml:space="preserve">14</w:t>
        </w:r>
      </w:hyperlink>
      <w:r>
        <w:t xml:space="preserve">)</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2.828. Uniform variation in</w:t>
      </w:r>
      <w:r>
        <w:t xml:space="preserve"> </w:t>
      </w:r>
      <m:oMath>
        <m:r>
          <m:t>γ</m:t>
        </m:r>
      </m:oMath>
      <w:r>
        <w:t xml:space="preserve"> </w:t>
      </w:r>
      <w:r>
        <w:t xml:space="preserve">leads to a non-uniform distribution of eigenvalues</w:t>
      </w:r>
      <w:r>
        <w:t xml:space="preserve"> </w:t>
      </w:r>
      <w:r>
        <w:t xml:space="preserve">(</w:t>
      </w:r>
      <w:hyperlink w:anchor="ref-Ahmadian2015">
        <w:r>
          <w:rPr>
            <w:i/>
            <w:rStyle w:val="Hyperlink"/>
          </w:rPr>
          <w:t xml:space="preserve">16</w:t>
        </w:r>
      </w:hyperlink>
      <w:r>
        <w:t xml:space="preserve">–</w:t>
      </w:r>
      <w:hyperlink w:anchor="ref-Stone2017">
        <w:r>
          <w:rPr>
            <w:i/>
            <w:rStyle w:val="Hyperlink"/>
          </w:rPr>
          <w:t xml:space="preserve">18</w:t>
        </w:r>
      </w:hyperlink>
      <w:r>
        <w:t xml:space="preserve">)</w:t>
      </w:r>
      <w:r>
        <w:t xml:space="preserve">, some of which are clustered locally near the centre of the distribution, but others of which are spread outside the former radius of 2.828 (Fig 2b).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 </w:t>
      </w:r>
      <w:r>
        <w:t xml:space="preserve">(</w:t>
      </w:r>
      <w:hyperlink w:anchor="ref-May1972">
        <w:r>
          <w:rPr>
            <w:i/>
            <w:rStyle w:val="Hyperlink"/>
          </w:rPr>
          <w:t xml:space="preserve">1</w:t>
        </w:r>
      </w:hyperlink>
      <w:r>
        <w:t xml:space="preserve">,</w:t>
      </w:r>
      <w:r>
        <w:t xml:space="preserve"> </w:t>
      </w:r>
      <w:hyperlink w:anchor="ref-Allesina2012">
        <w:r>
          <w:rPr>
            <w:i/>
            <w:rStyle w:val="Hyperlink"/>
          </w:rPr>
          <w:t xml:space="preserve">2</w:t>
        </w:r>
      </w:hyperlink>
      <w:r>
        <w:t xml:space="preserve">)</w:t>
      </w:r>
      <w:r>
        <w:t xml:space="preserve"> </w:t>
      </w:r>
      <w:r>
        <w:t xml:space="preserve">threshold</w:t>
      </w:r>
      <w:r>
        <w:t xml:space="preserve"> </w:t>
      </w:r>
      <m:oMath>
        <m:r>
          <m:t>σ</m:t>
        </m:r>
        <m:rad>
          <m:radPr>
            <m:degHide m:val="1"/>
          </m:radPr>
          <m:deg/>
          <m:e>
            <m:r>
              <m:t>S</m:t>
            </m:r>
            <m:r>
              <m:t>C</m:t>
            </m:r>
          </m:e>
        </m:rad>
        <m:r>
          <m:t>&lt;</m:t>
        </m:r>
        <m:r>
          <m:t>1</m:t>
        </m:r>
      </m:oMath>
      <w:r>
        <w:t xml:space="preserve">.</w:t>
      </w:r>
    </w:p>
    <w:p>
      <w:pPr>
        <w:pStyle w:val="BodyText"/>
      </w:pPr>
      <w:r>
        <w:rPr>
          <w:b/>
        </w:rPr>
        <w:t xml:space="preserve">Simulation of random</w:t>
      </w:r>
      <w:r>
        <w:rPr>
          <w:b/>
        </w:rPr>
        <w:t xml:space="preserve"> </w:t>
      </w:r>
      <m:oMath>
        <m:r>
          <m:rPr>
            <m:sty m:val="b"/>
          </m:rPr>
          <m:t>M</m:t>
        </m:r>
      </m:oMath>
      <w:r>
        <w:rPr>
          <w:b/>
        </w:rPr>
        <w:t xml:space="preserve"> </w:t>
      </w:r>
      <w:r>
        <w:rPr>
          <w:b/>
        </w:rPr>
        <w:t xml:space="preserve">across</w:t>
      </w:r>
      <w:r>
        <w:rPr>
          <w:b/>
        </w:rPr>
        <w:t xml:space="preserve"> </w:t>
      </w:r>
      <m:oMath>
        <m:r>
          <m:rPr>
            <m:sty m:val="b"/>
          </m:rPr>
          <m:t>S</m:t>
        </m:r>
      </m:oMath>
      <w:r>
        <w:t xml:space="preserve">. 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rPr>
            <m:sty m:val="b"/>
          </m:rP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r>
          <m:t>=</m:t>
        </m:r>
        <m:r>
          <m:t>{</m:t>
        </m:r>
        <m:r>
          <m:t>2</m:t>
        </m:r>
        <m:r>
          <m:t>,</m:t>
        </m:r>
        <m:r>
          <m:t>3</m:t>
        </m:r>
        <m:r>
          <m:t>,</m:t>
        </m:r>
        <m:r>
          <m:t>.</m:t>
        </m:r>
        <m:r>
          <m:t>.</m:t>
        </m:r>
        <m:r>
          <m:t>.</m:t>
        </m:r>
        <m:r>
          <m:t>,</m:t>
        </m:r>
        <m:r>
          <m:t>49</m:t>
        </m:r>
        <m:r>
          <m:t>,</m:t>
        </m:r>
        <m:r>
          <m:t>50</m:t>
        </m:r>
        <m:r>
          <m:t>}</m:t>
        </m:r>
      </m:oMath>
      <w:r>
        <w:t xml:space="preserve">. One million</w:t>
      </w:r>
      <w:r>
        <w:t xml:space="preserve"> </w:t>
      </w:r>
      <m:oMath>
        <m:r>
          <m:rPr>
            <m:sty m:val="b"/>
          </m:rPr>
          <m:t>M</m:t>
        </m:r>
      </m:oMath>
      <w:r>
        <w:t xml:space="preserve"> </w:t>
      </w:r>
      <w:r>
        <w:t xml:space="preserve">were simulated for each</w:t>
      </w:r>
      <w:r>
        <w:t xml:space="preserve"> </w:t>
      </w:r>
      <m:oMath>
        <m:r>
          <m:t>S</m:t>
        </m:r>
      </m:oMath>
      <w:r>
        <w:t xml:space="preserve">, and the stability of</w:t>
      </w:r>
      <w:r>
        <w:t xml:space="preserve"> </w:t>
      </w:r>
      <m:oMath>
        <m:r>
          <m:rPr>
            <m:sty m:val="b"/>
          </m:rP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For all</w:t>
      </w:r>
      <w:r>
        <w:t xml:space="preserve"> </w:t>
      </w:r>
      <m:oMath>
        <m:r>
          <m:t>S</m:t>
        </m:r>
        <m:r>
          <m:t>&gt;</m:t>
        </m:r>
        <m:r>
          <m:t>10</m:t>
        </m:r>
      </m:oMath>
      <w:r>
        <w:t xml:space="preserve">, I found that the number of stable random systems was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see Supplementary Information for full table of results),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w:t>
      </w:r>
    </w:p>
    <w:p>
      <w:pPr>
        <w:pStyle w:val="BodyText"/>
      </w:pPr>
      <w:r>
        <w:rPr>
          <w:b/>
        </w:rPr>
        <w:t xml:space="preserve">Targeted manipulation of</w:t>
      </w:r>
      <w:r>
        <w:rPr>
          <w:b/>
        </w:rPr>
        <w:t xml:space="preserve"> </w:t>
      </w:r>
      <m:oMath>
        <m:r>
          <m:rPr>
            <m:sty m:val="b"/>
          </m:rPr>
          <m:t>γ</m:t>
        </m:r>
      </m:oMath>
      <w:r>
        <w:t xml:space="preserve">. To further investigate the potential of</w:t>
      </w:r>
      <w:r>
        <w:t xml:space="preserve"> </w:t>
      </w:r>
      <m:oMath>
        <m:r>
          <m:t>V</m:t>
        </m:r>
        <m:r>
          <m:t>a</m:t>
        </m:r>
        <m:r>
          <m:t>r</m:t>
        </m:r>
        <m:r>
          <m:t>(</m:t>
        </m:r>
        <m:r>
          <m:t>γ</m:t>
        </m:r>
        <m:r>
          <m:t>)</m:t>
        </m:r>
      </m:oMath>
      <w:r>
        <w:t xml:space="preserve"> </w:t>
      </w:r>
      <w:r>
        <w:t xml:space="preserve">to be stabilising, I used a genetic algorithm. Genetic algorithms are heuristic tools that mimic evolution by natural selection, and are useful when the space of potential solutions (in this case, possible combinations of</w:t>
      </w:r>
      <w:r>
        <w:t xml:space="preserve"> </w:t>
      </w:r>
      <m:oMath>
        <m:r>
          <m:t>γ</m:t>
        </m:r>
      </m:oMath>
      <w:r>
        <w:t xml:space="preserve"> </w:t>
      </w:r>
      <w:r>
        <w:t xml:space="preserve">values leading to stability in a large complex system) is too large to search exhaustively</w:t>
      </w:r>
      <w:r>
        <w:t xml:space="preserve"> </w:t>
      </w:r>
      <w:r>
        <w:t xml:space="preserve">(</w:t>
      </w:r>
      <w:hyperlink w:anchor="ref-Hamblin2013">
        <w:r>
          <w:rPr>
            <w:i/>
            <w:rStyle w:val="Hyperlink"/>
          </w:rPr>
          <w:t xml:space="preserve">19</w:t>
        </w:r>
      </w:hyperlink>
      <w:r>
        <w:t xml:space="preserve">)</w:t>
      </w:r>
      <w:r>
        <w:t xml:space="preserve">. Generations of selection on</w:t>
      </w:r>
      <w:r>
        <w:t xml:space="preserve"> </w:t>
      </w:r>
      <m:oMath>
        <m:r>
          <m:t>γ</m:t>
        </m:r>
      </m:oMath>
      <w:r>
        <w:t xml:space="preserve"> </w:t>
      </w:r>
      <w:r>
        <w:t xml:space="preserve">value combinations to minimise</w:t>
      </w:r>
      <w:r>
        <w:t xml:space="preserve"> </w:t>
      </w:r>
      <m:oMath>
        <m:r>
          <m:rPr>
            <m:sty m:val="p"/>
          </m:rPr>
          <m:t>max</m:t>
        </m:r>
        <m:d>
          <m:dPr>
            <m:begChr m:val="("/>
            <m:endChr m:val=")"/>
            <m:grow/>
          </m:dPr>
          <m:e>
            <m:r>
              <m:t>ℜ</m:t>
            </m:r>
            <m:r>
              <m:t>(</m:t>
            </m:r>
            <m:r>
              <m:t>λ</m:t>
            </m:r>
            <m:r>
              <m:t>)</m:t>
            </m:r>
          </m:e>
        </m:d>
      </m:oMath>
      <w:r>
        <w:t xml:space="preserve"> </w:t>
      </w:r>
      <w:r>
        <w:t xml:space="preserve">demonstrated the potential for</w:t>
      </w:r>
      <w:r>
        <w:t xml:space="preserve"> </w:t>
      </w:r>
      <m:oMath>
        <m:r>
          <m:t>V</m:t>
        </m:r>
        <m:r>
          <m:t>a</m:t>
        </m:r>
        <m:r>
          <m:t>r</m:t>
        </m:r>
        <m:r>
          <m:t>(</m:t>
        </m:r>
        <m:r>
          <m:t>γ</m:t>
        </m:r>
        <m:r>
          <m:t>)</m:t>
        </m:r>
      </m:oMath>
      <w:r>
        <w:t xml:space="preserve"> </w:t>
      </w:r>
      <w:r>
        <w:t xml:space="preserve">to increase system stability.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up to four orders of magnitude higher than when</w:t>
      </w:r>
      <w:r>
        <w:t xml:space="preserve"> </w:t>
      </w:r>
      <m:oMath>
        <m:r>
          <m:t>γ</m:t>
        </m:r>
        <m:r>
          <m:t>=</m:t>
        </m:r>
        <m:r>
          <m:t>1</m:t>
        </m:r>
      </m:oMath>
      <w:r>
        <w:t xml:space="preserve"> </w:t>
      </w:r>
      <w:r>
        <w:t xml:space="preserve">(Fig. 4),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rPr>
            <m:sty m:val="b"/>
          </m:rPr>
          <m:t>M</m:t>
        </m:r>
      </m:oMath>
      <w:r>
        <w:t xml:space="preserve"> </w:t>
      </w:r>
      <w:r>
        <w:t xml:space="preserve">elements.</w:t>
      </w:r>
    </w:p>
    <w:p>
      <w:pPr>
        <w:pStyle w:val="BodyText"/>
      </w:pPr>
      <w:r>
        <w:rPr>
          <w:b/>
        </w:rPr>
        <w:t xml:space="preserve">System feasibility given</w:t>
      </w:r>
      <w:r>
        <w:rPr>
          <w:b/>
        </w:rPr>
        <w:t xml:space="preserve"> </w:t>
      </w:r>
      <m:oMath>
        <m:r>
          <m:rPr>
            <m:sty m:val="b"/>
          </m:rPr>
          <m:t>V</m:t>
        </m:r>
        <m:r>
          <m:rPr>
            <m:sty m:val="b"/>
          </m:rPr>
          <m:t>a</m:t>
        </m:r>
        <m:r>
          <m:rPr>
            <m:sty m:val="b"/>
          </m:rPr>
          <m:t>r</m:t>
        </m:r>
        <m:r>
          <m:rPr>
            <m:sty m:val="b"/>
          </m:rPr>
          <m:t>(</m:t>
        </m:r>
        <m:r>
          <m:rPr>
            <m:sty m:val="b"/>
          </m:rPr>
          <m:t>γ</m:t>
        </m:r>
        <m:r>
          <m:rPr>
            <m:sty m:val="b"/>
          </m:rPr>
          <m:t>)</m:t>
        </m:r>
      </m:oMath>
      <w:r>
        <w:t xml:space="preserve"> </w:t>
      </w:r>
      <w:r>
        <w:t xml:space="preserve">For complex systems in which individual system components represent the density of some tangible quantity, it is relevant to consider the feasibility of the system. Feasibilility assumes that the system is stable and values of all components are positive at equilibrium</w:t>
      </w:r>
      <w:r>
        <w:t xml:space="preserve"> </w:t>
      </w:r>
      <w:r>
        <w:t xml:space="preserve">(</w:t>
      </w:r>
      <w:hyperlink w:anchor="ref-Grilli2017">
        <w:r>
          <w:rPr>
            <w:i/>
            <w:rStyle w:val="Hyperlink"/>
          </w:rPr>
          <w:t xml:space="preserve">5</w:t>
        </w:r>
      </w:hyperlink>
      <w:r>
        <w:t xml:space="preserve">,</w:t>
      </w:r>
      <w:r>
        <w:t xml:space="preserve"> </w:t>
      </w:r>
      <w:hyperlink w:anchor="ref-Dougoud2018">
        <w:r>
          <w:rPr>
            <w:i/>
            <w:rStyle w:val="Hyperlink"/>
          </w:rPr>
          <w:t xml:space="preserve">20</w:t>
        </w:r>
      </w:hyperlink>
      <w:r>
        <w:t xml:space="preserve">,</w:t>
      </w:r>
      <w:r>
        <w:t xml:space="preserve"> </w:t>
      </w:r>
      <w:hyperlink w:anchor="ref-Song2018">
        <w:r>
          <w:rPr>
            <w:i/>
            <w:rStyle w:val="Hyperlink"/>
          </w:rPr>
          <w:t xml:space="preserve">21</w:t>
        </w:r>
      </w:hyperlink>
      <w:r>
        <w:t xml:space="preserve">)</w:t>
      </w:r>
      <w:r>
        <w:t xml:space="preserve">. This is of particular interest for ecological communities because population density cannot take negative values, meaning that ecological systems need to be feasible for stability to be biologically realistic</w:t>
      </w:r>
      <w:r>
        <w:t xml:space="preserve"> </w:t>
      </w:r>
      <w:r>
        <w:t xml:space="preserve">(</w:t>
      </w:r>
      <w:hyperlink w:anchor="ref-Dougoud2018">
        <w:r>
          <w:rPr>
            <w:i/>
            <w:rStyle w:val="Hyperlink"/>
          </w:rPr>
          <w:t xml:space="preserve">20</w:t>
        </w:r>
      </w:hyperlink>
      <w:r>
        <w:t xml:space="preserve">)</w:t>
      </w:r>
      <w:r>
        <w:t xml:space="preserve">. While my results are intended to be general to all complex systems, and not restricted to species networks, I have also performed a feasibility analysis on all matrices</w:t>
      </w:r>
      <w:r>
        <w:t xml:space="preserve"> </w:t>
      </w:r>
      <m:oMath>
        <m:r>
          <m:rPr>
            <m:sty m:val="b"/>
          </m:rPr>
          <m:t>M</m:t>
        </m:r>
      </m:oMath>
      <w:r>
        <w:t xml:space="preserve"> </w:t>
      </w:r>
      <w:r>
        <w:t xml:space="preserve">tested for stability, and additionally for specific types of ecological communities</w:t>
      </w:r>
      <w:r>
        <w:t xml:space="preserve"> </w:t>
      </w:r>
      <w:r>
        <w:t xml:space="preserve">(</w:t>
      </w:r>
      <w:hyperlink w:anchor="ref-Allesina2012">
        <w:r>
          <w:rPr>
            <w:i/>
            <w:rStyle w:val="Hyperlink"/>
          </w:rPr>
          <w:t xml:space="preserve">2</w:t>
        </w:r>
      </w:hyperlink>
      <w:r>
        <w:t xml:space="preserve">)</w:t>
      </w:r>
      <w:r>
        <w:t xml:space="preserve"> </w:t>
      </w:r>
      <w:r>
        <w:t xml:space="preserve">(e.g., competitive, mutualist, predator-prey; see Supplementary Information). Feasibility was unaffected by</w:t>
      </w:r>
      <w:r>
        <w:t xml:space="preserve"> </w:t>
      </w:r>
      <m:oMath>
        <m:r>
          <m:t>V</m:t>
        </m:r>
        <m:r>
          <m:t>a</m:t>
        </m:r>
        <m:r>
          <m:t>r</m:t>
        </m:r>
        <m:r>
          <m:t>(</m:t>
        </m:r>
        <m:r>
          <m:t>γ</m:t>
        </m:r>
        <m:r>
          <m:t>)</m:t>
        </m:r>
      </m:oMath>
      <w:r>
        <w:t xml:space="preserve"> </w:t>
      </w:r>
      <w:r>
        <w:t xml:space="preserve">and instead occurred with a fixed probability of</w:t>
      </w:r>
      <w:r>
        <w:t xml:space="preserve"> </w:t>
      </w:r>
      <m:oMath>
        <m:r>
          <m:t>1</m:t>
        </m:r>
        <m:r>
          <m:t>/</m:t>
        </m:r>
        <m:sSup>
          <m:e>
            <m:r>
              <m:t>2</m:t>
            </m:r>
          </m:e>
          <m:sup>
            <m:r>
              <m:t>S</m:t>
            </m:r>
          </m:sup>
        </m:sSup>
      </m:oMath>
      <w:r>
        <w:t xml:space="preserve">, consistent with a recent proof by Serván et al.</w:t>
      </w:r>
      <w:r>
        <w:t xml:space="preserve"> </w:t>
      </w:r>
      <w:r>
        <w:t xml:space="preserve">(</w:t>
      </w:r>
      <w:hyperlink w:anchor="ref-Servan2018">
        <w:r>
          <w:rPr>
            <w:i/>
            <w:rStyle w:val="Hyperlink"/>
          </w:rPr>
          <w:t xml:space="preserve">22</w:t>
        </w:r>
      </w:hyperlink>
      <w:r>
        <w:t xml:space="preserve">)</w:t>
      </w:r>
      <w:r>
        <w:t xml:space="preserve"> </w:t>
      </w:r>
      <w:r>
        <w:t xml:space="preserve">(see Supplementary Information). Hence, for pure interacting species networks, variation in component response rate (i.e., species generation time) does not affect stability at biologically realistic species densities.</w:t>
      </w:r>
    </w:p>
    <w:p>
      <w:pPr>
        <w:pStyle w:val="Heading2"/>
      </w:pPr>
      <w:bookmarkStart w:id="26" w:name="discussion"/>
      <w:bookmarkEnd w:id="26"/>
      <w:r>
        <w:t xml:space="preserve">Discussion</w:t>
      </w:r>
    </w:p>
    <w:p>
      <w:pPr>
        <w:pStyle w:val="FirstParagraph"/>
      </w:pPr>
      <w:r>
        <w:t xml:space="preserve">Here I have shown that the stability of large systems might often be contigent upon variation in the response rates of their individual components, meaning that factors such as rate of trait evolution (in biological networks), transaction speed (in economic networks), or communication speed (in social networks) need to be considered when investigating the stability of complex systems. Variation in component response rate becomes more likely to be critical for stability as system size increases, and can ultimately increase the overall probability that system stability is observed above that predicted by May’s</w:t>
      </w:r>
      <w:r>
        <w:t xml:space="preserve"> </w:t>
      </w:r>
      <w:r>
        <w:t xml:space="preserve">(</w:t>
      </w:r>
      <w:hyperlink w:anchor="ref-May1972">
        <w:r>
          <w:rPr>
            <w:i/>
            <w:rStyle w:val="Hyperlink"/>
          </w:rPr>
          <w:t xml:space="preserve">1</w:t>
        </w:r>
      </w:hyperlink>
      <w:r>
        <w:t xml:space="preserve">)</w:t>
      </w:r>
      <w:r>
        <w:t xml:space="preserve"> </w:t>
      </w:r>
      <w:r>
        <w:t xml:space="preserve">classically derived</w:t>
      </w:r>
      <w:r>
        <w:t xml:space="preserve"> </w:t>
      </w:r>
      <m:oMath>
        <m:r>
          <m:t>σ</m:t>
        </m:r>
        <m:rad>
          <m:radPr>
            <m:degHide m:val="1"/>
          </m:radPr>
          <m:deg/>
          <m:e>
            <m:r>
              <m:t>S</m:t>
            </m:r>
            <m:r>
              <m:t>C</m:t>
            </m:r>
          </m:e>
        </m:rad>
      </m:oMath>
      <w:r>
        <w:t xml:space="preserve"> </w:t>
      </w:r>
      <w:r>
        <w:t xml:space="preserve">criterion. The logic outlined here is general, and potentially applies to any complex system in which individual system components can vary in their reaction rates to system perturbation.</w:t>
      </w:r>
    </w:p>
    <w:p>
      <w:pPr>
        <w:pStyle w:val="BodyText"/>
      </w:pPr>
      <w:r>
        <w:t xml:space="preserve">It is important to emphasise that variation in component response rate is not stabilising per se; that is, adding variation in component response rate to a particular system does not necessarily increase the probability that the system will be stable. Rather, systems that are observed to be stable are more likely to have varying component response rates, and for this variation to be critical to their stability (Fig. 3). This is caused by the shift to a non-uniform distribution of eigenvalues that occurs by introducing</w:t>
      </w:r>
      <w:r>
        <w:t xml:space="preserve"> </w:t>
      </w:r>
      <m:oMath>
        <m:r>
          <m:t>V</m:t>
        </m:r>
        <m:r>
          <m:t>a</m:t>
        </m:r>
        <m:r>
          <m:t>r</m:t>
        </m:r>
        <m:r>
          <m:t>(</m:t>
        </m:r>
        <m:r>
          <m:t>γ</m:t>
        </m:r>
        <m:r>
          <m:t>)</m:t>
        </m:r>
      </m:oMath>
      <w:r>
        <w:t xml:space="preserve"> </w:t>
      </w:r>
      <w:r>
        <w:t xml:space="preserve">(Fig. 1b, 2b), which can sometimes cause all of the real components of the eigenvalues of the community matrix</w:t>
      </w:r>
      <w:r>
        <w:t xml:space="preserve"> </w:t>
      </w:r>
      <m:oMath>
        <m:r>
          <m:rPr>
            <m:sty m:val="b"/>
          </m:rPr>
          <m:t>M</m:t>
        </m:r>
      </m:oMath>
      <w:r>
        <w:t xml:space="preserve"> </w:t>
      </w:r>
      <w:r>
        <w:t xml:space="preserve">to become negative, but might also increase the real components of eigenvalues. The mathematics underlying this shift in eigenvalue distribution has been investigated</w:t>
      </w:r>
      <w:r>
        <w:t xml:space="preserve"> </w:t>
      </w:r>
      <w:r>
        <w:t xml:space="preserve">(</w:t>
      </w:r>
      <w:hyperlink w:anchor="ref-Ahmadian2015">
        <w:r>
          <w:rPr>
            <w:i/>
            <w:rStyle w:val="Hyperlink"/>
          </w:rPr>
          <w:t xml:space="preserve">16</w:t>
        </w:r>
      </w:hyperlink>
      <w:r>
        <w:t xml:space="preserve">)</w:t>
      </w:r>
      <w:r>
        <w:t xml:space="preserve"> </w:t>
      </w:r>
      <w:r>
        <w:t xml:space="preserve">and recently applied to questions concerning species density and feasibility</w:t>
      </w:r>
      <w:r>
        <w:t xml:space="preserve"> </w:t>
      </w:r>
      <w:r>
        <w:t xml:space="preserve">(</w:t>
      </w:r>
      <w:hyperlink w:anchor="ref-Gibbs2017">
        <w:r>
          <w:rPr>
            <w:i/>
            <w:rStyle w:val="Hyperlink"/>
          </w:rPr>
          <w:t xml:space="preserve">17</w:t>
        </w:r>
      </w:hyperlink>
      <w:r>
        <w:t xml:space="preserve">,</w:t>
      </w:r>
      <w:r>
        <w:t xml:space="preserve"> </w:t>
      </w:r>
      <w:hyperlink w:anchor="ref-Stone2017">
        <w:r>
          <w:rPr>
            <w:i/>
            <w:rStyle w:val="Hyperlink"/>
          </w:rPr>
          <w:t xml:space="preserve">18</w:t>
        </w:r>
      </w:hyperlink>
      <w:r>
        <w:t xml:space="preserve">)</w:t>
      </w:r>
      <w:r>
        <w:t xml:space="preserve">, but has not been interpreted as rates of response of individual system components to perturbation.</w:t>
      </w:r>
    </w:p>
    <w:p>
      <w:pPr>
        <w:pStyle w:val="BodyText"/>
      </w:pPr>
      <w:r>
        <w:t xml:space="preserve">The potential importance of component response rate variation was most evident from the results of simulations in which the genetic algorithm was used in attempt to maximise the probability of system stability. The probability that some combination of component response rates could be found to stabilise the system was shown to be up to four orders of magnitude higher than the background probabilities of stability in the absence of any component response rate variation. Instead of manipulating the</w:t>
      </w:r>
      <w:r>
        <w:t xml:space="preserve"> </w:t>
      </w:r>
      <m:oMath>
        <m:r>
          <m:t>S</m:t>
        </m:r>
        <m:r>
          <m:t>×</m:t>
        </m:r>
        <m:r>
          <m:t>S</m:t>
        </m:r>
      </m:oMath>
      <w:r>
        <w:t xml:space="preserve"> </w:t>
      </w:r>
      <w:r>
        <w:t xml:space="preserve">interactions between system components, it might therefore be possible to manipulate only the</w:t>
      </w:r>
      <w:r>
        <w:t xml:space="preserve"> </w:t>
      </w:r>
      <m:oMath>
        <m:r>
          <m:t>S</m:t>
        </m:r>
      </m:oMath>
      <w:r>
        <w:t xml:space="preserve"> </w:t>
      </w:r>
      <w:r>
        <w:t xml:space="preserve">response rates of individual system components to achieve stability. Hence, managing the response rates of system components in a targeted way could potentially facilitate the stabilisation of complex systems through a reduction in dimensionality.</w:t>
      </w:r>
    </w:p>
    <w:p>
      <w:pPr>
        <w:pStyle w:val="BodyText"/>
      </w:pPr>
      <w:r>
        <w:t xml:space="preserve">Interestingly, while complex systems were more likely to be stable given variation in component response rate, they were not more likely to be feasible, meaning that stability was not increased when component values were also restricted to being positive at equilibrium. Feasibility is important to consider, particularly for the study of ecological networks of species</w:t>
      </w:r>
      <w:r>
        <w:t xml:space="preserve"> </w:t>
      </w:r>
      <w:r>
        <w:t xml:space="preserve">(</w:t>
      </w:r>
      <w:hyperlink w:anchor="ref-Grilli2017">
        <w:r>
          <w:rPr>
            <w:i/>
            <w:rStyle w:val="Hyperlink"/>
          </w:rPr>
          <w:t xml:space="preserve">5</w:t>
        </w:r>
      </w:hyperlink>
      <w:r>
        <w:t xml:space="preserve">,</w:t>
      </w:r>
      <w:r>
        <w:t xml:space="preserve"> </w:t>
      </w:r>
      <w:hyperlink w:anchor="ref-Stone2017">
        <w:r>
          <w:rPr>
            <w:i/>
            <w:rStyle w:val="Hyperlink"/>
          </w:rPr>
          <w:t xml:space="preserve">18</w:t>
        </w:r>
      </w:hyperlink>
      <w:r>
        <w:t xml:space="preserve">,</w:t>
      </w:r>
      <w:r>
        <w:t xml:space="preserve"> </w:t>
      </w:r>
      <w:hyperlink w:anchor="ref-Dougoud2018">
        <w:r>
          <w:rPr>
            <w:i/>
            <w:rStyle w:val="Hyperlink"/>
          </w:rPr>
          <w:t xml:space="preserve">20</w:t>
        </w:r>
      </w:hyperlink>
      <w:r>
        <w:t xml:space="preserve">,</w:t>
      </w:r>
      <w:r>
        <w:t xml:space="preserve"> </w:t>
      </w:r>
      <w:hyperlink w:anchor="ref-Servan2018">
        <w:r>
          <w:rPr>
            <w:i/>
            <w:rStyle w:val="Hyperlink"/>
          </w:rPr>
          <w:t xml:space="preserve">22</w:t>
        </w:r>
      </w:hyperlink>
      <w:r>
        <w:t xml:space="preserve">)</w:t>
      </w:r>
      <w:r>
        <w:t xml:space="preserve"> </w:t>
      </w:r>
      <w:r>
        <w:t xml:space="preserve">because population densities cannot realistically be negative. My results therefore suggest that variation in the rate of population responses to perturbation (e.g., due to differences in generation time among species) is unlikely to be critical to the feasibility of purely multi-species interaction networks (see also Supplementary Information). Nevertheless, ecological interactions do not exist in isolation in empirical systems</w:t>
      </w:r>
      <w:r>
        <w:t xml:space="preserve"> </w:t>
      </w:r>
      <w:r>
        <w:t xml:space="preserve">(</w:t>
      </w:r>
      <w:hyperlink w:anchor="ref-Patel2018">
        <w:r>
          <w:rPr>
            <w:i/>
            <w:rStyle w:val="Hyperlink"/>
          </w:rPr>
          <w:t xml:space="preserve">15</w:t>
        </w:r>
      </w:hyperlink>
      <w:r>
        <w:t xml:space="preserve">)</w:t>
      </w:r>
      <w:r>
        <w:t xml:space="preserve">, but instead interact with evolutionary, abiotic, or social-economic systems. The relevance of component response rate for complex system stability should therefore not be ignored in the broader context of ecological communities.</w:t>
      </w:r>
    </w:p>
    <w:p>
      <w:pPr>
        <w:pStyle w:val="BodyText"/>
      </w:pPr>
      <w:r>
        <w:t xml:space="preserve">My results show that complex systems are more likely to be stable when the response rates of system components vary. These results are broadly applicable to understanding stability of complex networks in the physical, life, and social sciences.</w:t>
      </w:r>
    </w:p>
    <w:p>
      <w:pPr>
        <w:pStyle w:val="Heading2"/>
      </w:pPr>
      <w:bookmarkStart w:id="27" w:name="methods"/>
      <w:bookmarkEnd w:id="27"/>
      <w:r>
        <w:t xml:space="preserve">Methods</w:t>
      </w:r>
    </w:p>
    <w:p>
      <w:pPr>
        <w:pStyle w:val="FirstParagraph"/>
      </w:pPr>
      <w:r>
        <w:rPr>
          <w:b/>
        </w:rPr>
        <w:t xml:space="preserve">Component response rate variation (</w:t>
      </w:r>
      <m:oMath>
        <m:r>
          <m:rPr>
            <m:sty m:val="b"/>
          </m:rPr>
          <m:t>γ</m:t>
        </m:r>
      </m:oMath>
      <w:r>
        <w:rPr>
          <w:b/>
        </w:rPr>
        <w:t xml:space="preserve">)</w:t>
      </w:r>
      <w:r>
        <w:t xml:space="preserve">. In a synthesis of eco-evolutionary feedbacks on community stability, Patel et al. model a system that includes a vector of potentially changing species densities (</w:t>
      </w:r>
      <m:oMath>
        <m:r>
          <m:rPr>
            <m:sty m:val="b"/>
          </m:rPr>
          <m:t>N</m:t>
        </m:r>
      </m:oMath>
      <w:r>
        <w:t xml:space="preserve">) and a vector of potentially evolving traits (</w:t>
      </w:r>
      <m:oMath>
        <m:r>
          <m:rPr>
            <m:sty m:val="b"/>
          </m:rPr>
          <m:t>x</m:t>
        </m:r>
      </m:oMath>
      <w:r>
        <w:t xml:space="preserve">)</w:t>
      </w:r>
      <w:r>
        <w:t xml:space="preserve"> </w:t>
      </w:r>
      <w:r>
        <w:t xml:space="preserve">(</w:t>
      </w:r>
      <w:hyperlink w:anchor="ref-Patel2018">
        <w:r>
          <w:rPr>
            <w:i/>
            <w:rStyle w:val="Hyperlink"/>
          </w:rPr>
          <w:t xml:space="preserve">15</w:t>
        </w:r>
      </w:hyperlink>
      <w:r>
        <w:t xml:space="preserve">)</w:t>
      </w:r>
      <w:r>
        <w:t xml:space="preserve">. For any species</w:t>
      </w:r>
      <w:r>
        <w:t xml:space="preserve"> </w:t>
      </w:r>
      <m:oMath>
        <m:r>
          <m:t>i</m:t>
        </m:r>
      </m:oMath>
      <w:r>
        <w:t xml:space="preserve"> </w:t>
      </w:r>
      <w:r>
        <w:t xml:space="preserve">or trait</w:t>
      </w:r>
      <w:r>
        <w:t xml:space="preserve"> </w:t>
      </w:r>
      <m:oMath>
        <m:r>
          <m:t>j</m:t>
        </m:r>
      </m:oMath>
      <w:r>
        <w:t xml:space="preserve">, change in species density (</w:t>
      </w:r>
      <m:oMath>
        <m:sSub>
          <m:e>
            <m:r>
              <m:t>N</m:t>
            </m:r>
          </m:e>
          <m:sub>
            <m:r>
              <m:t>i</m:t>
            </m:r>
          </m:sub>
        </m:sSub>
      </m:oMath>
      <w:r>
        <w:t xml:space="preserve">) or trait value (</w:t>
      </w:r>
      <m:oMath>
        <m:sSub>
          <m:e>
            <m:r>
              <m:t>x</m:t>
            </m:r>
          </m:e>
          <m:sub>
            <m:r>
              <m:t>j</m:t>
            </m:r>
          </m:sub>
        </m:sSub>
      </m:oMath>
      <w:r>
        <w:t xml:space="preserve">) with time (</w:t>
      </w:r>
      <m:oMath>
        <m:r>
          <m:t>t</m:t>
        </m:r>
      </m:oMath>
      <w:r>
        <w:t xml:space="preserve">) is a function of the vectors</w:t>
      </w:r>
      <w:r>
        <w:t xml:space="preserve"> </w:t>
      </w:r>
      <m:oMath>
        <m:r>
          <m:rPr>
            <m:sty m:val="b"/>
          </m:rPr>
          <m:t>N</m:t>
        </m:r>
      </m:oMath>
      <w:r>
        <w:t xml:space="preserve"> </w:t>
      </w:r>
      <w:r>
        <w:t xml:space="preserve">and</w:t>
      </w:r>
      <w:r>
        <w:t xml:space="preserve"> </w:t>
      </w:r>
      <m:oMath>
        <m:r>
          <m:rPr>
            <m:sty m:val="b"/>
          </m:rPr>
          <m:t>x</m:t>
        </m:r>
      </m:oMath>
      <w:r>
        <w:t xml:space="preserve">,</w:t>
      </w:r>
    </w:p>
    <w:p>
      <w:pPr>
        <w:pStyle w:val="BodyText"/>
      </w:pPr>
      <m:oMathPara>
        <m:oMathParaPr>
          <m:jc m:val="center"/>
        </m:oMathParaPr>
        <m:oMath>
          <m:f>
            <m:fPr>
              <m:type m:val="bar"/>
            </m:fPr>
            <m:num>
              <m:r>
                <m:t>d</m:t>
              </m:r>
              <m:sSub>
                <m:e>
                  <m:r>
                    <m:t>N</m:t>
                  </m:r>
                </m:e>
                <m:sub>
                  <m:r>
                    <m:t>i</m:t>
                  </m:r>
                </m:sub>
              </m:sSub>
            </m:num>
            <m:den>
              <m:r>
                <m:t>d</m:t>
              </m:r>
              <m:r>
                <m:t>t</m:t>
              </m:r>
            </m:den>
          </m:f>
          <m:r>
            <m:t>=</m:t>
          </m:r>
          <m:sSub>
            <m:e>
              <m:r>
                <m:t>N</m:t>
              </m:r>
            </m:e>
            <m:sub>
              <m:r>
                <m:t>i</m:t>
              </m:r>
            </m:sub>
          </m:sSub>
          <m:sSub>
            <m:e>
              <m:r>
                <m:t>f</m:t>
              </m:r>
            </m:e>
            <m:sub>
              <m:r>
                <m:t>i</m:t>
              </m:r>
            </m:sub>
          </m:sSub>
          <m:r>
            <m:t>(</m:t>
          </m:r>
          <m:r>
            <m:rPr>
              <m:sty m:val="b"/>
            </m:rPr>
            <m:t>N</m:t>
          </m:r>
          <m:r>
            <m:t>,</m:t>
          </m:r>
          <m:r>
            <m:rPr>
              <m:sty m:val="b"/>
            </m:rPr>
            <m:t>x</m:t>
          </m:r>
          <m:r>
            <m:t>)</m:t>
          </m:r>
          <m:r>
            <m:t>,</m:t>
          </m:r>
        </m:oMath>
      </m:oMathPara>
    </w:p>
    <w:p>
      <w:pPr>
        <w:pStyle w:val="FirstParagraph"/>
      </w:pPr>
      <m:oMathPara>
        <m:oMathParaPr>
          <m:jc m:val="center"/>
        </m:oMathParaPr>
        <m:oMath>
          <m:f>
            <m:fPr>
              <m:type m:val="bar"/>
            </m:fPr>
            <m:num>
              <m:r>
                <m:t>d</m:t>
              </m:r>
              <m:sSub>
                <m:e>
                  <m:r>
                    <m:t>x</m:t>
                  </m:r>
                </m:e>
                <m:sub>
                  <m:r>
                    <m:t>j</m:t>
                  </m:r>
                </m:sub>
              </m:sSub>
            </m:num>
            <m:den>
              <m:r>
                <m:t>d</m:t>
              </m:r>
              <m:r>
                <m:t>t</m:t>
              </m:r>
            </m:den>
          </m:f>
          <m:r>
            <m:t>=</m:t>
          </m:r>
          <m:r>
            <m:t>ϵ</m:t>
          </m:r>
          <m:sSub>
            <m:e>
              <m:r>
                <m:t>g</m:t>
              </m:r>
            </m:e>
            <m:sub>
              <m:r>
                <m:t>j</m:t>
              </m:r>
            </m:sub>
          </m:sSub>
          <m:r>
            <m:t>(</m:t>
          </m:r>
          <m:r>
            <m:rPr>
              <m:sty m:val="b"/>
            </m:rPr>
            <m:t>N</m:t>
          </m:r>
          <m:r>
            <m:t>,</m:t>
          </m:r>
          <m:r>
            <m:rPr>
              <m:sty m:val="b"/>
            </m:rPr>
            <m:t>x</m:t>
          </m:r>
          <m:r>
            <m:t>)</m:t>
          </m:r>
          <m:r>
            <m:t>.</m:t>
          </m:r>
        </m:oMath>
      </m:oMathPara>
    </w:p>
    <w:p>
      <w:pPr>
        <w:pStyle w:val="FirstParagraph"/>
      </w:pPr>
      <w:r>
        <w:t xml:space="preserve">In the above,</w:t>
      </w:r>
      <w:r>
        <w:t xml:space="preserve"> </w:t>
      </w:r>
      <m:oMath>
        <m:sSub>
          <m:e>
            <m:r>
              <m:t>f</m:t>
            </m:r>
          </m:e>
          <m:sub>
            <m:r>
              <m:t>i</m:t>
            </m:r>
          </m:sub>
        </m:sSub>
      </m:oMath>
      <w:r>
        <w:t xml:space="preserve"> </w:t>
      </w:r>
      <w:r>
        <w:t xml:space="preserve">and</w:t>
      </w:r>
      <w:r>
        <w:t xml:space="preserve"> </w:t>
      </w:r>
      <m:oMath>
        <m:sSub>
          <m:e>
            <m:r>
              <m:t>g</m:t>
            </m:r>
          </m:e>
          <m:sub>
            <m:r>
              <m:t>j</m:t>
            </m:r>
          </m:sub>
        </m:sSub>
      </m:oMath>
      <w:r>
        <w:t xml:space="preserve"> </w:t>
      </w:r>
      <w:r>
        <w:t xml:space="preserve">are functions that define the effects of all species densities and trait values on the density of a species</w:t>
      </w:r>
      <w:r>
        <w:t xml:space="preserve"> </w:t>
      </w:r>
      <m:oMath>
        <m:r>
          <m:t>i</m:t>
        </m:r>
      </m:oMath>
      <w:r>
        <w:t xml:space="preserve"> </w:t>
      </w:r>
      <w:r>
        <w:t xml:space="preserve">and the value of trait</w:t>
      </w:r>
      <w:r>
        <w:t xml:space="preserve"> </w:t>
      </w:r>
      <m:oMath>
        <m:r>
          <m:t>j</m:t>
        </m:r>
      </m:oMath>
      <w:r>
        <w:t xml:space="preserve">, respectively. Patel et al. were interested in stability when the evolution of traits was relatively slow or fast in comparison with the change in species densities</w:t>
      </w:r>
      <w:r>
        <w:t xml:space="preserve"> </w:t>
      </w:r>
      <w:r>
        <w:t xml:space="preserve">(</w:t>
      </w:r>
      <w:hyperlink w:anchor="ref-Patel2018">
        <w:r>
          <w:rPr>
            <w:i/>
            <w:rStyle w:val="Hyperlink"/>
          </w:rPr>
          <w:t xml:space="preserve">15</w:t>
        </w:r>
      </w:hyperlink>
      <w:r>
        <w:t xml:space="preserve">)</w:t>
      </w:r>
      <w:r>
        <w:t xml:space="preserve">, and this is modulated in the above by the scalar</w:t>
      </w:r>
      <w:r>
        <w:t xml:space="preserve"> </w:t>
      </w:r>
      <m:oMath>
        <m:r>
          <m:t>ϵ</m:t>
        </m:r>
      </m:oMath>
      <w:r>
        <w:t xml:space="preserve">. The value of</w:t>
      </w:r>
      <w:r>
        <w:t xml:space="preserve"> </w:t>
      </w:r>
      <m:oMath>
        <m:r>
          <m:t>ϵ</m:t>
        </m:r>
      </m:oMath>
      <w:r>
        <w:t xml:space="preserve"> </w:t>
      </w:r>
      <w:r>
        <w:t xml:space="preserve">thereby determines the timescale separation between ecology and evolution, with high</w:t>
      </w:r>
      <w:r>
        <w:t xml:space="preserve"> </w:t>
      </w:r>
      <m:oMath>
        <m:r>
          <m:t>ϵ</m:t>
        </m:r>
      </m:oMath>
      <w:r>
        <w:t xml:space="preserve"> </w:t>
      </w:r>
      <w:r>
        <w:t xml:space="preserve">modelling relatively fast evolution and low</w:t>
      </w:r>
      <w:r>
        <w:t xml:space="preserve"> </w:t>
      </w:r>
      <m:oMath>
        <m:r>
          <m:t>ϵ</m:t>
        </m:r>
      </m:oMath>
      <w:r>
        <w:t xml:space="preserve"> </w:t>
      </w:r>
      <w:r>
        <w:t xml:space="preserve">modelling relative slow evolution</w:t>
      </w:r>
      <w:r>
        <w:t xml:space="preserve"> </w:t>
      </w:r>
      <w:r>
        <w:t xml:space="preserve">(</w:t>
      </w:r>
      <w:hyperlink w:anchor="ref-Patel2018">
        <w:r>
          <w:rPr>
            <w:i/>
            <w:rStyle w:val="Hyperlink"/>
          </w:rPr>
          <w:t xml:space="preserve">15</w:t>
        </w:r>
      </w:hyperlink>
      <w:r>
        <w:t xml:space="preserve">)</w:t>
      </w:r>
      <w:r>
        <w:t xml:space="preserve">.</w:t>
      </w:r>
    </w:p>
    <w:p>
      <w:pPr>
        <w:pStyle w:val="BodyText"/>
      </w:pPr>
      <w:r>
        <w:t xml:space="preserve">I use the same principle that Patel et al. use to modulate the relative rate of evolution to modulate rates of component responses for</w:t>
      </w:r>
      <w:r>
        <w:t xml:space="preserve"> </w:t>
      </w:r>
      <m:oMath>
        <m:r>
          <m:t>S</m:t>
        </m:r>
      </m:oMath>
      <w:r>
        <w:t xml:space="preserve"> </w:t>
      </w:r>
      <w:r>
        <w:t xml:space="preserve">components. Following May</w:t>
      </w:r>
      <w:r>
        <w:t xml:space="preserve"> </w:t>
      </w:r>
      <w:r>
        <w:t xml:space="preserve">(</w:t>
      </w:r>
      <w:hyperlink w:anchor="ref-May1972">
        <w:r>
          <w:rPr>
            <w:i/>
            <w:rStyle w:val="Hyperlink"/>
          </w:rPr>
          <w:t xml:space="preserve">1</w:t>
        </w:r>
      </w:hyperlink>
      <w:r>
        <w:t xml:space="preserve">,</w:t>
      </w:r>
      <w:r>
        <w:t xml:space="preserve"> </w:t>
      </w:r>
      <w:hyperlink w:anchor="ref-May1973">
        <w:r>
          <w:rPr>
            <w:i/>
            <w:rStyle w:val="Hyperlink"/>
          </w:rPr>
          <w:t xml:space="preserve">23</w:t>
        </w:r>
      </w:hyperlink>
      <w:r>
        <w:t xml:space="preserve">)</w:t>
      </w:r>
      <w:r>
        <w:t xml:space="preserve">, the value of a component</w:t>
      </w:r>
      <w:r>
        <w:t xml:space="preserve"> </w:t>
      </w:r>
      <m:oMath>
        <m:r>
          <m:t>i</m:t>
        </m:r>
      </m:oMath>
      <w:r>
        <w:t xml:space="preserve"> </w:t>
      </w:r>
      <w:r>
        <w:t xml:space="preserve">at time</w:t>
      </w:r>
      <w:r>
        <w:t xml:space="preserve"> </w:t>
      </w:r>
      <m:oMath>
        <m:r>
          <m:t>t</m:t>
        </m:r>
      </m:oMath>
      <w:r>
        <w:t xml:space="preserve"> </w:t>
      </w:r>
      <w:r>
        <w:t xml:space="preserve">(</w:t>
      </w:r>
      <m:oMath>
        <m:sSub>
          <m:e>
            <m:r>
              <m:t>v</m:t>
            </m:r>
          </m:e>
          <m:sub>
            <m:r>
              <m:t>i</m:t>
            </m:r>
          </m:sub>
        </m:sSub>
        <m:r>
          <m:t>(</m:t>
        </m:r>
        <m:r>
          <m:t>t</m:t>
        </m:r>
        <m:r>
          <m:t>)</m:t>
        </m:r>
      </m:oMath>
      <w:r>
        <w:t xml:space="preserve">) is affected by the value of</w:t>
      </w:r>
      <w:r>
        <w:t xml:space="preserve"> </w:t>
      </w:r>
      <m:oMath>
        <m:r>
          <m:t>j</m:t>
        </m:r>
      </m:oMath>
      <w:r>
        <w:t xml:space="preserve"> </w:t>
      </w:r>
      <w:r>
        <w:t xml:space="preserve">(</w:t>
      </w:r>
      <m:oMath>
        <m:sSub>
          <m:e>
            <m:r>
              <m:t>v</m:t>
            </m:r>
          </m:e>
          <m:sub>
            <m:r>
              <m:t>j</m:t>
            </m:r>
          </m:sub>
        </m:sSub>
        <m:r>
          <m:t>(</m:t>
        </m:r>
        <m:r>
          <m:t>t</m:t>
        </m:r>
        <m:r>
          <m:t>)</m:t>
        </m:r>
      </m:oMath>
      <w:r>
        <w:t xml:space="preserve">) and</w:t>
      </w:r>
      <w:r>
        <w:t xml:space="preserve"> </w:t>
      </w:r>
      <m:oMath>
        <m:r>
          <m:t>j</m:t>
        </m:r>
      </m:oMath>
      <w:r>
        <w:t xml:space="preserve">’s marginal effect on</w:t>
      </w:r>
      <w:r>
        <w:t xml:space="preserve"> </w:t>
      </w:r>
      <m:oMath>
        <m:r>
          <m:t>i</m:t>
        </m:r>
      </m:oMath>
      <w:r>
        <w:t xml:space="preserve"> </w:t>
      </w:r>
      <w:r>
        <w:t xml:space="preserve">(</w:t>
      </w:r>
      <m:oMath>
        <m:sSub>
          <m:e>
            <m:r>
              <m:t>a</m:t>
            </m:r>
          </m:e>
          <m:sub>
            <m:r>
              <m:t>i</m:t>
            </m:r>
            <m:r>
              <m:t>j</m:t>
            </m:r>
          </m:sub>
        </m:sSub>
      </m:oMath>
      <w:r>
        <w:t xml:space="preserve">), and by</w:t>
      </w:r>
      <w:r>
        <w:t xml:space="preserve"> </w:t>
      </w:r>
      <m:oMath>
        <m:r>
          <m:t>i</m:t>
        </m:r>
      </m:oMath>
      <w:r>
        <w:t xml:space="preserve">’s response rate (</w:t>
      </w:r>
      <m:oMath>
        <m:sSub>
          <m:e>
            <m:r>
              <m:t>γ</m:t>
            </m:r>
          </m:e>
          <m:sub>
            <m:r>
              <m:t>i</m:t>
            </m:r>
          </m:sub>
        </m:sSub>
      </m:oMath>
      <w:r>
        <w:t xml:space="preserve">),</w:t>
      </w:r>
    </w:p>
    <w:p>
      <w:pPr>
        <w:pStyle w:val="BodyText"/>
      </w:pPr>
      <m:oMathPara>
        <m:oMathParaPr>
          <m:jc m:val="center"/>
        </m:oMathParaPr>
        <m:oMath>
          <m:f>
            <m:fPr>
              <m:type m:val="bar"/>
            </m:fPr>
            <m:num>
              <m:r>
                <m:t>d</m:t>
              </m:r>
              <m:sSub>
                <m:e>
                  <m:r>
                    <m:t>v</m:t>
                  </m:r>
                </m:e>
                <m:sub>
                  <m:r>
                    <m:t>i</m:t>
                  </m:r>
                </m:sub>
              </m:sSub>
              <m:r>
                <m:t>(</m:t>
              </m:r>
              <m:r>
                <m:t>t</m:t>
              </m:r>
              <m:r>
                <m:t>)</m:t>
              </m:r>
            </m:num>
            <m:den>
              <m:r>
                <m:t>d</m:t>
              </m:r>
              <m:r>
                <m:t>t</m:t>
              </m:r>
            </m:den>
          </m:f>
          <m:r>
            <m:t>=</m:t>
          </m:r>
          <m:sSub>
            <m:e>
              <m:r>
                <m:t>γ</m:t>
              </m:r>
            </m:e>
            <m:sub>
              <m:r>
                <m:t>i</m:t>
              </m:r>
            </m:sub>
          </m:sSub>
          <m:nary>
            <m:naryPr>
              <m:chr m:val="∑"/>
              <m:limLoc m:val="undOvr"/>
              <m:subHide m:val="0"/>
              <m:supHide m:val="0"/>
            </m:naryPr>
            <m:sub>
              <m:r>
                <m:t>j</m:t>
              </m:r>
              <m:r>
                <m:t>=</m:t>
              </m:r>
              <m:r>
                <m:t>1</m:t>
              </m:r>
            </m:sub>
            <m:sup>
              <m:r>
                <m:t>S</m:t>
              </m:r>
            </m:sup>
            <m:e>
              <m:sSub>
                <m:e>
                  <m:r>
                    <m:t>a</m:t>
                  </m:r>
                </m:e>
                <m:sub>
                  <m:r>
                    <m:t>i</m:t>
                  </m:r>
                  <m:r>
                    <m:t>j</m:t>
                  </m:r>
                </m:sub>
              </m:sSub>
            </m:e>
          </m:nary>
          <m:sSub>
            <m:e>
              <m:r>
                <m:t>v</m:t>
              </m:r>
            </m:e>
            <m:sub>
              <m:r>
                <m:t>j</m:t>
              </m:r>
            </m:sub>
          </m:sSub>
          <m:r>
            <m:t>(</m:t>
          </m:r>
          <m:r>
            <m:t>t</m:t>
          </m:r>
          <m:r>
            <m:t>)</m:t>
          </m:r>
          <m:r>
            <m:t>.</m:t>
          </m:r>
        </m:oMath>
      </m:oMathPara>
    </w:p>
    <w:p>
      <w:pPr>
        <w:pStyle w:val="FirstParagraph"/>
      </w:pPr>
      <w:r>
        <w:t xml:space="preserve">In matrix notation</w:t>
      </w:r>
      <w:r>
        <w:t xml:space="preserve"> </w:t>
      </w:r>
      <w:r>
        <w:t xml:space="preserve">(</w:t>
      </w:r>
      <w:hyperlink w:anchor="ref-May1973">
        <w:r>
          <w:rPr>
            <w:i/>
            <w:rStyle w:val="Hyperlink"/>
          </w:rPr>
          <w:t xml:space="preserve">23</w:t>
        </w:r>
      </w:hyperlink>
      <w:r>
        <w:t xml:space="preserve">)</w:t>
      </w:r>
      <w:r>
        <w:t xml:space="preserve">,</w:t>
      </w:r>
    </w:p>
    <w:p>
      <w:pPr>
        <w:pStyle w:val="BodyText"/>
      </w:pPr>
      <m:oMathPara>
        <m:oMathParaPr>
          <m:jc m:val="center"/>
        </m:oMathParaPr>
        <m:oMath>
          <m:f>
            <m:fPr>
              <m:type m:val="bar"/>
            </m:fPr>
            <m:num>
              <m:r>
                <m:t>d</m:t>
              </m:r>
              <m:r>
                <m:rPr>
                  <m:sty m:val="b"/>
                </m:rPr>
                <m:t>v</m:t>
              </m:r>
              <m:r>
                <m:t>(</m:t>
              </m:r>
              <m:r>
                <m:t>t</m:t>
              </m:r>
              <m:r>
                <m:t>)</m:t>
              </m:r>
            </m:num>
            <m:den>
              <m:r>
                <m:t>d</m:t>
              </m:r>
              <m:r>
                <m:t>t</m:t>
              </m:r>
            </m:den>
          </m:f>
          <m:r>
            <m:t>=</m:t>
          </m:r>
          <m:r>
            <m:rPr>
              <m:sty m:val="b"/>
            </m:rPr>
            <m:t>γ</m:t>
          </m:r>
          <m:r>
            <m:rPr>
              <m:sty m:val="b"/>
            </m:rPr>
            <m:t>A</m:t>
          </m:r>
          <m:r>
            <m:rPr>
              <m:sty m:val="b"/>
            </m:rPr>
            <m:t>v</m:t>
          </m:r>
          <m:r>
            <m:t>(</m:t>
          </m:r>
          <m:r>
            <m:t>t</m:t>
          </m:r>
          <m:r>
            <m:t>)</m:t>
          </m:r>
          <m:r>
            <m:t>.</m:t>
          </m:r>
        </m:oMath>
      </m:oMathPara>
    </w:p>
    <w:p>
      <w:pPr>
        <w:pStyle w:val="FirstParagraph"/>
      </w:pPr>
      <w:r>
        <w:t xml:space="preserve">In the above,</w:t>
      </w:r>
      <w:r>
        <w:t xml:space="preserve"> </w:t>
      </w:r>
      <m:oMath>
        <m:r>
          <m:rPr>
            <m:sty m:val="b"/>
          </m:rPr>
          <m:t>γ</m:t>
        </m:r>
      </m:oMath>
      <w:r>
        <w:t xml:space="preserve"> </w:t>
      </w:r>
      <w:r>
        <w:t xml:space="preserve">is a diagonal matrix in which elements correspond to individual component response rates. Therefore,</w:t>
      </w:r>
      <w:r>
        <w:t xml:space="preserve"> </w:t>
      </w:r>
      <m:oMath>
        <m:r>
          <m:rPr>
            <m:sty m:val="b"/>
          </m:rPr>
          <m:t>M</m:t>
        </m:r>
        <m:r>
          <m:t>=</m:t>
        </m:r>
        <m:r>
          <m:rPr>
            <m:sty m:val="b"/>
          </m:rPr>
          <m:t>γ</m:t>
        </m:r>
        <m:r>
          <m:rPr>
            <m:sty m:val="b"/>
          </m:rPr>
          <m:t>A</m:t>
        </m:r>
      </m:oMath>
      <w:r>
        <w:t xml:space="preserve"> </w:t>
      </w:r>
      <w:r>
        <w:t xml:space="preserve">modulates the values of components and can be analysed using the techniques of May</w:t>
      </w:r>
      <w:r>
        <w:t xml:space="preserve"> </w:t>
      </w:r>
      <w:r>
        <w:t xml:space="preserve">(</w:t>
      </w:r>
      <w:hyperlink w:anchor="ref-May1972">
        <w:r>
          <w:rPr>
            <w:i/>
            <w:rStyle w:val="Hyperlink"/>
          </w:rPr>
          <w:t xml:space="preserve">1</w:t>
        </w:r>
      </w:hyperlink>
      <w:r>
        <w:t xml:space="preserve">,</w:t>
      </w:r>
      <w:r>
        <w:t xml:space="preserve"> </w:t>
      </w:r>
      <w:hyperlink w:anchor="ref-Ahmadian2015">
        <w:r>
          <w:rPr>
            <w:i/>
            <w:rStyle w:val="Hyperlink"/>
          </w:rPr>
          <w:t xml:space="preserve">16</w:t>
        </w:r>
      </w:hyperlink>
      <w:r>
        <w:t xml:space="preserve">,</w:t>
      </w:r>
      <w:r>
        <w:t xml:space="preserve"> </w:t>
      </w:r>
      <w:hyperlink w:anchor="ref-May1973">
        <w:r>
          <w:rPr>
            <w:i/>
            <w:rStyle w:val="Hyperlink"/>
          </w:rPr>
          <w:t xml:space="preserve">23</w:t>
        </w:r>
      </w:hyperlink>
      <w:r>
        <w:t xml:space="preserve">)</w:t>
      </w:r>
      <w:r>
        <w:t xml:space="preserve">.</w:t>
      </w:r>
    </w:p>
    <w:p>
      <w:pPr>
        <w:pStyle w:val="BodyText"/>
      </w:pPr>
      <w:r>
        <w:rPr>
          <w:b/>
        </w:rPr>
        <w:t xml:space="preserve">Genetic algorithm</w:t>
      </w:r>
      <w:r>
        <w:t xml:space="preserve">. Ideally, to investigate the potential of</w:t>
      </w:r>
      <w:r>
        <w:t xml:space="preserve"> </w:t>
      </w:r>
      <m:oMath>
        <m:r>
          <m:t>V</m:t>
        </m:r>
        <m:r>
          <m:t>a</m:t>
        </m:r>
        <m:r>
          <m:t>r</m:t>
        </m:r>
        <m:r>
          <m:t>(</m:t>
        </m:r>
        <m:r>
          <m:t>γ</m:t>
        </m:r>
        <m:r>
          <m:t>)</m:t>
        </m:r>
      </m:oMath>
      <w:r>
        <w:t xml:space="preserve"> </w:t>
      </w:r>
      <w:r>
        <w:t xml:space="preserve">for increasing the proportion of stable complex systems, the search space of all possible</w:t>
      </w:r>
      <w:r>
        <w:t xml:space="preserve"> </w:t>
      </w:r>
      <m:oMath>
        <m:r>
          <m:t>γ</m:t>
        </m:r>
      </m:oMath>
      <w:r>
        <w:t xml:space="preserve"> </w:t>
      </w:r>
      <w:r>
        <w:t xml:space="preserve">vectors would be evaluated for each unique</w:t>
      </w:r>
      <w:r>
        <w:t xml:space="preserve"> </w:t>
      </w:r>
      <m:oMath>
        <m:r>
          <m:rPr>
            <m:sty m:val="b"/>
          </m:rPr>
          <m:t>M</m:t>
        </m:r>
        <m:r>
          <m:rPr>
            <m:sty m:val="b"/>
          </m:rPr>
          <m:t>=</m:t>
        </m:r>
        <m:r>
          <m:rPr>
            <m:sty m:val="b"/>
          </m:rPr>
          <m:t>γ</m:t>
        </m:r>
        <m:r>
          <m:rPr>
            <m:sty m:val="b"/>
          </m:rPr>
          <m:t>A</m:t>
        </m:r>
      </m:oMath>
      <w:r>
        <w:t xml:space="preserve">. This is technically impossible because</w:t>
      </w:r>
      <w:r>
        <w:t xml:space="preserve"> </w:t>
      </w:r>
      <m:oMath>
        <m:sSub>
          <m:e>
            <m:r>
              <m:t>γ</m:t>
            </m:r>
          </m:e>
          <m:sub>
            <m:r>
              <m:t>i</m:t>
            </m:r>
          </m:sub>
        </m:sSub>
      </m:oMath>
      <w:r>
        <w:t xml:space="preserve"> </w:t>
      </w:r>
      <w:r>
        <w:t xml:space="preserve">can take any real value between 0-2, but even rounding</w:t>
      </w:r>
      <w:r>
        <w:t xml:space="preserve"> </w:t>
      </w:r>
      <m:oMath>
        <m:sSub>
          <m:e>
            <m:r>
              <m:t>γ</m:t>
            </m:r>
          </m:e>
          <m:sub>
            <m:r>
              <m:t>i</m:t>
            </m:r>
          </m:sub>
        </m:sSub>
      </m:oMath>
      <w:r>
        <w:t xml:space="preserve"> </w:t>
      </w:r>
      <w:r>
        <w:t xml:space="preserve">to reasonable values would result in a search space too large to practically explore. Under these conditions, genetic algorithms are highly useful tools for finding practical solutions by mimicking the process of biological evolution</w:t>
      </w:r>
      <w:r>
        <w:t xml:space="preserve"> </w:t>
      </w:r>
      <w:r>
        <w:t xml:space="preserve">(</w:t>
      </w:r>
      <w:hyperlink w:anchor="ref-Hamblin2013">
        <w:r>
          <w:rPr>
            <w:i/>
            <w:rStyle w:val="Hyperlink"/>
          </w:rPr>
          <w:t xml:space="preserve">19</w:t>
        </w:r>
      </w:hyperlink>
      <w:r>
        <w:t xml:space="preserve">)</w:t>
      </w:r>
      <w:r>
        <w:t xml:space="preserve">. In this case, the practical solution is finding vectors of</w:t>
      </w:r>
      <w:r>
        <w:t xml:space="preserve"> </w:t>
      </w:r>
      <m:oMath>
        <m:r>
          <m:rPr>
            <m:sty m:val="b"/>
          </m:rPr>
          <m:t>γ</m:t>
        </m:r>
      </m:oMath>
      <w:r>
        <w:t xml:space="preserve"> </w:t>
      </w:r>
      <w:r>
        <w:t xml:space="preserve">that decrease the most positive real eigenvalue of</w:t>
      </w:r>
      <w:r>
        <w:t xml:space="preserve"> </w:t>
      </w:r>
      <m:oMath>
        <m:r>
          <m:rPr>
            <m:sty m:val="b"/>
          </m:rPr>
          <m:t>M</m:t>
        </m:r>
      </m:oMath>
      <w:r>
        <w:t xml:space="preserve">. The genetic algorithm used achieves this by initialising a large population of 1000 different potential</w:t>
      </w:r>
      <w:r>
        <w:t xml:space="preserve"> </w:t>
      </w:r>
      <m:oMath>
        <m:r>
          <m:rPr>
            <m:sty m:val="b"/>
          </m:rPr>
          <m:t>γ</m:t>
        </m:r>
      </m:oMath>
      <w:r>
        <w:t xml:space="preserve"> </w:t>
      </w:r>
      <w:r>
        <w:t xml:space="preserve">vectors and allowing this population to evolve through a process of mutation, crossover (swaping</w:t>
      </w:r>
      <w:r>
        <w:t xml:space="preserve"> </w:t>
      </w:r>
      <m:oMath>
        <m:sSub>
          <m:e>
            <m:r>
              <m:t>γ</m:t>
            </m:r>
          </m:e>
          <m:sub>
            <m:r>
              <m:t>i</m:t>
            </m:r>
          </m:sub>
        </m:sSub>
      </m:oMath>
      <w:r>
        <w:t xml:space="preserve"> </w:t>
      </w:r>
      <w:r>
        <w:t xml:space="preserve">values between vectors), selection, and reproduction until either a</w:t>
      </w:r>
      <w:r>
        <w:t xml:space="preserve"> </w:t>
      </w:r>
      <m:oMath>
        <m:r>
          <m:rPr>
            <m:sty m:val="b"/>
          </m:rPr>
          <m:t>γ</m:t>
        </m:r>
      </m:oMath>
      <w:r>
        <w:t xml:space="preserve"> </w:t>
      </w:r>
      <w:r>
        <w:t xml:space="preserve">vector is found where all</w:t>
      </w:r>
      <w:r>
        <w:t xml:space="preserve"> </w:t>
      </w:r>
      <m:oMath>
        <m:r>
          <m:t>ℜ</m:t>
        </m:r>
        <m:r>
          <m:t>(</m:t>
        </m:r>
        <m:r>
          <m:t>λ</m:t>
        </m:r>
        <m:r>
          <m:t>)</m:t>
        </m:r>
        <m:r>
          <m:t>&lt;</m:t>
        </m:r>
        <m:r>
          <m:t>0</m:t>
        </m:r>
      </m:oMath>
      <w:r>
        <w:t xml:space="preserve"> </w:t>
      </w:r>
      <w:r>
        <w:t xml:space="preserve">or some</w:t>
      </w:r>
      <w:r>
        <w:t xml:space="preserve"> </w:t>
      </w:r>
      <w:r>
        <w:t xml:space="preserve">“</w:t>
      </w:r>
      <w:r>
        <w:t xml:space="preserve">giving up</w:t>
      </w:r>
      <w:r>
        <w:t xml:space="preserve">”</w:t>
      </w:r>
      <w:r>
        <w:t xml:space="preserve"> </w:t>
      </w:r>
      <w:r>
        <w:t xml:space="preserve">critiera is met.</w:t>
      </w:r>
    </w:p>
    <w:p>
      <w:pPr>
        <w:pStyle w:val="BodyText"/>
      </w:pPr>
      <w:r>
        <w:t xml:space="preserve">For each</w:t>
      </w:r>
      <w:r>
        <w:t xml:space="preserve"> </w:t>
      </w:r>
      <m:oMath>
        <m:r>
          <m:t>S</m:t>
        </m:r>
        <m:r>
          <m:t>=</m:t>
        </m:r>
        <m:r>
          <m:t>{</m:t>
        </m:r>
        <m:r>
          <m:t>2</m:t>
        </m:r>
        <m:r>
          <m:t>,</m:t>
        </m:r>
        <m:r>
          <m:t>3</m:t>
        </m:r>
        <m:r>
          <m:t>,</m:t>
        </m:r>
        <m:r>
          <m:t>.</m:t>
        </m:r>
        <m:r>
          <m:t>.</m:t>
        </m:r>
        <m:r>
          <m:t>.</m:t>
        </m:r>
        <m:r>
          <m:t>,</m:t>
        </m:r>
        <m:r>
          <m:t>39</m:t>
        </m:r>
        <m:r>
          <m:t>,</m:t>
        </m:r>
        <m:r>
          <m:t>40</m:t>
        </m:r>
        <m:r>
          <m:t>}</m:t>
        </m:r>
      </m:oMath>
      <w:r>
        <w:t xml:space="preserve">, the genetic algorithm was run for 100000 random</w:t>
      </w:r>
      <w:r>
        <w:t xml:space="preserve"> </w:t>
      </w:r>
      <m:oMath>
        <m:r>
          <m:rPr>
            <m:sty m:val="b"/>
          </m:rPr>
          <m:t>M</m:t>
        </m:r>
      </m:oMath>
      <w:r>
        <w:t xml:space="preserve"> </w:t>
      </w:r>
      <w:r>
        <w:t xml:space="preserve">(</w:t>
      </w:r>
      <m:oMath>
        <m:r>
          <m:t>σ</m:t>
        </m:r>
        <m:r>
          <m:t>=</m:t>
        </m:r>
        <m:r>
          <m:t>0.4</m:t>
        </m:r>
      </m:oMath>
      <w:r>
        <w:t xml:space="preserve">,</w:t>
      </w:r>
      <w:r>
        <w:t xml:space="preserve"> </w:t>
      </w:r>
      <m:oMath>
        <m:r>
          <m:t>C</m:t>
        </m:r>
        <m:r>
          <m:t>=</m:t>
        </m:r>
        <m:r>
          <m:t>1</m:t>
        </m:r>
      </m:oMath>
      <w:r>
        <w:t xml:space="preserve">), where</w:t>
      </w:r>
      <w:r>
        <w:t xml:space="preserve"> </w:t>
      </w:r>
      <m:oMath>
        <m:r>
          <m:rPr>
            <m:sty m:val="b"/>
          </m:rPr>
          <m:t>M</m:t>
        </m:r>
        <m:r>
          <m:rPr>
            <m:sty m:val="b"/>
          </m:rPr>
          <m:t>=</m:t>
        </m:r>
        <m:r>
          <m:rPr>
            <m:sty m:val="b"/>
          </m:rPr>
          <m:t>γ</m:t>
        </m:r>
        <m:r>
          <m:rPr>
            <m:sty m:val="b"/>
          </m:rPr>
          <m:t>A</m:t>
        </m:r>
      </m:oMath>
      <w:r>
        <w:t xml:space="preserve">. The genetic algorithm was initialised with a population of 1000 different</w:t>
      </w:r>
      <w:r>
        <w:t xml:space="preserve"> </w:t>
      </w:r>
      <m:oMath>
        <m:r>
          <m:rPr>
            <m:sty m:val="b"/>
          </m:rPr>
          <m:t>γ</m:t>
        </m:r>
      </m:oMath>
      <w:r>
        <w:t xml:space="preserve"> </w:t>
      </w:r>
      <w:r>
        <w:t xml:space="preserve">vectors with elements sampled i.i.d from</w:t>
      </w:r>
      <w:r>
        <w:t xml:space="preserve"> </w:t>
      </w:r>
      <m:oMath>
        <m:sSub>
          <m:e>
            <m:r>
              <m:t>γ</m:t>
            </m:r>
          </m:e>
          <m:sub>
            <m:r>
              <m:t>i</m:t>
            </m:r>
          </m:sub>
        </m:sSub>
        <m:r>
          <m:t>∼</m:t>
        </m:r>
        <m:r>
          <m:rPr>
            <m:sty m:val="p"/>
            <m:scr m:val="script"/>
          </m:rPr>
          <m:t>U</m:t>
        </m:r>
        <m:r>
          <m:t>(</m:t>
        </m:r>
        <m:r>
          <m:t>0</m:t>
        </m:r>
        <m:r>
          <m:t>,</m:t>
        </m:r>
        <m:r>
          <m:t>2</m:t>
        </m:r>
        <m:r>
          <m:t>)</m:t>
        </m:r>
      </m:oMath>
      <w:r>
        <w:t xml:space="preserve">. Eigenanalysis was performed on the</w:t>
      </w:r>
      <w:r>
        <w:t xml:space="preserve"> </w:t>
      </w:r>
      <m:oMath>
        <m:r>
          <m:rPr>
            <m:sty m:val="b"/>
          </m:rPr>
          <m:t>M</m:t>
        </m:r>
      </m:oMath>
      <w:r>
        <w:t xml:space="preserve"> </w:t>
      </w:r>
      <w:r>
        <w:t xml:space="preserve">resulting from each</w:t>
      </w:r>
      <w:r>
        <w:t xml:space="preserve"> </w:t>
      </w:r>
      <m:oMath>
        <m:r>
          <m:rPr>
            <m:sty m:val="b"/>
          </m:rPr>
          <m:t>γ</m:t>
        </m:r>
      </m:oMath>
      <w:r>
        <w:t xml:space="preserve"> </w:t>
      </w:r>
      <w:r>
        <w:t xml:space="preserve">vector, and the 20</w:t>
      </w:r>
      <w:r>
        <w:t xml:space="preserve"> </w:t>
      </w:r>
      <m:oMath>
        <m:r>
          <m:rPr>
            <m:sty m:val="b"/>
          </m:rPr>
          <m:t>γ</m:t>
        </m:r>
      </m:oMath>
      <w:r>
        <w:t xml:space="preserve"> </w:t>
      </w:r>
      <w:r>
        <w:t xml:space="preserve">vectors resulting in</w:t>
      </w:r>
      <w:r>
        <w:t xml:space="preserve"> </w:t>
      </w:r>
      <m:oMath>
        <m:r>
          <m:rPr>
            <m:sty m:val="b"/>
          </m:rPr>
          <m:t>M</m:t>
        </m:r>
      </m:oMath>
      <w:r>
        <w:t xml:space="preserve"> </w:t>
      </w:r>
      <w:r>
        <w:t xml:space="preserve">with the lowest</w:t>
      </w:r>
      <w:r>
        <w:t xml:space="preserve"> </w:t>
      </w:r>
      <m:oMath>
        <m:r>
          <m:rPr>
            <m:sty m:val="p"/>
          </m:rPr>
          <m:t>max</m:t>
        </m:r>
        <m:d>
          <m:dPr>
            <m:begChr m:val="("/>
            <m:endChr m:val=")"/>
            <m:grow/>
          </m:dPr>
          <m:e>
            <m:r>
              <m:t>ℜ</m:t>
            </m:r>
            <m:r>
              <m:t>(</m:t>
            </m:r>
            <m:r>
              <m:t>λ</m:t>
            </m:r>
            <m:r>
              <m:t>)</m:t>
            </m:r>
          </m:e>
        </m:d>
      </m:oMath>
      <w:r>
        <w:t xml:space="preserve"> </w:t>
      </w:r>
      <w:r>
        <w:t xml:space="preserve">each produced 50 clonal offspring with subsequent random mutation and crossover between the resulting new generation of 1000</w:t>
      </w:r>
      <w:r>
        <w:t xml:space="preserve"> </w:t>
      </w:r>
      <m:oMath>
        <m:r>
          <m:rPr>
            <m:sty m:val="b"/>
          </m:rPr>
          <m:t>γ</m:t>
        </m:r>
      </m:oMath>
      <w:r>
        <w:t xml:space="preserve"> </w:t>
      </w:r>
      <w:r>
        <w:t xml:space="preserve">vectors. Mutation of each</w:t>
      </w:r>
      <w:r>
        <w:t xml:space="preserve"> </w:t>
      </w:r>
      <m:oMath>
        <m:sSub>
          <m:e>
            <m:r>
              <m:t>γ</m:t>
            </m:r>
          </m:e>
          <m:sub>
            <m:r>
              <m:t>i</m:t>
            </m:r>
          </m:sub>
        </m:sSub>
      </m:oMath>
      <w:r>
        <w:t xml:space="preserve"> </w:t>
      </w:r>
      <w:r>
        <w:t xml:space="preserve">in a</w:t>
      </w:r>
      <w:r>
        <w:t xml:space="preserve"> </w:t>
      </w:r>
      <m:oMath>
        <m:r>
          <m:rPr>
            <m:sty m:val="b"/>
          </m:rPr>
          <m:t>γ</m:t>
        </m:r>
      </m:oMath>
      <w:r>
        <w:t xml:space="preserve"> </w:t>
      </w:r>
      <w:r>
        <w:t xml:space="preserve">vector occurred with a probability of 0.2, resulting in a mutation effect of size</w:t>
      </w:r>
      <w:r>
        <w:t xml:space="preserve"> </w:t>
      </w:r>
      <m:oMath>
        <m:r>
          <m:rPr>
            <m:sty m:val="p"/>
            <m:scr m:val="script"/>
          </m:rPr>
          <m:t>N</m:t>
        </m:r>
        <m:r>
          <m:t>(</m:t>
        </m:r>
        <m:r>
          <m:t>0</m:t>
        </m:r>
        <m:r>
          <m:t>,</m:t>
        </m:r>
        <m:r>
          <m:t>0.02</m:t>
        </m:r>
        <m:r>
          <m:t>)</m:t>
        </m:r>
      </m:oMath>
      <w:r>
        <w:t xml:space="preserve"> </w:t>
      </w:r>
      <w:r>
        <w:t xml:space="preserve">being added to generate the newly mutated</w:t>
      </w:r>
      <w:r>
        <w:t xml:space="preserve"> </w:t>
      </w:r>
      <m:oMath>
        <m:sSub>
          <m:e>
            <m:r>
              <m:t>γ</m:t>
            </m:r>
          </m:e>
          <m:sub>
            <m:r>
              <m:t>i</m:t>
            </m:r>
          </m:sub>
        </m:sSub>
      </m:oMath>
      <w:r>
        <w:t xml:space="preserve"> </w:t>
      </w:r>
      <w:r>
        <w:t xml:space="preserve">(any</w:t>
      </w:r>
      <w:r>
        <w:t xml:space="preserve"> </w:t>
      </w:r>
      <m:oMath>
        <m:sSub>
          <m:e>
            <m:r>
              <m:t>γ</m:t>
            </m:r>
          </m:e>
          <m:sub>
            <m:r>
              <m:t>i</m:t>
            </m:r>
          </m:sub>
        </m:sSub>
      </m:oMath>
      <w:r>
        <w:t xml:space="preserve"> </w:t>
      </w:r>
      <w:r>
        <w:t xml:space="preserve">values that mutated below zero were multiplied by</w:t>
      </w:r>
      <w:r>
        <w:t xml:space="preserve"> </w:t>
      </w:r>
      <m:oMath>
        <m:r>
          <m:t>−</m:t>
        </m:r>
        <m:r>
          <m:t>1</m:t>
        </m:r>
      </m:oMath>
      <w:r>
        <w:t xml:space="preserve">, and any values that mutated above 2 were set to 2). Crossover occurred between two sets of 100</w:t>
      </w:r>
      <w:r>
        <w:t xml:space="preserve"> </w:t>
      </w:r>
      <m:oMath>
        <m:r>
          <m:rPr>
            <m:sty m:val="b"/>
          </m:rPr>
          <m:t>γ</m:t>
        </m:r>
      </m:oMath>
      <w:r>
        <w:t xml:space="preserve"> </w:t>
      </w:r>
      <w:r>
        <w:t xml:space="preserve">vectors paired in each generation; vectors were randomly sampled with replacement among but not within sets. Vector pairs selected for crossover swapped all elements between and including two</w:t>
      </w:r>
      <w:r>
        <w:t xml:space="preserve"> </w:t>
      </w:r>
      <m:oMath>
        <m:sSub>
          <m:e>
            <m:r>
              <m:t>γ</m:t>
            </m:r>
          </m:e>
          <m:sub>
            <m:r>
              <m:t>i</m:t>
            </m:r>
          </m:sub>
        </m:sSub>
      </m:oMath>
      <w:r>
        <w:t xml:space="preserve"> </w:t>
      </w:r>
      <w:r>
        <w:t xml:space="preserve">randomly selected with replacement (this allowed for reversal of vector element positions during crossover; e.g.,</w:t>
      </w:r>
      <w:r>
        <w:t xml:space="preserve"> </w:t>
      </w:r>
      <m:oMath>
        <m:r>
          <m:t>{</m:t>
        </m:r>
        <m:sSub>
          <m:e>
            <m:r>
              <m:t>γ</m:t>
            </m:r>
          </m:e>
          <m:sub>
            <m:r>
              <m:t>4</m:t>
            </m:r>
          </m:sub>
        </m:sSub>
        <m:r>
          <m:t>,</m:t>
        </m:r>
        <m:sSub>
          <m:e>
            <m:r>
              <m:t>γ</m:t>
            </m:r>
          </m:e>
          <m:sub>
            <m:r>
              <m:t>5</m:t>
            </m:r>
          </m:sub>
        </m:sSub>
        <m:r>
          <m:t>,</m:t>
        </m:r>
        <m:sSub>
          <m:e>
            <m:r>
              <m:t>γ</m:t>
            </m:r>
          </m:e>
          <m:sub>
            <m:r>
              <m:t>6</m:t>
            </m:r>
          </m:sub>
        </m:sSub>
        <m:r>
          <m:t>,</m:t>
        </m:r>
        <m:sSub>
          <m:e>
            <m:r>
              <m:t>γ</m:t>
            </m:r>
          </m:e>
          <m:sub>
            <m:r>
              <m:t>7</m:t>
            </m:r>
          </m:sub>
        </m:sSub>
        <m:r>
          <m:t>}</m:t>
        </m:r>
        <m:r>
          <m:t>→</m:t>
        </m:r>
        <m:r>
          <m:t>{</m:t>
        </m:r>
        <m:sSub>
          <m:e>
            <m:r>
              <m:t>γ</m:t>
            </m:r>
          </m:e>
          <m:sub>
            <m:r>
              <m:t>7</m:t>
            </m:r>
          </m:sub>
        </m:sSub>
        <m:r>
          <m:t>,</m:t>
        </m:r>
        <m:sSub>
          <m:e>
            <m:r>
              <m:t>γ</m:t>
            </m:r>
          </m:e>
          <m:sub>
            <m:r>
              <m:t>6</m:t>
            </m:r>
          </m:sub>
        </m:sSub>
        <m:r>
          <m:t>,</m:t>
        </m:r>
        <m:sSub>
          <m:e>
            <m:r>
              <m:t>γ</m:t>
            </m:r>
          </m:e>
          <m:sub>
            <m:r>
              <m:t>5</m:t>
            </m:r>
          </m:sub>
        </m:sSub>
        <m:r>
          <m:t>,</m:t>
        </m:r>
        <m:sSub>
          <m:e>
            <m:r>
              <m:t>γ</m:t>
            </m:r>
          </m:e>
          <m:sub>
            <m:r>
              <m:t>4</m:t>
            </m:r>
          </m:sub>
        </m:sSub>
        <m:r>
          <m:t>}</m:t>
        </m:r>
      </m:oMath>
      <w:r>
        <w:t xml:space="preserve"> </w:t>
      </w:r>
      <w:r>
        <w:t xml:space="preserve">). The genetic algorithm terminated if a stable</w:t>
      </w:r>
      <w:r>
        <w:t xml:space="preserve"> </w:t>
      </w:r>
      <m:oMath>
        <m:r>
          <m:rPr>
            <m:sty m:val="b"/>
          </m:rPr>
          <m:t>M</m:t>
        </m:r>
      </m:oMath>
      <w:r>
        <w:t xml:space="preserve"> </w:t>
      </w:r>
      <w:r>
        <w:t xml:space="preserve">was found, 20 generations occurred, or if the mean</w:t>
      </w:r>
      <w:r>
        <w:t xml:space="preserve"> </w:t>
      </w:r>
      <m:oMath>
        <m:r>
          <m:rPr>
            <m:sty m:val="b"/>
          </m:rPr>
          <m:t>γ</m:t>
        </m:r>
      </m:oMath>
      <w:r>
        <w:t xml:space="preserve"> </w:t>
      </w:r>
      <w:r>
        <w:t xml:space="preserve">fitness increase between generations was less than 0.01 (where fitness was defined as</w:t>
      </w:r>
      <w:r>
        <w:t xml:space="preserve"> </w:t>
      </w:r>
      <m:oMath>
        <m:sSub>
          <m:e>
            <m:r>
              <m:t>W</m:t>
            </m:r>
          </m:e>
          <m:sub>
            <m:r>
              <m:t>γ</m:t>
            </m:r>
          </m:sub>
        </m:sSub>
        <m:r>
          <m:t>=</m:t>
        </m:r>
        <m:r>
          <m:t>−</m:t>
        </m:r>
        <m:r>
          <m:rPr>
            <m:sty m:val="p"/>
          </m:rPr>
          <m:t>max</m:t>
        </m:r>
        <m:d>
          <m:dPr>
            <m:begChr m:val="("/>
            <m:endChr m:val=")"/>
            <m:grow/>
          </m:dPr>
          <m:e>
            <m:r>
              <m:t>ℜ</m:t>
            </m:r>
            <m:r>
              <m:t>(</m:t>
            </m:r>
            <m:r>
              <m:t>λ</m:t>
            </m:r>
            <m:r>
              <m:t>)</m:t>
            </m:r>
          </m:e>
        </m:d>
      </m:oMath>
      <w:r>
        <w:t xml:space="preserve"> </w:t>
      </w:r>
      <w:r>
        <w:t xml:space="preserve">for</w:t>
      </w:r>
      <w:r>
        <w:t xml:space="preserve"> </w:t>
      </w:r>
      <m:oMath>
        <m:r>
          <m:rPr>
            <m:sty m:val="b"/>
          </m:rPr>
          <m:t>M</m:t>
        </m:r>
      </m:oMath>
      <w:r>
        <w:t xml:space="preserve">).</w:t>
      </w:r>
    </w:p>
    <w:p>
      <w:pPr>
        <w:pStyle w:val="BodyText"/>
      </w:pPr>
      <w:r>
        <w:rPr>
          <w:b/>
        </w:rPr>
        <w:t xml:space="preserve">System feasibility</w:t>
      </w:r>
      <w:r>
        <w:t xml:space="preserve">. Dougoud et al.</w:t>
      </w:r>
      <w:r>
        <w:t xml:space="preserve"> </w:t>
      </w:r>
      <w:r>
        <w:t xml:space="preserve">(</w:t>
      </w:r>
      <w:hyperlink w:anchor="ref-Dougoud2018">
        <w:r>
          <w:rPr>
            <w:i/>
            <w:rStyle w:val="Hyperlink"/>
          </w:rPr>
          <w:t xml:space="preserve">20</w:t>
        </w:r>
      </w:hyperlink>
      <w:r>
        <w:t xml:space="preserve">)</w:t>
      </w:r>
      <w:r>
        <w:t xml:space="preserve"> </w:t>
      </w:r>
      <w:r>
        <w:t xml:space="preserve">identify the following feasibility criteria for ecological systems characterised by</w:t>
      </w:r>
      <w:r>
        <w:t xml:space="preserve"> </w:t>
      </w:r>
      <m:oMath>
        <m:r>
          <m:t>S</m:t>
        </m:r>
      </m:oMath>
      <w:r>
        <w:t xml:space="preserve"> </w:t>
      </w:r>
      <w:r>
        <w:t xml:space="preserve">interacting species with varying densities in a classical Lotka-Volterra model,</w:t>
      </w:r>
    </w:p>
    <w:p>
      <w:pPr>
        <w:pStyle w:val="BodyText"/>
      </w:pPr>
      <m:oMathPara>
        <m:oMathParaPr>
          <m:jc m:val="center"/>
        </m:oMathParaPr>
        <m:oMath>
          <m:sSup>
            <m:e>
              <m:r>
                <m:rPr>
                  <m:sty m:val="b"/>
                </m:rPr>
                <m:t>x</m:t>
              </m:r>
            </m:e>
            <m:sup>
              <m:r>
                <m:rPr>
                  <m:sty m:val="b"/>
                </m:rPr>
                <m:t>*</m:t>
              </m:r>
            </m:sup>
          </m:sSup>
          <m:r>
            <m:t>=</m:t>
          </m:r>
          <m:r>
            <m:t>−</m:t>
          </m:r>
          <m:sSup>
            <m:e>
              <m:d>
                <m:dPr>
                  <m:begChr m:val="("/>
                  <m:endChr m:val=")"/>
                  <m:grow/>
                </m:dPr>
                <m:e>
                  <m:r>
                    <m:t>θ</m:t>
                  </m:r>
                  <m:r>
                    <m:rPr>
                      <m:sty m:val="b"/>
                    </m:rPr>
                    <m:t>I</m:t>
                  </m:r>
                  <m:r>
                    <m:t>+</m:t>
                  </m:r>
                  <m:r>
                    <m:t>(</m:t>
                  </m:r>
                  <m:r>
                    <m:t>C</m:t>
                  </m:r>
                  <m:r>
                    <m:t>S</m:t>
                  </m:r>
                  <m:sSup>
                    <m:e>
                      <m:r>
                        <m:t>)</m:t>
                      </m:r>
                    </m:e>
                    <m:sup>
                      <m:r>
                        <m:t>−</m:t>
                      </m:r>
                      <m:r>
                        <m:t>δ</m:t>
                      </m:r>
                    </m:sup>
                  </m:sSup>
                  <m:r>
                    <m:rPr>
                      <m:sty m:val="b"/>
                    </m:rPr>
                    <m:t>J</m:t>
                  </m:r>
                </m:e>
              </m:d>
            </m:e>
            <m:sup>
              <m:r>
                <m:t>−</m:t>
              </m:r>
              <m:r>
                <m:t>1</m:t>
              </m:r>
            </m:sup>
          </m:sSup>
          <m:r>
            <m:rPr>
              <m:sty m:val="b"/>
            </m:rPr>
            <m:t>r</m:t>
          </m:r>
          <m:r>
            <m:t>.</m:t>
          </m:r>
        </m:oMath>
      </m:oMathPara>
    </w:p>
    <w:p>
      <w:pPr>
        <w:pStyle w:val="FirstParagraph"/>
      </w:pPr>
      <w:r>
        <w:t xml:space="preserve">In the above,</w:t>
      </w:r>
      <w:r>
        <w:t xml:space="preserve"> </w:t>
      </w:r>
      <m:oMath>
        <m:sSup>
          <m:e>
            <m:r>
              <m:rPr>
                <m:sty m:val="b"/>
              </m:rPr>
              <m:t>x</m:t>
            </m:r>
          </m:e>
          <m:sup>
            <m:r>
              <m:rPr>
                <m:sty m:val="b"/>
              </m:rPr>
              <m:t>*</m:t>
            </m:r>
          </m:sup>
        </m:sSup>
      </m:oMath>
      <w:r>
        <w:t xml:space="preserve"> </w:t>
      </w:r>
      <w:r>
        <w:t xml:space="preserve">is the vector of species densities at equilibrium. Feasibility is satisfied if all elements in</w:t>
      </w:r>
      <w:r>
        <w:t xml:space="preserve"> </w:t>
      </w:r>
      <m:oMath>
        <m:sSup>
          <m:e>
            <m:r>
              <m:rPr>
                <m:sty m:val="b"/>
              </m:rPr>
              <m:t>x</m:t>
            </m:r>
          </m:e>
          <m:sup>
            <m:r>
              <m:rPr>
                <m:sty m:val="b"/>
              </m:rPr>
              <m:t>*</m:t>
            </m:r>
          </m:sup>
        </m:sSup>
      </m:oMath>
      <w:r>
        <w:t xml:space="preserve"> </w:t>
      </w:r>
      <w:r>
        <w:t xml:space="preserve">are positive. The matrix</w:t>
      </w:r>
      <w:r>
        <w:t xml:space="preserve"> </w:t>
      </w:r>
      <m:oMath>
        <m:r>
          <m:rPr>
            <m:sty m:val="b"/>
          </m:rPr>
          <m:t>I</m:t>
        </m:r>
      </m:oMath>
      <w:r>
        <w:t xml:space="preserve"> </w:t>
      </w:r>
      <w:r>
        <w:t xml:space="preserve">is the identity matrix, and the value</w:t>
      </w:r>
      <w:r>
        <w:t xml:space="preserve"> </w:t>
      </w:r>
      <m:oMath>
        <m:r>
          <m:t>θ</m:t>
        </m:r>
      </m:oMath>
      <w:r>
        <w:t xml:space="preserve"> </w:t>
      </w:r>
      <w:r>
        <w:t xml:space="preserve">is the strength of intraspecific competition (diagonal elements). Diagonal values are set to</w:t>
      </w:r>
      <w:r>
        <w:t xml:space="preserve"> </w:t>
      </w:r>
      <m:oMath>
        <m:r>
          <m:t>−</m:t>
        </m:r>
        <m:r>
          <m:t>1</m:t>
        </m:r>
      </m:oMath>
      <w:r>
        <w:t xml:space="preserve">, so</w:t>
      </w:r>
      <w:r>
        <w:t xml:space="preserve"> </w:t>
      </w:r>
      <m:oMath>
        <m:r>
          <m:t>θ</m:t>
        </m:r>
        <m:r>
          <m:t>=</m:t>
        </m:r>
        <m:r>
          <m:t>−</m:t>
        </m:r>
        <m:r>
          <m:t>1</m:t>
        </m:r>
      </m:oMath>
      <w:r>
        <w:t xml:space="preserve">. The variable</w:t>
      </w:r>
      <w:r>
        <w:t xml:space="preserve"> </w:t>
      </w:r>
      <m:oMath>
        <m:r>
          <m:t>δ</m:t>
        </m:r>
      </m:oMath>
      <w:r>
        <w:t xml:space="preserve"> </w:t>
      </w:r>
      <w:r>
        <w:t xml:space="preserve">is a normalisation parameter that modulates the strength of interactions (</w:t>
      </w:r>
      <m:oMath>
        <m:r>
          <m:t>σ</m:t>
        </m:r>
      </m:oMath>
      <w:r>
        <w:t xml:space="preserve">) for</w:t>
      </w:r>
      <w:r>
        <w:t xml:space="preserve"> </w:t>
      </w:r>
      <m:oMath>
        <m:r>
          <m:rPr>
            <m:sty m:val="b"/>
          </m:rPr>
          <m:t>J</m:t>
        </m:r>
      </m:oMath>
      <w:r>
        <w:t xml:space="preserve">. Implicitly, here</w:t>
      </w:r>
      <w:r>
        <w:t xml:space="preserve"> </w:t>
      </w:r>
      <m:oMath>
        <m:r>
          <m:t>δ</m:t>
        </m:r>
        <m:r>
          <m:t>=</m:t>
        </m:r>
        <m:r>
          <m:t>0</m:t>
        </m:r>
      </m:oMath>
      <w:r>
        <w:t xml:space="preserve"> </w:t>
      </w:r>
      <w:r>
        <w:t xml:space="preserve">underlying strong interactions. Hence,</w:t>
      </w:r>
      <w:r>
        <w:t xml:space="preserve"> </w:t>
      </w:r>
      <m:oMath>
        <m:r>
          <m:t>(</m:t>
        </m:r>
        <m:r>
          <m:t>C</m:t>
        </m:r>
        <m:r>
          <m:t>S</m:t>
        </m:r>
        <m:sSup>
          <m:e>
            <m:r>
              <m:t>)</m:t>
            </m:r>
          </m:e>
          <m:sup>
            <m:r>
              <m:t>−</m:t>
            </m:r>
            <m:r>
              <m:t>δ</m:t>
            </m:r>
          </m:sup>
        </m:sSup>
        <m:r>
          <m:t>=</m:t>
        </m:r>
        <m:r>
          <m:t>1</m:t>
        </m:r>
      </m:oMath>
      <w:r>
        <w:t xml:space="preserve">, so in the above, a diagonal matrix of -1s (</w:t>
      </w:r>
      <m:oMath>
        <m:r>
          <m:t>θ</m:t>
        </m:r>
        <m:r>
          <m:rPr>
            <m:sty m:val="b"/>
          </m:rPr>
          <m:t>I</m:t>
        </m:r>
      </m:oMath>
      <w:r>
        <w:t xml:space="preserve">) is added to</w:t>
      </w:r>
      <w:r>
        <w:t xml:space="preserve"> </w:t>
      </w:r>
      <m:oMath>
        <m:r>
          <m:rPr>
            <m:sty m:val="b"/>
          </m:rPr>
          <m:t>J</m:t>
        </m:r>
      </m:oMath>
      <w:r>
        <w:t xml:space="preserve">, which has a diagonal of all zeros and an off-diagonal affecting species interactions (i.e., the expression</w:t>
      </w:r>
      <w:r>
        <w:t xml:space="preserve"> </w:t>
      </w:r>
      <m:oMath>
        <m:r>
          <m:t>(</m:t>
        </m:r>
        <m:r>
          <m:t>C</m:t>
        </m:r>
        <m:r>
          <m:t>S</m:t>
        </m:r>
        <m:sSup>
          <m:e>
            <m:r>
              <m:t>)</m:t>
            </m:r>
          </m:e>
          <m:sup>
            <m:r>
              <m:t>−</m:t>
            </m:r>
            <m:r>
              <m:t>δ</m:t>
            </m:r>
          </m:sup>
        </m:sSup>
      </m:oMath>
      <w:r>
        <w:t xml:space="preserve"> </w:t>
      </w:r>
      <w:r>
        <w:t xml:space="preserve">relates to May’s</w:t>
      </w:r>
      <w:r>
        <w:t xml:space="preserve"> </w:t>
      </w:r>
      <w:r>
        <w:t xml:space="preserve">(</w:t>
      </w:r>
      <w:hyperlink w:anchor="ref-May1972">
        <w:r>
          <w:rPr>
            <w:i/>
            <w:rStyle w:val="Hyperlink"/>
          </w:rPr>
          <w:t xml:space="preserve">1</w:t>
        </w:r>
      </w:hyperlink>
      <w:r>
        <w:t xml:space="preserve">)</w:t>
      </w:r>
      <w:r>
        <w:t xml:space="preserve"> </w:t>
      </w:r>
      <w:r>
        <w:t xml:space="preserve">stability criterion</w:t>
      </w:r>
      <w:r>
        <w:t xml:space="preserve"> </w:t>
      </w:r>
      <w:r>
        <w:t xml:space="preserve">(</w:t>
      </w:r>
      <w:hyperlink w:anchor="ref-Dougoud2018">
        <w:r>
          <w:rPr>
            <w:i/>
            <w:rStyle w:val="Hyperlink"/>
          </w:rPr>
          <w:t xml:space="preserve">20</w:t>
        </w:r>
      </w:hyperlink>
      <w:r>
        <w:t xml:space="preserve">)</w:t>
      </w:r>
      <w:r>
        <w:t xml:space="preserve"> </w:t>
      </w:r>
      <w:r>
        <w:t xml:space="preserve">by</w:t>
      </w:r>
      <w:r>
        <w:t xml:space="preserve"> </w:t>
      </w:r>
      <m:oMath>
        <m:f>
          <m:fPr>
            <m:type m:val="bar"/>
          </m:fPr>
          <m:num>
            <m:r>
              <m:t>σ</m:t>
            </m:r>
          </m:num>
          <m:den>
            <m:r>
              <m:t>(</m:t>
            </m:r>
            <m:r>
              <m:t>C</m:t>
            </m:r>
            <m:r>
              <m:t>S</m:t>
            </m:r>
            <m:sSup>
              <m:e>
                <m:r>
                  <m:t>)</m:t>
                </m:r>
              </m:e>
              <m:sup>
                <m:r>
                  <m:t>−</m:t>
                </m:r>
                <m:r>
                  <m:t>δ</m:t>
                </m:r>
              </m:sup>
            </m:sSup>
          </m:den>
        </m:f>
        <m:rad>
          <m:radPr>
            <m:degHide m:val="1"/>
          </m:radPr>
          <m:deg/>
          <m:e>
            <m:r>
              <m:t>S</m:t>
            </m:r>
            <m:r>
              <m:t>C</m:t>
            </m:r>
          </m:e>
        </m:rad>
        <m:r>
          <m:t>&lt;</m:t>
        </m:r>
        <m:r>
          <m:t>1</m:t>
        </m:r>
      </m:oMath>
      <w:r>
        <w:t xml:space="preserve">, and hence for my purposes</w:t>
      </w:r>
      <w:r>
        <w:t xml:space="preserve"> </w:t>
      </w:r>
      <m:oMath>
        <m:r>
          <m:t>(</m:t>
        </m:r>
        <m:r>
          <m:t>C</m:t>
        </m:r>
        <m:r>
          <m:t>S</m:t>
        </m:r>
        <m:sSup>
          <m:e>
            <m:r>
              <m:t>)</m:t>
            </m:r>
          </m:e>
          <m:sup>
            <m:r>
              <m:t>−</m:t>
            </m:r>
            <m:r>
              <m:t>δ</m:t>
            </m:r>
          </m:sup>
        </m:sSup>
        <m:r>
          <m:t>=</m:t>
        </m:r>
        <m:r>
          <m:t>1</m:t>
        </m:r>
      </m:oMath>
      <w:r>
        <w:t xml:space="preserve">). Given</w:t>
      </w:r>
      <w:r>
        <w:t xml:space="preserve"> </w:t>
      </w:r>
      <m:oMath>
        <m:r>
          <m:rPr>
            <m:sty m:val="b"/>
          </m:rPr>
          <m:t>A</m:t>
        </m:r>
        <m:r>
          <m:t>=</m:t>
        </m:r>
        <m:r>
          <m:t>θ</m:t>
        </m:r>
        <m:r>
          <m:rPr>
            <m:sty m:val="b"/>
          </m:rPr>
          <m:t>I</m:t>
        </m:r>
        <m:r>
          <m:rPr>
            <m:sty m:val="b"/>
          </m:rPr>
          <m:t>+</m:t>
        </m:r>
        <m:r>
          <m:rPr>
            <m:sty m:val="b"/>
          </m:rPr>
          <m:t>J</m:t>
        </m:r>
      </m:oMath>
      <w:r>
        <w:t xml:space="preserve">, the above criteria is therefore reduced to the below (see also</w:t>
      </w:r>
      <w:r>
        <w:t xml:space="preserve"> </w:t>
      </w:r>
      <w:r>
        <w:t xml:space="preserve">(</w:t>
      </w:r>
      <w:hyperlink w:anchor="ref-Servan2018">
        <w:r>
          <w:rPr>
            <w:i/>
            <w:rStyle w:val="Hyperlink"/>
          </w:rPr>
          <w:t xml:space="preserve">22</w:t>
        </w:r>
      </w:hyperlink>
      <w:r>
        <w:t xml:space="preserve">)</w:t>
      </w:r>
      <w:r>
        <w:t xml:space="preserve">),</w:t>
      </w:r>
    </w:p>
    <w:p>
      <w:pPr>
        <w:pStyle w:val="BodyText"/>
      </w:pPr>
      <m:oMathPara>
        <m:oMathParaPr>
          <m:jc m:val="center"/>
        </m:oMathParaPr>
        <m:oMath>
          <m:sSup>
            <m:e>
              <m:r>
                <m:rPr>
                  <m:sty m:val="b"/>
                </m:rPr>
                <m:t>x</m:t>
              </m:r>
            </m:e>
            <m:sup>
              <m:r>
                <m:rPr>
                  <m:sty m:val="b"/>
                </m:rPr>
                <m:t>*</m:t>
              </m:r>
            </m:sup>
          </m:sSup>
          <m:r>
            <m:rPr>
              <m:sty m:val="b"/>
            </m:rPr>
            <m:t>=</m:t>
          </m:r>
          <m:r>
            <m:rPr>
              <m:sty m:val="b"/>
            </m:rPr>
            <m:t>−</m:t>
          </m:r>
          <m:sSup>
            <m:e>
              <m:r>
                <m:rPr>
                  <m:sty m:val="b"/>
                </m:rPr>
                <m:t>A</m:t>
              </m:r>
            </m:e>
            <m:sup>
              <m:r>
                <m:rPr>
                  <m:sty m:val="b"/>
                </m:rPr>
                <m:t>−</m:t>
              </m:r>
              <m:r>
                <m:rPr>
                  <m:sty m:val="b"/>
                </m:rPr>
                <m:t>1</m:t>
              </m:r>
            </m:sup>
          </m:sSup>
          <m:r>
            <m:rPr>
              <m:sty m:val="b"/>
            </m:rPr>
            <m:t>r</m:t>
          </m:r>
          <m:r>
            <m:t>.</m:t>
          </m:r>
        </m:oMath>
      </m:oMathPara>
    </w:p>
    <w:p>
      <w:pPr>
        <w:pStyle w:val="FirstParagraph"/>
      </w:pPr>
      <w:r>
        <w:t xml:space="preserve">To check the feasibility criteria for</w:t>
      </w:r>
      <w:r>
        <w:t xml:space="preserve"> </w:t>
      </w:r>
      <m:oMath>
        <m:r>
          <m:rPr>
            <m:sty m:val="b"/>
          </m:rPr>
          <m:t>M</m:t>
        </m:r>
        <m:r>
          <m:rPr>
            <m:sty m:val="b"/>
          </m:rPr>
          <m:t>=</m:t>
        </m:r>
        <m:r>
          <m:rPr>
            <m:sty m:val="b"/>
          </m:rPr>
          <m:t>γ</m:t>
        </m:r>
        <m:r>
          <m:rPr>
            <m:sty m:val="b"/>
          </m:rPr>
          <m:t>A</m:t>
        </m:r>
      </m:oMath>
      <w:r>
        <w:t xml:space="preserve">, I therefore evaluated</w:t>
      </w:r>
      <w:r>
        <w:t xml:space="preserve"> </w:t>
      </w:r>
      <m:oMath>
        <m:r>
          <m:rPr>
            <m:sty m:val="b"/>
          </m:rPr>
          <m:t>−</m:t>
        </m:r>
        <m:sSup>
          <m:e>
            <m:r>
              <m:rPr>
                <m:sty m:val="b"/>
              </m:rPr>
              <m:t>M</m:t>
            </m:r>
          </m:e>
          <m:sup>
            <m:r>
              <m:rPr>
                <m:sty m:val="b"/>
              </m:rPr>
              <m:t>−</m:t>
            </m:r>
            <m:r>
              <m:rPr>
                <m:sty m:val="b"/>
              </m:rPr>
              <m:t>1</m:t>
            </m:r>
          </m:sup>
        </m:sSup>
        <m:r>
          <m:rPr>
            <m:sty m:val="b"/>
          </m:rPr>
          <m:t>r</m:t>
        </m:r>
      </m:oMath>
      <w:r>
        <w:t xml:space="preserve"> </w:t>
      </w:r>
      <w:r>
        <w:t xml:space="preserve">(</w:t>
      </w:r>
      <m:oMath>
        <m:r>
          <m:rPr>
            <m:sty m:val="b"/>
          </m:rPr>
          <m:t>r</m:t>
        </m:r>
      </m:oMath>
      <w:r>
        <w:t xml:space="preserve"> </w:t>
      </w:r>
      <w:r>
        <w:t xml:space="preserve">elements were sampled i.i.d. from</w:t>
      </w:r>
      <w:r>
        <w:t xml:space="preserve"> </w:t>
      </w:r>
      <m:oMath>
        <m:sSub>
          <m:e>
            <m:r>
              <m:t>r</m:t>
            </m:r>
          </m:e>
          <m:sub>
            <m:r>
              <m:t>i</m:t>
            </m:r>
          </m:sub>
        </m:sSub>
        <m:r>
          <m:t>∼</m:t>
        </m:r>
        <m:r>
          <m:rPr>
            <m:sty m:val="p"/>
            <m:scr m:val="script"/>
          </m:rPr>
          <m:t>N</m:t>
        </m:r>
        <m:r>
          <m:t>(</m:t>
        </m:r>
        <m:r>
          <m:t>0</m:t>
        </m:r>
        <m:r>
          <m:t>,</m:t>
        </m:r>
        <m:sSup>
          <m:e>
            <m:r>
              <m:t>0.4</m:t>
            </m:r>
          </m:e>
          <m:sup>
            <m:r>
              <m:t>2</m:t>
            </m:r>
          </m:sup>
        </m:sSup>
        <m:r>
          <m:t>)</m:t>
        </m:r>
      </m:oMath>
      <w:r>
        <w:t xml:space="preserve">). Feasibility is satisfied if all of the elements of the resulting vector are positive.</w:t>
      </w:r>
    </w:p>
    <w:p>
      <w:pPr>
        <w:pStyle w:val="BodyText"/>
      </w:pPr>
      <w:r>
        <w:rPr>
          <w:b/>
        </w:rPr>
        <w:t xml:space="preserve">Acknowledgements:</w:t>
      </w:r>
      <w:r>
        <w:t xml:space="preserve"> </w:t>
      </w:r>
      <w:r>
        <w:t xml:space="preserve">I am supported by a Leverhulme Trust Early Career Fellowship (ECF-2016-376). Conversations with L. Bussière and N. Bunnefeld, and comments from J. J. Cusack and I. L. Jones, improved the quality of this work.</w:t>
      </w:r>
    </w:p>
    <w:p>
      <w:pPr>
        <w:pStyle w:val="BodyText"/>
      </w:pPr>
      <w:r>
        <w:rPr>
          <w:b/>
        </w:rPr>
        <w:t xml:space="preserve">Supplementary Information:</w:t>
      </w:r>
      <w:r>
        <w:t xml:space="preserve"> </w:t>
      </w:r>
      <w:r>
        <w:t xml:space="preserve">Full tables of stability results for simulations across different system size (</w:t>
      </w:r>
      <m:oMath>
        <m:r>
          <m:t>S</m:t>
        </m:r>
      </m:oMath>
      <w:r>
        <w:t xml:space="preserve">) values, ecological community types, connectance (</w:t>
      </w:r>
      <m:oMath>
        <m:r>
          <m:t>C</m:t>
        </m:r>
      </m:oMath>
      <w:r>
        <w:t xml:space="preserve">) values, interaction strengths (</w:t>
      </w:r>
      <m:oMath>
        <m:r>
          <m:t>σ</m:t>
        </m:r>
      </m:oMath>
      <w:r>
        <w:t xml:space="preserve">), and</w:t>
      </w:r>
      <w:r>
        <w:t xml:space="preserve"> </w:t>
      </w:r>
      <m:oMath>
        <m:r>
          <m:t>γ</m:t>
        </m:r>
      </m:oMath>
      <w:r>
        <w:t xml:space="preserve"> </w:t>
      </w:r>
      <w:r>
        <w:t xml:space="preserve">distributions are provided as supplementary material. An additional table also shows results for how feasibility changes across</w:t>
      </w:r>
      <w:r>
        <w:t xml:space="preserve"> </w:t>
      </w:r>
      <m:oMath>
        <m:r>
          <m:t>S</m:t>
        </m:r>
      </m:oMath>
      <w:r>
        <w:t xml:space="preserve">. All code and simulation outputs are publicly available as part of the RandomMatrixStability package on GitHub (</w:t>
      </w:r>
      <w:hyperlink r:id="rId28">
        <w:r>
          <w:rPr>
            <w:rStyle w:val="Hyperlink"/>
          </w:rPr>
          <w:t xml:space="preserve">https://github.com/bradduthie/RandomMatrixStability</w:t>
        </w:r>
      </w:hyperlink>
      <w:r>
        <w:t xml:space="preserve">).</w:t>
      </w:r>
    </w:p>
    <w:p>
      <w:pPr>
        <w:pStyle w:val="BodyText"/>
      </w:pPr>
      <w:r>
        <w:rPr>
          <w:b/>
        </w:rPr>
        <w:t xml:space="preserve">References</w:t>
      </w:r>
    </w:p>
    <w:p>
      <w:pPr>
        <w:pStyle w:val="BodyText"/>
      </w:pPr>
      <w:r>
        <w:t xml:space="preserve">1. R. M. May, Will a large complex system be stable?</w:t>
      </w:r>
      <w:r>
        <w:t xml:space="preserve"> </w:t>
      </w:r>
      <w:r>
        <w:rPr>
          <w:i/>
        </w:rPr>
        <w:t xml:space="preserve">Nature</w:t>
      </w:r>
      <w:r>
        <w:t xml:space="preserve">.</w:t>
      </w:r>
      <w:r>
        <w:t xml:space="preserve"> </w:t>
      </w:r>
      <w:r>
        <w:rPr>
          <w:b/>
        </w:rPr>
        <w:t xml:space="preserve">238</w:t>
      </w:r>
      <w:r>
        <w:t xml:space="preserve">, 413–414 (1972).</w:t>
      </w:r>
    </w:p>
    <w:p>
      <w:pPr>
        <w:pStyle w:val="BodyText"/>
      </w:pPr>
      <w:r>
        <w:t xml:space="preserve">2. S. Allesina, S. Tang, Stability criteria for complex ecosystems.</w:t>
      </w:r>
      <w:r>
        <w:t xml:space="preserve"> </w:t>
      </w:r>
      <w:r>
        <w:rPr>
          <w:i/>
        </w:rPr>
        <w:t xml:space="preserve">Nature</w:t>
      </w:r>
      <w:r>
        <w:t xml:space="preserve">.</w:t>
      </w:r>
      <w:r>
        <w:t xml:space="preserve"> </w:t>
      </w:r>
      <w:r>
        <w:rPr>
          <w:b/>
        </w:rPr>
        <w:t xml:space="preserve">483</w:t>
      </w:r>
      <w:r>
        <w:t xml:space="preserve">, 205–208 (2012).</w:t>
      </w:r>
    </w:p>
    <w:p>
      <w:pPr>
        <w:pStyle w:val="BodyText"/>
      </w:pPr>
      <w:r>
        <w:t xml:space="preserve">3. A. Mougi, M. Kondoh, Diversity of interaction types and ecological community stability.</w:t>
      </w:r>
      <w:r>
        <w:t xml:space="preserve"> </w:t>
      </w:r>
      <w:r>
        <w:rPr>
          <w:i/>
        </w:rPr>
        <w:t xml:space="preserve">Science</w:t>
      </w:r>
      <w:r>
        <w:t xml:space="preserve">.</w:t>
      </w:r>
      <w:r>
        <w:t xml:space="preserve"> </w:t>
      </w:r>
      <w:r>
        <w:rPr>
          <w:b/>
        </w:rPr>
        <w:t xml:space="preserve">337</w:t>
      </w:r>
      <w:r>
        <w:t xml:space="preserve">, 349–351 (2012).</w:t>
      </w:r>
    </w:p>
    <w:p>
      <w:pPr>
        <w:pStyle w:val="BodyText"/>
      </w:pPr>
      <w:r>
        <w:t xml:space="preserve">4. S. Allesina</w:t>
      </w:r>
      <w:r>
        <w:t xml:space="preserve"> </w:t>
      </w:r>
      <w:r>
        <w:rPr>
          <w:i/>
        </w:rPr>
        <w:t xml:space="preserve">et al.</w:t>
      </w:r>
      <w:r>
        <w:t xml:space="preserve">, Predicting the stability of large structured food webs.</w:t>
      </w:r>
      <w:r>
        <w:t xml:space="preserve"> </w:t>
      </w:r>
      <w:r>
        <w:rPr>
          <w:i/>
        </w:rPr>
        <w:t xml:space="preserve">Nature Communications</w:t>
      </w:r>
      <w:r>
        <w:t xml:space="preserve">.</w:t>
      </w:r>
      <w:r>
        <w:t xml:space="preserve"> </w:t>
      </w:r>
      <w:r>
        <w:rPr>
          <w:b/>
        </w:rPr>
        <w:t xml:space="preserve">6</w:t>
      </w:r>
      <w:r>
        <w:t xml:space="preserve">, 7842 (2015).</w:t>
      </w:r>
    </w:p>
    <w:p>
      <w:pPr>
        <w:pStyle w:val="BodyText"/>
      </w:pPr>
      <w:r>
        <w:t xml:space="preserve">5. J. Grilli</w:t>
      </w:r>
      <w:r>
        <w:t xml:space="preserve"> </w:t>
      </w:r>
      <w:r>
        <w:rPr>
          <w:i/>
        </w:rPr>
        <w:t xml:space="preserve">et al.</w:t>
      </w:r>
      <w:r>
        <w:t xml:space="preserve">, Feasibility and coexistence of large ecological communities.</w:t>
      </w:r>
      <w:r>
        <w:t xml:space="preserve"> </w:t>
      </w:r>
      <w:r>
        <w:rPr>
          <w:i/>
        </w:rPr>
        <w:t xml:space="preserve">Nature Communications</w:t>
      </w:r>
      <w:r>
        <w:t xml:space="preserve">.</w:t>
      </w:r>
      <w:r>
        <w:t xml:space="preserve"> </w:t>
      </w:r>
      <w:r>
        <w:rPr>
          <w:b/>
        </w:rPr>
        <w:t xml:space="preserve">8</w:t>
      </w:r>
      <w:r>
        <w:t xml:space="preserve"> </w:t>
      </w:r>
      <w:r>
        <w:t xml:space="preserve">(2017), doi:</w:t>
      </w:r>
      <w:hyperlink r:id="rId29">
        <w:r>
          <w:rPr>
            <w:rStyle w:val="Hyperlink"/>
          </w:rPr>
          <w:t xml:space="preserve">10.1038/ncomms14389</w:t>
        </w:r>
      </w:hyperlink>
      <w:r>
        <w:t xml:space="preserve">.</w:t>
      </w:r>
    </w:p>
    <w:p>
      <w:pPr>
        <w:pStyle w:val="BodyText"/>
      </w:pPr>
      <w:r>
        <w:t xml:space="preserve">6. R. T. Gray, P. A. Robinson, Stability and synchronization of random brain networks with a distribution of connection strengths.</w:t>
      </w:r>
      <w:r>
        <w:t xml:space="preserve"> </w:t>
      </w:r>
      <w:r>
        <w:rPr>
          <w:i/>
        </w:rPr>
        <w:t xml:space="preserve">Neurocomputing</w:t>
      </w:r>
      <w:r>
        <w:t xml:space="preserve">.</w:t>
      </w:r>
      <w:r>
        <w:t xml:space="preserve"> </w:t>
      </w:r>
      <w:r>
        <w:rPr>
          <w:b/>
        </w:rPr>
        <w:t xml:space="preserve">71</w:t>
      </w:r>
      <w:r>
        <w:t xml:space="preserve">, 1373–1387 (2008).</w:t>
      </w:r>
    </w:p>
    <w:p>
      <w:pPr>
        <w:pStyle w:val="BodyText"/>
      </w:pPr>
      <w:r>
        <w:t xml:space="preserve">7. R. T. Gray, P. A. Robinson, Stability of random brain networks with excitatory and inhibitory connections.</w:t>
      </w:r>
      <w:r>
        <w:t xml:space="preserve"> </w:t>
      </w:r>
      <w:r>
        <w:rPr>
          <w:i/>
        </w:rPr>
        <w:t xml:space="preserve">Neurocomputing</w:t>
      </w:r>
      <w:r>
        <w:t xml:space="preserve">.</w:t>
      </w:r>
      <w:r>
        <w:t xml:space="preserve"> </w:t>
      </w:r>
      <w:r>
        <w:rPr>
          <w:b/>
        </w:rPr>
        <w:t xml:space="preserve">72</w:t>
      </w:r>
      <w:r>
        <w:t xml:space="preserve">, 1849–1858 (2009).</w:t>
      </w:r>
    </w:p>
    <w:p>
      <w:pPr>
        <w:pStyle w:val="BodyText"/>
      </w:pPr>
      <w:r>
        <w:t xml:space="preserve">8. S. Rosenfeld, Patterns of stochastic behavior in dynamically unstable high-dimensional biochemical networks.</w:t>
      </w:r>
      <w:r>
        <w:t xml:space="preserve"> </w:t>
      </w:r>
      <w:r>
        <w:rPr>
          <w:i/>
        </w:rPr>
        <w:t xml:space="preserve">Gene Regulation and Systems Biology</w:t>
      </w:r>
      <w:r>
        <w:t xml:space="preserve">.</w:t>
      </w:r>
      <w:r>
        <w:t xml:space="preserve"> </w:t>
      </w:r>
      <w:r>
        <w:rPr>
          <w:b/>
        </w:rPr>
        <w:t xml:space="preserve">3</w:t>
      </w:r>
      <w:r>
        <w:t xml:space="preserve">, 1–10 (2009).</w:t>
      </w:r>
    </w:p>
    <w:p>
      <w:pPr>
        <w:pStyle w:val="BodyText"/>
      </w:pPr>
      <w:r>
        <w:t xml:space="preserve">9. B. D. MacArthur, R. J. Sanchez-Garcia, A. Ma’ayan, Microdynamics and criticality of adaptive regulatory networks.</w:t>
      </w:r>
      <w:r>
        <w:t xml:space="preserve"> </w:t>
      </w:r>
      <w:r>
        <w:rPr>
          <w:i/>
        </w:rPr>
        <w:t xml:space="preserve">Physics Review Letters</w:t>
      </w:r>
      <w:r>
        <w:t xml:space="preserve">.</w:t>
      </w:r>
      <w:r>
        <w:t xml:space="preserve"> </w:t>
      </w:r>
      <w:r>
        <w:rPr>
          <w:b/>
        </w:rPr>
        <w:t xml:space="preserve">104</w:t>
      </w:r>
      <w:r>
        <w:t xml:space="preserve">, 168701 (2010).</w:t>
      </w:r>
    </w:p>
    <w:p>
      <w:pPr>
        <w:pStyle w:val="BodyText"/>
      </w:pPr>
      <w:r>
        <w:t xml:space="preserve">10. R. M. May, S. A. Levin, G. Sugihara, Complex systems: Ecology for bankers.</w:t>
      </w:r>
      <w:r>
        <w:t xml:space="preserve"> </w:t>
      </w:r>
      <w:r>
        <w:rPr>
          <w:i/>
        </w:rPr>
        <w:t xml:space="preserve">Nature</w:t>
      </w:r>
      <w:r>
        <w:t xml:space="preserve">.</w:t>
      </w:r>
      <w:r>
        <w:t xml:space="preserve"> </w:t>
      </w:r>
      <w:r>
        <w:rPr>
          <w:b/>
        </w:rPr>
        <w:t xml:space="preserve">451</w:t>
      </w:r>
      <w:r>
        <w:t xml:space="preserve">, 893–895 (2008).</w:t>
      </w:r>
    </w:p>
    <w:p>
      <w:pPr>
        <w:pStyle w:val="BodyText"/>
      </w:pPr>
      <w:r>
        <w:t xml:space="preserve">11. A. G. Haldane, R. M. May, Systemic risk in banking ecosystems.</w:t>
      </w:r>
      <w:r>
        <w:t xml:space="preserve"> </w:t>
      </w:r>
      <w:r>
        <w:rPr>
          <w:i/>
        </w:rPr>
        <w:t xml:space="preserve">Nature</w:t>
      </w:r>
      <w:r>
        <w:t xml:space="preserve">.</w:t>
      </w:r>
      <w:r>
        <w:t xml:space="preserve"> </w:t>
      </w:r>
      <w:r>
        <w:rPr>
          <w:b/>
        </w:rPr>
        <w:t xml:space="preserve">469</w:t>
      </w:r>
      <w:r>
        <w:t xml:space="preserve">, 351–355 (2011).</w:t>
      </w:r>
    </w:p>
    <w:p>
      <w:pPr>
        <w:pStyle w:val="BodyText"/>
      </w:pPr>
      <w:r>
        <w:t xml:space="preserve">12. S. Suweis, P. D’Odorico, Early warning signs in social-ecological networks.</w:t>
      </w:r>
      <w:r>
        <w:t xml:space="preserve"> </w:t>
      </w:r>
      <w:r>
        <w:rPr>
          <w:i/>
        </w:rPr>
        <w:t xml:space="preserve">PLoS ONE</w:t>
      </w:r>
      <w:r>
        <w:t xml:space="preserve">.</w:t>
      </w:r>
      <w:r>
        <w:t xml:space="preserve"> </w:t>
      </w:r>
      <w:r>
        <w:rPr>
          <w:b/>
        </w:rPr>
        <w:t xml:space="preserve">9</w:t>
      </w:r>
      <w:r>
        <w:t xml:space="preserve"> </w:t>
      </w:r>
      <w:r>
        <w:t xml:space="preserve">(2014), doi:</w:t>
      </w:r>
      <w:hyperlink r:id="rId30">
        <w:r>
          <w:rPr>
            <w:rStyle w:val="Hyperlink"/>
          </w:rPr>
          <w:t xml:space="preserve">10.1371/journal.pone.0101851</w:t>
        </w:r>
      </w:hyperlink>
      <w:r>
        <w:t xml:space="preserve">.</w:t>
      </w:r>
    </w:p>
    <w:p>
      <w:pPr>
        <w:pStyle w:val="BodyText"/>
      </w:pPr>
      <w:r>
        <w:t xml:space="preserve">13. M. Bardoscia, S. Battiston, F. Caccioli, G. Caldarelli, Pathways towards instability in financial networks.</w:t>
      </w:r>
      <w:r>
        <w:t xml:space="preserve"> </w:t>
      </w:r>
      <w:r>
        <w:rPr>
          <w:i/>
        </w:rPr>
        <w:t xml:space="preserve">Nature Communications</w:t>
      </w:r>
      <w:r>
        <w:t xml:space="preserve">.</w:t>
      </w:r>
      <w:r>
        <w:t xml:space="preserve"> </w:t>
      </w:r>
      <w:r>
        <w:rPr>
          <w:b/>
        </w:rPr>
        <w:t xml:space="preserve">8</w:t>
      </w:r>
      <w:r>
        <w:t xml:space="preserve">, 1–7 (2017).</w:t>
      </w:r>
    </w:p>
    <w:p>
      <w:pPr>
        <w:pStyle w:val="BodyText"/>
      </w:pPr>
      <w:r>
        <w:t xml:space="preserve">14. T. Tao, V. Vu, Random matrices: Universality of ESDs and the circular law.</w:t>
      </w:r>
      <w:r>
        <w:t xml:space="preserve"> </w:t>
      </w:r>
      <w:r>
        <w:rPr>
          <w:i/>
        </w:rPr>
        <w:t xml:space="preserve">Annals of Probability</w:t>
      </w:r>
      <w:r>
        <w:t xml:space="preserve">.</w:t>
      </w:r>
      <w:r>
        <w:t xml:space="preserve"> </w:t>
      </w:r>
      <w:r>
        <w:rPr>
          <w:b/>
        </w:rPr>
        <w:t xml:space="preserve">38</w:t>
      </w:r>
      <w:r>
        <w:t xml:space="preserve">, 2023–2065 (2010).</w:t>
      </w:r>
    </w:p>
    <w:p>
      <w:pPr>
        <w:pStyle w:val="BodyText"/>
      </w:pPr>
      <w:r>
        <w:t xml:space="preserve">15. S. Patel, M. H. Cortez, S. J. Schreiber, Partitioning the effects of eco-evolutionary feedbacks on community stability.</w:t>
      </w:r>
      <w:r>
        <w:t xml:space="preserve"> </w:t>
      </w:r>
      <w:r>
        <w:rPr>
          <w:i/>
        </w:rPr>
        <w:t xml:space="preserve">American Naturalist</w:t>
      </w:r>
      <w:r>
        <w:t xml:space="preserve">.</w:t>
      </w:r>
      <w:r>
        <w:t xml:space="preserve"> </w:t>
      </w:r>
      <w:r>
        <w:rPr>
          <w:b/>
        </w:rPr>
        <w:t xml:space="preserve">191</w:t>
      </w:r>
      <w:r>
        <w:t xml:space="preserve">, 1–29 (2018).</w:t>
      </w:r>
    </w:p>
    <w:p>
      <w:pPr>
        <w:pStyle w:val="BodyText"/>
      </w:pPr>
      <w:r>
        <w:t xml:space="preserve">16. Y. Ahmadian, F. Fumarola, K. D. Miller, Properties of networks with partially structured and partially random connectivity.</w:t>
      </w:r>
      <w:r>
        <w:t xml:space="preserve"> </w:t>
      </w:r>
      <w:r>
        <w:rPr>
          <w:i/>
        </w:rPr>
        <w:t xml:space="preserve">Physical Review E - Statistical, Nonlinear, and Soft Matter Physics</w:t>
      </w:r>
      <w:r>
        <w:t xml:space="preserve">.</w:t>
      </w:r>
      <w:r>
        <w:t xml:space="preserve"> </w:t>
      </w:r>
      <w:r>
        <w:rPr>
          <w:b/>
        </w:rPr>
        <w:t xml:space="preserve">91</w:t>
      </w:r>
      <w:r>
        <w:t xml:space="preserve">, 012820 (2015).</w:t>
      </w:r>
    </w:p>
    <w:p>
      <w:pPr>
        <w:pStyle w:val="BodyText"/>
      </w:pPr>
      <w:r>
        <w:t xml:space="preserve">17. T. Gibbs, J. Grilli, T. Rogers, S. Allesina, The effect of population abundances on the stability of large random ecosystems.</w:t>
      </w:r>
      <w:r>
        <w:t xml:space="preserve"> </w:t>
      </w:r>
      <w:r>
        <w:rPr>
          <w:i/>
        </w:rPr>
        <w:t xml:space="preserve">arXiv</w:t>
      </w:r>
      <w:r>
        <w:t xml:space="preserve"> </w:t>
      </w:r>
      <w:r>
        <w:t xml:space="preserve">(2017) (available at</w:t>
      </w:r>
      <w:r>
        <w:t xml:space="preserve"> </w:t>
      </w:r>
      <w:hyperlink r:id="rId31">
        <w:r>
          <w:rPr>
            <w:rStyle w:val="Hyperlink"/>
          </w:rPr>
          <w:t xml:space="preserve">http://arxiv.org/abs/1708.08837</w:t>
        </w:r>
      </w:hyperlink>
      <w:r>
        <w:t xml:space="preserve">).</w:t>
      </w:r>
    </w:p>
    <w:p>
      <w:pPr>
        <w:pStyle w:val="BodyText"/>
      </w:pPr>
      <w:r>
        <w:t xml:space="preserve">18. L. Stone, The feasibility and stability of large complex biological networks: a random matrix approach.</w:t>
      </w:r>
      <w:r>
        <w:t xml:space="preserve"> </w:t>
      </w:r>
      <w:r>
        <w:rPr>
          <w:i/>
        </w:rPr>
        <w:t xml:space="preserve">Scientific Reports</w:t>
      </w:r>
      <w:r>
        <w:t xml:space="preserve">.</w:t>
      </w:r>
      <w:r>
        <w:t xml:space="preserve"> </w:t>
      </w:r>
      <w:r>
        <w:rPr>
          <w:b/>
        </w:rPr>
        <w:t xml:space="preserve">8</w:t>
      </w:r>
      <w:r>
        <w:t xml:space="preserve">, 8246 (2018).</w:t>
      </w:r>
    </w:p>
    <w:p>
      <w:pPr>
        <w:pStyle w:val="BodyText"/>
      </w:pPr>
      <w:r>
        <w:t xml:space="preserve">19. S. Hamblin, On the practical usage of genetic algorithms in ecology and evolution.</w:t>
      </w:r>
      <w:r>
        <w:t xml:space="preserve"> </w:t>
      </w:r>
      <w:r>
        <w:rPr>
          <w:i/>
        </w:rPr>
        <w:t xml:space="preserve">Methods in Ecology and Evolution</w:t>
      </w:r>
      <w:r>
        <w:t xml:space="preserve">.</w:t>
      </w:r>
      <w:r>
        <w:t xml:space="preserve"> </w:t>
      </w:r>
      <w:r>
        <w:rPr>
          <w:b/>
        </w:rPr>
        <w:t xml:space="preserve">4</w:t>
      </w:r>
      <w:r>
        <w:t xml:space="preserve">, 184–194 (2013).</w:t>
      </w:r>
    </w:p>
    <w:p>
      <w:pPr>
        <w:pStyle w:val="BodyText"/>
      </w:pPr>
      <w:r>
        <w:t xml:space="preserve">20. M. Dougoud, L. Vinckenbosch, R. Rohr, L.-F. Bersier, C. Mazza, The feasibility of equilibria in large ecosystems: a primary but neglected concept in the complexity-stability debate.</w:t>
      </w:r>
      <w:r>
        <w:t xml:space="preserve"> </w:t>
      </w:r>
      <w:r>
        <w:rPr>
          <w:i/>
        </w:rPr>
        <w:t xml:space="preserve">PLOS Computational Biology</w:t>
      </w:r>
      <w:r>
        <w:t xml:space="preserve">.</w:t>
      </w:r>
      <w:r>
        <w:t xml:space="preserve"> </w:t>
      </w:r>
      <w:r>
        <w:rPr>
          <w:b/>
        </w:rPr>
        <w:t xml:space="preserve">14</w:t>
      </w:r>
      <w:r>
        <w:t xml:space="preserve">, e1005988 (2018).</w:t>
      </w:r>
    </w:p>
    <w:p>
      <w:pPr>
        <w:pStyle w:val="BodyText"/>
      </w:pPr>
      <w:r>
        <w:t xml:space="preserve">21. C. Song, S. Saavedra, Will a small randomly assembled community be feasible and stable?</w:t>
      </w:r>
      <w:r>
        <w:t xml:space="preserve"> </w:t>
      </w:r>
      <w:r>
        <w:rPr>
          <w:i/>
        </w:rPr>
        <w:t xml:space="preserve">Ecology</w:t>
      </w:r>
      <w:r>
        <w:t xml:space="preserve">.</w:t>
      </w:r>
      <w:r>
        <w:t xml:space="preserve"> </w:t>
      </w:r>
      <w:r>
        <w:rPr>
          <w:b/>
        </w:rPr>
        <w:t xml:space="preserve">99</w:t>
      </w:r>
      <w:r>
        <w:t xml:space="preserve">, 743–751 (2018).</w:t>
      </w:r>
    </w:p>
    <w:p>
      <w:pPr>
        <w:pStyle w:val="BodyText"/>
      </w:pPr>
      <w:r>
        <w:t xml:space="preserve">22. C. A. Serván, J. A. Capitán, J. Grilli, K. E. Morrison, S. Allesina, Coexistence of many species in random ecosystems.</w:t>
      </w:r>
      <w:r>
        <w:t xml:space="preserve"> </w:t>
      </w:r>
      <w:r>
        <w:rPr>
          <w:i/>
        </w:rPr>
        <w:t xml:space="preserve">Nature Ecology and Evolution</w:t>
      </w:r>
      <w:r>
        <w:t xml:space="preserve">.</w:t>
      </w:r>
      <w:r>
        <w:t xml:space="preserve"> </w:t>
      </w:r>
      <w:r>
        <w:rPr>
          <w:b/>
        </w:rPr>
        <w:t xml:space="preserve">2</w:t>
      </w:r>
      <w:r>
        <w:t xml:space="preserve">, 1237–1242 (2018).</w:t>
      </w:r>
    </w:p>
    <w:p>
      <w:pPr>
        <w:pStyle w:val="BodyText"/>
      </w:pPr>
      <w:r>
        <w:t xml:space="preserve">23. R. M. May, Qualitative stability in model ecosystems.</w:t>
      </w:r>
      <w:r>
        <w:t xml:space="preserve"> </w:t>
      </w:r>
      <w:r>
        <w:rPr>
          <w:i/>
        </w:rPr>
        <w:t xml:space="preserve">Ecology</w:t>
      </w:r>
      <w:r>
        <w:t xml:space="preserve">.</w:t>
      </w:r>
      <w:r>
        <w:t xml:space="preserve"> </w:t>
      </w:r>
      <w:r>
        <w:rPr>
          <w:b/>
        </w:rPr>
        <w:t xml:space="preserve">54</w:t>
      </w:r>
      <w:r>
        <w:t xml:space="preserve">, 638–641 (1973).</w:t>
      </w:r>
    </w:p>
    <w:p>
      <w:pPr>
        <w:pStyle w:val="BodyText"/>
      </w:pPr>
    </w:p>
    <w:p>
      <w:pPr>
        <w:pStyle w:val="BodyText"/>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blue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centred at</w:t>
      </w:r>
      <w:r>
        <w:t xml:space="preserve"> </w:t>
      </w:r>
      <m:oMath>
        <m:r>
          <m:t>γ</m:t>
        </m:r>
        <m:r>
          <m:t>=</m:t>
        </m:r>
        <m:r>
          <m:t>−</m:t>
        </m:r>
        <m:r>
          <m:t>1.95</m:t>
        </m:r>
      </m:oMath>
      <w:r>
        <w:t xml:space="preserve"> </w:t>
      </w:r>
      <w:r>
        <w:t xml:space="preserve">and one small circle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10-1.png" id="0" name="Picture"/>
                    <pic:cNvPicPr>
                      <a:picLocks noChangeArrowheads="1" noChangeAspect="1"/>
                    </pic:cNvPicPr>
                  </pic:nvPicPr>
                  <pic:blipFill>
                    <a:blip r:embed="rId32"/>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also creates a cluster of eigenvalues toward the distribution’s centre (-1, 0). Blue elipses in both panels show the circle centred on the distribution in panel a. Proportions of</w:t>
      </w:r>
      <w:r>
        <w:t xml:space="preserve"> </w:t>
      </w:r>
      <m:oMath>
        <m:r>
          <m:t>ℜ</m:t>
        </m:r>
        <m:r>
          <m:t>(</m:t>
        </m:r>
        <m:r>
          <m:t>λ</m:t>
        </m:r>
        <m:r>
          <m:t>)</m:t>
        </m:r>
        <m:r>
          <m:t>&lt;</m:t>
        </m:r>
        <m:r>
          <m:t>0</m:t>
        </m:r>
      </m:oMath>
      <w:r>
        <w:t xml:space="preserve"> </w:t>
      </w:r>
      <w:r>
        <w:t xml:space="preserve">are 0.727 and 0.737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13-1.png" id="0" name="Picture"/>
                    <pic:cNvPicPr>
                      <a:picLocks noChangeArrowheads="1" noChangeAspect="1"/>
                    </pic:cNvPicPr>
                  </pic:nvPicPr>
                  <pic:blipFill>
                    <a:blip r:embed="rId33"/>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3: Stability of large complex systems with and without variation in component response rate (</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max</w:t>
      </w:r>
      <w:r>
        <w:t xml:space="preserve"> </w:t>
      </w:r>
      <m:oMath>
        <m:r>
          <m:t>S</m:t>
        </m:r>
        <m:r>
          <m:t>=</m:t>
        </m:r>
        <m:r>
          <m:t>50</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Blue and red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15-1.png" id="0" name="Picture"/>
                    <pic:cNvPicPr>
                      <a:picLocks noChangeArrowheads="1" noChangeAspect="1"/>
                    </pic:cNvPicPr>
                  </pic:nvPicPr>
                  <pic:blipFill>
                    <a:blip r:embed="rId34"/>
                    <a:stretch>
                      <a:fillRect/>
                    </a:stretch>
                  </pic:blipFill>
                  <pic:spPr bwMode="auto">
                    <a:xfrm>
                      <a:off x="0" y="0"/>
                      <a:ext cx="5029200" cy="3911599"/>
                    </a:xfrm>
                    <a:prstGeom prst="rect">
                      <a:avLst/>
                    </a:prstGeom>
                    <a:noFill/>
                    <a:ln w="9525">
                      <a:noFill/>
                      <a:headEnd/>
                      <a:tailEnd/>
                    </a:ln>
                  </pic:spPr>
                </pic:pic>
              </a:graphicData>
            </a:graphic>
          </wp:inline>
        </w:drawing>
      </w:r>
    </w:p>
    <w:p>
      <w:pPr>
        <w:pStyle w:val="BodyText"/>
      </w:pPr>
    </w:p>
    <w:p>
      <w:pPr>
        <w:pStyle w:val="BodyText"/>
      </w:pPr>
      <w:r>
        <w:rPr>
          <w:b/>
        </w:rPr>
        <w:t xml:space="preserve">Figure 4: Stability of large complex systems given</w:t>
      </w:r>
      <w:r>
        <w:rPr>
          <w:b/>
        </w:rPr>
        <w:t xml:space="preserve"> </w:t>
      </w:r>
      <m:oMath>
        <m:r>
          <m:rPr>
            <m:sty m:val="b"/>
          </m:rPr>
          <m:t>γ</m:t>
        </m:r>
        <m:r>
          <m:rPr>
            <m:sty m:val="b"/>
          </m:rPr>
          <m:t>=</m:t>
        </m:r>
        <m:r>
          <m:rPr>
            <m:sty m:val="b"/>
          </m:rPr>
          <m:t>1</m:t>
        </m:r>
      </m:oMath>
      <w:r>
        <w:rPr>
          <w:b/>
        </w:rPr>
        <w:t xml:space="preserve"> </w:t>
      </w:r>
      <w:r>
        <w:rPr>
          <w:b/>
        </w:rPr>
        <w:t xml:space="preserve">versus targeted</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max</w:t>
      </w:r>
      <w:r>
        <w:t xml:space="preserve"> </w:t>
      </w:r>
      <m:oMath>
        <m:r>
          <m:t>S</m:t>
        </m:r>
        <m:r>
          <m:t>=</m:t>
        </m:r>
        <m:r>
          <m:t>40</m:t>
        </m:r>
      </m:oMath>
      <w:r>
        <w:t xml:space="preserve">) for</w:t>
      </w:r>
      <w:r>
        <w:t xml:space="preserve"> </w:t>
      </w:r>
      <m:oMath>
        <m:r>
          <m:t>C</m:t>
        </m:r>
        <m:r>
          <m:t>=</m:t>
        </m:r>
        <m:r>
          <m:t>1</m:t>
        </m:r>
      </m:oMath>
      <w:r>
        <w:t xml:space="preserve">, and the proportion of systems wherein a targeted search of</w:t>
      </w:r>
      <w:r>
        <w:t xml:space="preserve"> </w:t>
      </w:r>
      <m:oMath>
        <m:r>
          <m:t>γ</m:t>
        </m:r>
      </m:oMath>
      <w:r>
        <w:t xml:space="preserve"> </w:t>
      </w:r>
      <w:r>
        <w:t xml:space="preserve">values successfully resulted in system stability. For each</w:t>
      </w:r>
      <w:r>
        <w:t xml:space="preserve"> </w:t>
      </w:r>
      <m:oMath>
        <m:r>
          <m:t>S</m:t>
        </m:r>
      </m:oMath>
      <w:r>
        <w:t xml:space="preserve">, 100000 complex systems are randomly generated. Stability of each complex system is tested given variation in</w:t>
      </w:r>
      <w:r>
        <w:t xml:space="preserve"> </w:t>
      </w:r>
      <m:oMath>
        <m:r>
          <m:t>γ</m:t>
        </m:r>
      </m:oMath>
      <w:r>
        <w:t xml:space="preserve"> </w:t>
      </w:r>
      <w:r>
        <w:t xml:space="preserve">using a genetic algorithm to maximise the effect of</w:t>
      </w:r>
      <w:r>
        <w:t xml:space="preserve"> </w:t>
      </w:r>
      <m:oMath>
        <m:r>
          <m:t>γ</m:t>
        </m:r>
      </m:oMath>
      <w:r>
        <w:t xml:space="preserve"> </w:t>
      </w:r>
      <w:r>
        <w:t xml:space="preserve">values on increasing stability, as compared to stability in an otherwise identical system in which</w:t>
      </w:r>
      <w:r>
        <w:t xml:space="preserve"> </w:t>
      </w:r>
      <m:oMath>
        <m:r>
          <m:t>γ</m:t>
        </m:r>
      </m:oMath>
      <w:r>
        <w:t xml:space="preserve"> </w:t>
      </w:r>
      <w:r>
        <w:t xml:space="preserve">is the same for all components. Blue bars show the number of stable systems in the absence of component response rate variation, while red bars show the number of stable systems that can be generated if component response rate is varied to maximise system stability. The black line shows the proportion of systems that are stable when component response rate is targeted to increase stability, but would not be 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16-1.png" id="0" name="Picture"/>
                    <pic:cNvPicPr>
                      <a:picLocks noChangeArrowheads="1" noChangeAspect="1"/>
                    </pic:cNvPicPr>
                  </pic:nvPicPr>
                  <pic:blipFill>
                    <a:blip r:embed="rId35"/>
                    <a:stretch>
                      <a:fillRect/>
                    </a:stretch>
                  </pic:blipFill>
                  <pic:spPr bwMode="auto">
                    <a:xfrm>
                      <a:off x="0" y="0"/>
                      <a:ext cx="5029200" cy="3911599"/>
                    </a:xfrm>
                    <a:prstGeom prst="rect">
                      <a:avLst/>
                    </a:prstGeom>
                    <a:noFill/>
                    <a:ln w="9525">
                      <a:noFill/>
                      <a:headEnd/>
                      <a:tailEnd/>
                    </a:ln>
                  </pic:spPr>
                </pic:pic>
              </a:graphicData>
            </a:graphic>
          </wp:inline>
        </w:drawing>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c797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1" Target="http://arxiv.org/abs/1708.08837" TargetMode="External" /><Relationship Type="http://schemas.openxmlformats.org/officeDocument/2006/relationships/hyperlink" Id="rId29" Target="https://doi.org/10.1038/ncomms14389" TargetMode="External" /><Relationship Type="http://schemas.openxmlformats.org/officeDocument/2006/relationships/hyperlink" Id="rId30" Target="https://doi.org/10.1371/journal.pone.0101851" TargetMode="External" /><Relationship Type="http://schemas.openxmlformats.org/officeDocument/2006/relationships/hyperlink" Id="rId28" Target="https://github.com/bradduthie/RandomMatrixStability" TargetMode="External"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31" Target="http://arxiv.org/abs/1708.08837" TargetMode="External" /><Relationship Type="http://schemas.openxmlformats.org/officeDocument/2006/relationships/hyperlink" Id="rId29" Target="https://doi.org/10.1038/ncomms14389" TargetMode="External" /><Relationship Type="http://schemas.openxmlformats.org/officeDocument/2006/relationships/hyperlink" Id="rId30" Target="https://doi.org/10.1371/journal.pone.0101851" TargetMode="External" /><Relationship Type="http://schemas.openxmlformats.org/officeDocument/2006/relationships/hyperlink" Id="rId28" Target="https://github.com/bradduthie/RandomMatrixStability" TargetMode="External" /><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underlies stability in large complex systems</dc:title>
  <dc:creator>A. Bradley Duthie ( alexander.duthie@stir.ac.uk )</dc:creator>
  <dcterms:created xsi:type="dcterms:W3CDTF">2019-02-22T11:10:21Z</dcterms:created>
  <dcterms:modified xsi:type="dcterms:W3CDTF">2019-02-22T11:10:21Z</dcterms:modified>
</cp:coreProperties>
</file>