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r>
        <w:t xml:space="preserve"> </w:t>
      </w:r>
      <w:r>
        <w:t xml:space="preserve">(</w:t>
      </w:r>
      <w:r>
        <w:t xml:space="preserve"> </w:t>
      </w:r>
      <w:hyperlink r:id="rId21">
        <w:r>
          <w:rPr>
            <w:rStyle w:val="Hyperlink"/>
          </w:rPr>
          <w:t xml:space="preserve">alexander.duthie@stir.ac.uk</w:t>
        </w:r>
      </w:hyperlink>
      <w:r>
        <w:t xml:space="preserve"> </w:t>
      </w:r>
      <w:r>
        <w:t xml:space="preserv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FirstParagraph"/>
      </w:pPr>
      <w:r>
        <w:rPr>
          <w:b/>
        </w:rPr>
        <w:t xml:space="preserve">The stability of a complex system generally decreases with increasing system size and interconnectivity, a counter-intuitive result of widespread importance across the physical, life, and social sciences. Despite recent interest in the relationship between system properties and stability, the effect of variation in the response rate of individual system components remains unconsidered. Here I vary the component response rates (</w:t>
      </w:r>
      <m:oMath>
        <m:r>
          <m:rPr>
            <m:sty m:val="b"/>
          </m:rPr>
          <m:t>γ</m:t>
        </m:r>
      </m:oMath>
      <w:r>
        <w:rPr>
          <w:b/>
        </w:rPr>
        <w:t xml:space="preserve">) of randomly generated complex systems. I show that when component response rates vary, the potential for system stability is markedly increased. Variation in</w:t>
      </w:r>
      <w:r>
        <w:rPr>
          <w:b/>
        </w:rPr>
        <w:t xml:space="preserve"> </w:t>
      </w:r>
      <m:oMath>
        <m:r>
          <m:rPr>
            <m:sty m:val="b"/>
          </m:rPr>
          <m:t>γ</m:t>
        </m:r>
      </m:oMath>
      <w:r>
        <w:rPr>
          <w:b/>
        </w:rPr>
        <w:t xml:space="preserve"> </w:t>
      </w:r>
      <w:r>
        <w:rPr>
          <w:b/>
        </w:rPr>
        <w:t xml:space="preserve">becomes increasingly important as system size increases, such that the largest stable complex systems would be unstable if not for</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 My results reveal a previously unconsidered driver of system stability that is likely to be pervasive across all complex systems.</w:t>
      </w:r>
    </w:p>
    <w:p>
      <w:pPr>
        <w:pStyle w:val="BodyText"/>
      </w:pPr>
      <w:r>
        <w:t xml:space="preserve">In 1972, May</w:t>
      </w:r>
      <w:r>
        <w:t xml:space="preserve"> </w:t>
      </w:r>
      <w:r>
        <w:t xml:space="preserve">(</w:t>
      </w:r>
      <w:r>
        <w:rPr>
          <w:i/>
        </w:rPr>
        <w:t xml:space="preserve">1</w:t>
      </w:r>
      <w:r>
        <w:t xml:space="preserve">)</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r>
        <w:t xml:space="preserve"> </w:t>
      </w:r>
      <w:r>
        <w:t xml:space="preserve">(</w:t>
      </w:r>
      <w:r>
        <w:rPr>
          <w:i/>
        </w:rPr>
        <w:t xml:space="preserve">2</w:t>
      </w:r>
      <w:r>
        <w:t xml:space="preserve">)</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is broadly relevant for understanding the dynamics and persistence of systems such as ecological</w:t>
      </w:r>
      <w:r>
        <w:t xml:space="preserve"> </w:t>
      </w:r>
      <w:r>
        <w:t xml:space="preserve">(</w:t>
      </w:r>
      <w:r>
        <w:rPr>
          <w:i/>
        </w:rPr>
        <w:t xml:space="preserve">1</w:t>
      </w:r>
      <w:r>
        <w:t xml:space="preserve">–</w:t>
      </w:r>
      <w:r>
        <w:rPr>
          <w:i/>
        </w:rPr>
        <w:t xml:space="preserve">5</w:t>
      </w:r>
      <w:r>
        <w:t xml:space="preserve">)</w:t>
      </w:r>
      <w:r>
        <w:t xml:space="preserve">, neurological</w:t>
      </w:r>
      <w:r>
        <w:t xml:space="preserve"> </w:t>
      </w:r>
      <w:r>
        <w:t xml:space="preserve">(</w:t>
      </w:r>
      <w:r>
        <w:rPr>
          <w:i/>
        </w:rPr>
        <w:t xml:space="preserve">6</w:t>
      </w:r>
      <w:r>
        <w:t xml:space="preserve">,</w:t>
      </w:r>
      <w:r>
        <w:t xml:space="preserve"> </w:t>
      </w:r>
      <w:r>
        <w:rPr>
          <w:i/>
        </w:rPr>
        <w:t xml:space="preserve">7</w:t>
      </w:r>
      <w:r>
        <w:t xml:space="preserve">)</w:t>
      </w:r>
      <w:r>
        <w:t xml:space="preserve">, biochemical</w:t>
      </w:r>
      <w:r>
        <w:t xml:space="preserve"> </w:t>
      </w:r>
      <w:r>
        <w:t xml:space="preserve">(</w:t>
      </w:r>
      <w:r>
        <w:rPr>
          <w:i/>
        </w:rPr>
        <w:t xml:space="preserve">8</w:t>
      </w:r>
      <w:r>
        <w:t xml:space="preserve">,</w:t>
      </w:r>
      <w:r>
        <w:t xml:space="preserve"> </w:t>
      </w:r>
      <w:r>
        <w:rPr>
          <w:i/>
        </w:rPr>
        <w:t xml:space="preserve">9</w:t>
      </w:r>
      <w:r>
        <w:t xml:space="preserve">)</w:t>
      </w:r>
      <w:r>
        <w:t xml:space="preserve">, and socio-economic</w:t>
      </w:r>
      <w:r>
        <w:t xml:space="preserve"> </w:t>
      </w:r>
      <w:r>
        <w:t xml:space="preserve">(</w:t>
      </w:r>
      <w:r>
        <w:rPr>
          <w:i/>
        </w:rPr>
        <w:t xml:space="preserve">10</w:t>
      </w:r>
      <w:r>
        <w:t xml:space="preserve">–</w:t>
      </w:r>
      <w:r>
        <w:rPr>
          <w:i/>
        </w:rPr>
        <w:t xml:space="preserve">13</w:t>
      </w:r>
      <w:r>
        <w:t xml:space="preserve">)</w:t>
      </w:r>
      <w:r>
        <w:t xml:space="preserve"> </w:t>
      </w:r>
      <w:r>
        <w:t xml:space="preserve">networks. As such, identifying general principles that drive stability in complex systems is of wide-ranging importance.</w:t>
      </w:r>
    </w:p>
    <w:p>
      <w:pPr>
        <w:pStyle w:val="BodyText"/>
      </w:pPr>
      <w:r>
        <w:t xml:space="preserve">Randomly assembled complex systems can be represented as large square matrices (</w:t>
      </w:r>
      <m:oMath>
        <m:r>
          <m:t>M</m:t>
        </m:r>
      </m:oMath>
      <w:r>
        <w:t xml:space="preserve">) with</w:t>
      </w:r>
      <w:r>
        <w:t xml:space="preserve"> </w:t>
      </w:r>
      <m:oMath>
        <m:r>
          <m:t>S</m:t>
        </m:r>
      </m:oMath>
      <w:r>
        <w:t xml:space="preserve"> </w:t>
      </w:r>
      <w:r>
        <w:t xml:space="preserve">components (e.g., networks of species</w:t>
      </w:r>
      <w:r>
        <w:t xml:space="preserve"> </w:t>
      </w:r>
      <w:r>
        <w:t xml:space="preserve">(</w:t>
      </w:r>
      <w:r>
        <w:rPr>
          <w:i/>
        </w:rPr>
        <w:t xml:space="preserve">2</w:t>
      </w:r>
      <w:r>
        <w:t xml:space="preserve">)</w:t>
      </w:r>
      <w:r>
        <w:t xml:space="preserve"> </w:t>
      </w:r>
      <w:r>
        <w:t xml:space="preserve">or banks</w:t>
      </w:r>
      <w:r>
        <w:t xml:space="preserve"> </w:t>
      </w:r>
      <w:r>
        <w:t xml:space="preserve">(</w:t>
      </w:r>
      <w:r>
        <w:rPr>
          <w:i/>
        </w:rPr>
        <w:t xml:space="preserve">11</w:t>
      </w:r>
      <w:r>
        <w:t xml:space="preserve">)</w:t>
      </w:r>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 </w:t>
      </w:r>
      <w:r>
        <w:t xml:space="preserve">(</w:t>
      </w:r>
      <w:r>
        <w:rPr>
          <w:i/>
        </w:rPr>
        <w:t xml:space="preserve">2</w:t>
      </w:r>
      <w:r>
        <w:t xml:space="preserve">)</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 </w:t>
      </w:r>
      <w:r>
        <w:t xml:space="preserve">(</w:t>
      </w:r>
      <w:r>
        <w:rPr>
          <w:i/>
        </w:rPr>
        <w:t xml:space="preserve">1</w:t>
      </w:r>
      <w:r>
        <w:t xml:space="preserve">,</w:t>
      </w:r>
      <w:r>
        <w:t xml:space="preserve"> </w:t>
      </w:r>
      <w:r>
        <w:rPr>
          <w:i/>
        </w:rPr>
        <w:t xml:space="preserve">2</w:t>
      </w:r>
      <w:r>
        <w:t xml:space="preserve">,</w:t>
      </w:r>
      <w:r>
        <w:t xml:space="preserve"> </w:t>
      </w:r>
      <w:r>
        <w:rPr>
          <w:i/>
        </w:rPr>
        <w:t xml:space="preserve">4</w:t>
      </w:r>
      <w:r>
        <w:t xml:space="preserve">)</w:t>
      </w:r>
      <w:r>
        <w:t xml:space="preserve">. Local system stability is assessed using eigenanalysis, with the system being stable if the real parts of all eigenvalues (</w:t>
      </w:r>
      <m:oMath>
        <m:r>
          <m:t>λ</m:t>
        </m:r>
      </m:oMath>
      <w:r>
        <w:t xml:space="preserve">) of</w:t>
      </w:r>
      <w:r>
        <w:t xml:space="preserve"> </w:t>
      </w:r>
      <m:oMath>
        <m: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 </w:t>
      </w:r>
      <w:r>
        <w:t xml:space="preserve">(</w:t>
      </w:r>
      <w:r>
        <w:rPr>
          <w:i/>
        </w:rPr>
        <w:t xml:space="preserve">1</w:t>
      </w:r>
      <w:r>
        <w:t xml:space="preserve">,</w:t>
      </w:r>
      <w:r>
        <w:t xml:space="preserve"> </w:t>
      </w:r>
      <w:r>
        <w:rPr>
          <w:i/>
        </w:rPr>
        <w:t xml:space="preserve">2</w:t>
      </w:r>
      <w:r>
        <w:t xml:space="preserve">)</w:t>
      </w:r>
      <w:r>
        <w:t xml:space="preserve">. In a large system (high</w:t>
      </w:r>
      <w:r>
        <w:t xml:space="preserve"> </w:t>
      </w:r>
      <m:oMath>
        <m:r>
          <m:t>S</m:t>
        </m:r>
      </m:oMath>
      <w:r>
        <w:t xml:space="preserve">), eigenvalues are distributed uniformly</w:t>
      </w:r>
      <w:r>
        <w:t xml:space="preserve"> </w:t>
      </w:r>
      <w:r>
        <w:t xml:space="preserve">(</w:t>
      </w:r>
      <w:r>
        <w:rPr>
          <w:i/>
        </w:rPr>
        <w:t xml:space="preserve">14</w:t>
      </w:r>
      <w:r>
        <w:t xml:space="preserve">)</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 </w:t>
      </w:r>
      <w:r>
        <w:t xml:space="preserve">(</w:t>
      </w:r>
      <w:r>
        <w:rPr>
          <w:i/>
        </w:rPr>
        <w:t xml:space="preserve">1</w:t>
      </w:r>
      <w:r>
        <w:t xml:space="preserve">,</w:t>
      </w:r>
      <w:r>
        <w:t xml:space="preserve"> </w:t>
      </w:r>
      <w:r>
        <w:rPr>
          <w:i/>
        </w:rPr>
        <w:t xml:space="preserve">2</w:t>
      </w:r>
      <w:r>
        <w:t xml:space="preserve">,</w:t>
      </w:r>
      <w:r>
        <w:t xml:space="preserve"> </w:t>
      </w:r>
      <w:r>
        <w:rPr>
          <w:i/>
        </w:rPr>
        <w:t xml:space="preserve">4</w:t>
      </w:r>
      <w:r>
        <w:t xml:space="preserve">)</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May’s</w:t>
      </w:r>
      <w:r>
        <w:t xml:space="preserve"> </w:t>
      </w:r>
      <w:r>
        <w:t xml:space="preserve">(</w:t>
      </w:r>
      <w:r>
        <w:rPr>
          <w:i/>
        </w:rPr>
        <w:t xml:space="preserve">1</w:t>
      </w:r>
      <w:r>
        <w:t xml:space="preserve">,</w:t>
      </w:r>
      <w:r>
        <w:t xml:space="preserve"> </w:t>
      </w:r>
      <w:r>
        <w:rPr>
          <w:i/>
        </w:rPr>
        <w:t xml:space="preserve">2</w:t>
      </w:r>
      <w:r>
        <w:t xml:space="preserve">)</w:t>
      </w:r>
      <w:r>
        <w:t xml:space="preserve"> </w:t>
      </w:r>
      <w:r>
        <w:t xml:space="preserve">stability criterion</w:t>
      </w:r>
      <w:r>
        <w:t xml:space="preserve"> </w:t>
      </w:r>
      <m:oMath>
        <m:r>
          <m:t>σ</m:t>
        </m:r>
        <m:rad>
          <m:radPr>
            <m:degHide m:val="1"/>
          </m:radPr>
          <m:deg/>
          <m:e>
            <m:r>
              <m:t>S</m:t>
            </m:r>
            <m:r>
              <m:t>C</m:t>
            </m:r>
          </m:e>
        </m:rad>
        <m:r>
          <m:t>&lt;</m:t>
        </m:r>
        <m:r>
          <m:t>1</m:t>
        </m:r>
      </m:oMath>
      <w:r>
        <w:t xml:space="preserve"> </w:t>
      </w:r>
      <w:r>
        <w:t xml:space="preserve">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individuals,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are actually more likely to be stable, especially when</w:t>
      </w:r>
      <w:r>
        <w:t xml:space="preserve"> </w:t>
      </w:r>
      <m:oMath>
        <m:r>
          <m:t>S</m:t>
        </m:r>
      </m:oMath>
      <w:r>
        <w:t xml:space="preserve"> </w:t>
      </w:r>
      <w:r>
        <w:t xml:space="preserve">is high.</w:t>
      </w:r>
    </w:p>
    <w:p>
      <w:pPr>
        <w:pStyle w:val="BodyText"/>
      </w:pPr>
      <w:r>
        <w:t xml:space="preserve">Rows in</w:t>
      </w:r>
      <w:r>
        <w:t xml:space="preserve"> </w:t>
      </w:r>
      <m:oMath>
        <m: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r>
        <w:t xml:space="preserve"> </w:t>
      </w:r>
      <w:r>
        <w:t xml:space="preserve">(</w:t>
      </w:r>
      <w:r>
        <w:rPr>
          <w:i/>
        </w:rPr>
        <w:t xml:space="preserve">15</w:t>
      </w:r>
      <w:r>
        <w:t xml:space="preserve">)</w:t>
      </w:r>
      <w:r>
        <w:t xml:space="preserve"> </w:t>
      </w:r>
      <w:r>
        <w:t xml:space="preserve">(see Supplementary Information for details).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t>M</m:t>
        </m:r>
      </m:oMath>
      <w:r>
        <w:t xml:space="preserve">. When</w:t>
      </w:r>
      <w:r>
        <w:t xml:space="preserve"> </w:t>
      </w:r>
      <m:oMath>
        <m:sSub>
          <m:e>
            <m:r>
              <m:t>γ</m:t>
            </m:r>
          </m:e>
          <m:sub>
            <m:r>
              <m:t>i</m:t>
            </m:r>
          </m:sub>
        </m:sSub>
        <m:r>
          <m:t>=</m:t>
        </m:r>
        <m:r>
          <m:t>1</m:t>
        </m:r>
      </m:oMath>
      <w:r>
        <w:t xml:space="preserve">, eigenvalues of</w:t>
      </w:r>
      <w:r>
        <w:t xml:space="preserve"> </w:t>
      </w:r>
      <m:oMath>
        <m: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(grey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and all</w:t>
      </w:r>
      <w:r>
        <w:t xml:space="preserve"> </w:t>
      </w:r>
      <m:oMath>
        <m:r>
          <m:t>ℜ</m:t>
        </m:r>
        <m:r>
          <m:t>(</m:t>
        </m:r>
        <m:r>
          <m:t>λ</m:t>
        </m:r>
        <m:r>
          <m:t>)</m:t>
        </m:r>
        <m:r>
          <m:t>&lt;</m:t>
        </m:r>
        <m:r>
          <m:t>0</m:t>
        </m:r>
      </m:oMath>
      <w:r>
        <w:t xml:space="preserve">. The latter cluster has real components that have shifted to the right, but has a smaller radius. Overall, for 1 million randomly assembled</w:t>
      </w:r>
      <w:r>
        <w:t xml:space="preserve"> </w:t>
      </w:r>
      <m:oMath>
        <m: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pPr>
        <w:pStyle w:val="BodyText"/>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now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t>M</m:t>
        </m:r>
      </m:oMath>
      <w:r>
        <w:t xml:space="preserve"> </w:t>
      </w:r>
      <w:r>
        <w:t xml:space="preserve">before and after variation in component response rate. Figure 2 shows a comparison of eigenvalue distributions given</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 As expected</w:t>
      </w:r>
      <w:r>
        <w:t xml:space="preserve"> </w:t>
      </w:r>
      <w:r>
        <w:t xml:space="preserve">(</w:t>
      </w:r>
      <w:r>
        <w:rPr>
          <w:i/>
        </w:rPr>
        <w:t xml:space="preserve">14</w:t>
      </w:r>
      <w:r>
        <w:t xml:space="preserve">)</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2.828. Uniform variation in</w:t>
      </w:r>
      <w:r>
        <w:t xml:space="preserve"> </w:t>
      </w:r>
      <m:oMath>
        <m:r>
          <m:t>γ</m:t>
        </m:r>
      </m:oMath>
      <w:r>
        <w:t xml:space="preserve"> </w:t>
      </w:r>
      <w:r>
        <w:t xml:space="preserve">leads to a non-uniform distribution of eigenvalues, some of which are clustered locally near the centre of the distribution, but others of which are spread outside the former radius of 2.828 (Fig 2b).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 </w:t>
      </w:r>
      <w:r>
        <w:t xml:space="preserve">(</w:t>
      </w:r>
      <w:r>
        <w:rPr>
          <w:i/>
        </w:rPr>
        <w:t xml:space="preserve">1</w:t>
      </w:r>
      <w:r>
        <w:t xml:space="preserve">,</w:t>
      </w:r>
      <w:r>
        <w:t xml:space="preserve"> </w:t>
      </w:r>
      <w:r>
        <w:rPr>
          <w:i/>
        </w:rPr>
        <w:t xml:space="preserve">2</w:t>
      </w:r>
      <w:r>
        <w:t xml:space="preserve">)</w:t>
      </w:r>
      <w:r>
        <w:t xml:space="preserve"> </w:t>
      </w:r>
      <w:r>
        <w:t xml:space="preserve">threshold</w:t>
      </w:r>
      <w:r>
        <w:t xml:space="preserve"> </w:t>
      </w:r>
      <m:oMath>
        <m:r>
          <m:t>σ</m:t>
        </m:r>
        <m:rad>
          <m:radPr>
            <m:degHide m:val="1"/>
          </m:radPr>
          <m:deg/>
          <m:e>
            <m:r>
              <m:t>S</m:t>
            </m:r>
            <m:r>
              <m:t>C</m:t>
            </m:r>
          </m:e>
        </m:rad>
        <m:r>
          <m:t>&lt;</m:t>
        </m:r>
        <m:r>
          <m:t>1</m:t>
        </m:r>
      </m:oMath>
      <w:r>
        <w:t xml:space="preserve">.</w:t>
      </w:r>
    </w:p>
    <w:p>
      <w:pPr>
        <w:pStyle w:val="BodyText"/>
      </w:pPr>
      <w:r>
        <w:t xml:space="preserve">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oMath>
      <w:r>
        <w:t xml:space="preserve"> </w:t>
      </w:r>
      <w:r>
        <w:t xml:space="preserve">ranging from 2-32. One million</w:t>
      </w:r>
      <w:r>
        <w:t xml:space="preserve"> </w:t>
      </w:r>
      <m:oMath>
        <m:r>
          <m:t>M</m:t>
        </m:r>
      </m:oMath>
      <w:r>
        <w:t xml:space="preserve"> </w:t>
      </w:r>
      <w:r>
        <w:t xml:space="preserve">were simulated for each</w:t>
      </w:r>
      <w:r>
        <w:t xml:space="preserve"> </w:t>
      </w:r>
      <m:oMath>
        <m:r>
          <m:t>S</m:t>
        </m:r>
      </m:oMath>
      <w:r>
        <w:t xml:space="preserve">, and the stability of</w:t>
      </w:r>
      <w:r>
        <w:t xml:space="preserve"> </w:t>
      </w:r>
      <m:oMath>
        <m: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For all</w:t>
      </w:r>
      <w:r>
        <w:t xml:space="preserve"> </w:t>
      </w:r>
      <m:oMath>
        <m:r>
          <m:t>S</m:t>
        </m:r>
        <m:r>
          <m:t>&gt;</m:t>
        </m:r>
        <m:r>
          <m:t>10</m:t>
        </m:r>
      </m:oMath>
      <w:r>
        <w:t xml:space="preserve">, I found that the number of stable random systems was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 </w:t>
      </w:r>
      <w:r>
        <w:t xml:space="preserve">(see Supplementary Information for full results). This suggests that the stability of large systems might be dependent upon variation in the response rate of their individual components, meaning that factors such as generation time (in ecological networks), transaction speed (in economic networks), or communication speed (in social networks) needs to be considered when investigating the stability of complex systems.</w:t>
      </w:r>
    </w:p>
    <w:p>
      <w:pPr>
        <w:pStyle w:val="BodyText"/>
      </w:pPr>
      <w:r>
        <w:t xml:space="preserve">It is important to point out that</w:t>
      </w:r>
      <w:r>
        <w:t xml:space="preserve"> </w:t>
      </w:r>
      <m:oMath>
        <m:r>
          <m:t>V</m:t>
        </m:r>
        <m:r>
          <m:t>a</m:t>
        </m:r>
        <m:r>
          <m:t>r</m:t>
        </m:r>
        <m:r>
          <m:t>(</m:t>
        </m:r>
        <m:r>
          <m:t>γ</m:t>
        </m:r>
        <m:r>
          <m:t>)</m:t>
        </m:r>
      </m:oMath>
      <w:r>
        <w:t xml:space="preserve"> </w:t>
      </w:r>
      <w:r>
        <w:t xml:space="preserve">is not stabilising per se; that is, adding variation in</w:t>
      </w:r>
      <w:r>
        <w:t xml:space="preserve"> </w:t>
      </w:r>
      <m:oMath>
        <m:r>
          <m:t>γ</m:t>
        </m:r>
      </m:oMath>
      <w:r>
        <w:t xml:space="preserve"> </w:t>
      </w:r>
      <w:r>
        <w:t xml:space="preserve">to a particular system</w:t>
      </w:r>
      <w:r>
        <w:t xml:space="preserve"> </w:t>
      </w:r>
      <m:oMath>
        <m:r>
          <m:t>M</m:t>
        </m:r>
      </m:oMath>
      <w:r>
        <w:t xml:space="preserve"> </w:t>
      </w:r>
      <w:r>
        <w:t xml:space="preserve">does not necessarily increase the probability that the system will be stable (see Supplementary Information). Rather, systems that are observed to be stable are more likely to vary in</w:t>
      </w:r>
      <w:r>
        <w:t xml:space="preserve"> </w:t>
      </w:r>
      <m:oMath>
        <m:r>
          <m:t>γ</m:t>
        </m:r>
      </m:oMath>
      <w:r>
        <w:t xml:space="preserve">, and for this</w:t>
      </w:r>
      <w:r>
        <w:t xml:space="preserve"> </w:t>
      </w:r>
      <m:oMath>
        <m:r>
          <m:t>V</m:t>
        </m:r>
        <m:r>
          <m:t>a</m:t>
        </m:r>
        <m:r>
          <m:t>r</m:t>
        </m:r>
        <m:r>
          <m:t>(</m:t>
        </m:r>
        <m:r>
          <m:t>γ</m:t>
        </m:r>
        <m:r>
          <m:t>)</m:t>
        </m:r>
      </m:oMath>
      <w:r>
        <w:t xml:space="preserve"> </w:t>
      </w:r>
      <w:r>
        <w:t xml:space="preserve">to be critical to their stability. This is caused by the shift in the distribution of eigenvalues that occurs by introducing</w:t>
      </w:r>
      <w:r>
        <w:t xml:space="preserve"> </w:t>
      </w:r>
      <m:oMath>
        <m:r>
          <m:t>V</m:t>
        </m:r>
        <m:r>
          <m:t>a</m:t>
        </m:r>
        <m:r>
          <m:t>r</m:t>
        </m:r>
        <m:r>
          <m:t>(</m:t>
        </m:r>
        <m:r>
          <m:t>γ</m:t>
        </m:r>
        <m:r>
          <m:t>)</m:t>
        </m:r>
      </m:oMath>
      <w:r>
        <w:t xml:space="preserve"> </w:t>
      </w:r>
      <w:r>
        <w:t xml:space="preserve">(Fig. 1b, 2b), which can sometimes result in all</w:t>
      </w:r>
      <w:r>
        <w:t xml:space="preserve"> </w:t>
      </w:r>
      <m:oMath>
        <m:r>
          <m:t>ℜ</m:t>
        </m:r>
        <m:r>
          <m:t>(</m:t>
        </m:r>
        <m:r>
          <m:t>λ</m:t>
        </m:r>
        <m:r>
          <m:t>)</m:t>
        </m:r>
        <m:r>
          <m:t>&lt;</m:t>
        </m:r>
        <m:r>
          <m:t>0</m:t>
        </m:r>
      </m:oMath>
      <w:r>
        <w:t xml:space="preserve"> </w:t>
      </w:r>
      <w:r>
        <w:t xml:space="preserve">but might also increase</w:t>
      </w:r>
      <w:r>
        <w:t xml:space="preserve"> </w:t>
      </w:r>
      <m:oMath>
        <m:r>
          <m:t>ℜ</m:t>
        </m:r>
        <m:r>
          <m:t>(</m:t>
        </m:r>
        <m:r>
          <m:t>λ</m:t>
        </m:r>
        <m:r>
          <m:t>)</m:t>
        </m:r>
      </m:oMath>
      <w:r>
        <w:t xml:space="preserve"> </w:t>
      </w:r>
      <w:r>
        <w:t xml:space="preserve">values.</w:t>
      </w:r>
    </w:p>
    <w:p>
      <w:pPr>
        <w:pStyle w:val="BodyText"/>
      </w:pPr>
      <w:r>
        <w:t xml:space="preserve">To further investigate the potential of</w:t>
      </w:r>
      <w:r>
        <w:t xml:space="preserve"> </w:t>
      </w:r>
      <m:oMath>
        <m:r>
          <m:t>V</m:t>
        </m:r>
        <m:r>
          <m:t>a</m:t>
        </m:r>
        <m:r>
          <m:t>r</m:t>
        </m:r>
        <m:r>
          <m:t>(</m:t>
        </m:r>
        <m:r>
          <m:t>γ</m:t>
        </m:r>
        <m:r>
          <m:t>)</m:t>
        </m:r>
      </m:oMath>
      <w:r>
        <w:t xml:space="preserve"> </w:t>
      </w:r>
      <w:r>
        <w:t xml:space="preserve">to be stabilising, I used a genetic algorithm (the space of possible</w:t>
      </w:r>
      <w:r>
        <w:t xml:space="preserve"> </w:t>
      </w:r>
      <m:oMath>
        <m:r>
          <m:t>γ</m:t>
        </m:r>
      </m:oMath>
      <w:r>
        <w:t xml:space="preserve"> </w:t>
      </w:r>
      <w:r>
        <w:t xml:space="preserve">values was too large to search exhaustively</w:t>
      </w:r>
      <w:r>
        <w:t xml:space="preserve"> </w:t>
      </w:r>
      <w:r>
        <w:t xml:space="preserve">(</w:t>
      </w:r>
      <w:r>
        <w:rPr>
          <w:i/>
        </w:rPr>
        <w:t xml:space="preserve">16</w:t>
      </w:r>
      <w:r>
        <w:t xml:space="preserve">)</w:t>
      </w:r>
      <w:r>
        <w:t xml:space="preserve">; see Supplementary Information). For each of 40000 random</w:t>
      </w:r>
      <w:r>
        <w:t xml:space="preserve"> </w:t>
      </w:r>
      <m:oMath>
        <m:r>
          <m:t>M</m:t>
        </m:r>
      </m:oMath>
      <w:r>
        <w:t xml:space="preserve"> </w:t>
      </w:r>
      <w:r>
        <w:t xml:space="preserve">(</w:t>
      </w:r>
      <m:oMath>
        <m:r>
          <m:t>σ</m:t>
        </m:r>
        <m:r>
          <m:t>=</m:t>
        </m:r>
        <m:r>
          <m:t>0.4</m:t>
        </m:r>
      </m:oMath>
      <w:r>
        <w:t xml:space="preserve">,</w:t>
      </w:r>
      <w:r>
        <w:t xml:space="preserve"> </w:t>
      </w:r>
      <m:oMath>
        <m:r>
          <m:t>C</m:t>
        </m:r>
        <m:r>
          <m:t>=</m:t>
        </m:r>
        <m:r>
          <m:t>1</m:t>
        </m:r>
      </m:oMath>
      <w:r>
        <w:t xml:space="preserve">), the genetic algorithm initialised 1000 different sets of</w:t>
      </w:r>
      <w:r>
        <w:t xml:space="preserve"> </w:t>
      </w:r>
      <m:oMath>
        <m:r>
          <m:t>γ</m:t>
        </m:r>
        <m:r>
          <m:t>∼</m:t>
        </m:r>
        <m:r>
          <m:rPr>
            <m:sty m:val="p"/>
            <m:scr m:val="script"/>
          </m:rPr>
          <m:t>U</m:t>
        </m:r>
        <m:r>
          <m:t>(</m:t>
        </m:r>
        <m:r>
          <m:t>0</m:t>
        </m:r>
        <m:r>
          <m:t>,</m:t>
        </m:r>
        <m:r>
          <m:t>2</m:t>
        </m:r>
        <m:r>
          <m:t>)</m:t>
        </m:r>
      </m:oMath>
      <w:r>
        <w:t xml:space="preserve"> </w:t>
      </w:r>
      <w:r>
        <w:t xml:space="preserve">values of size</w:t>
      </w:r>
      <w:r>
        <w:t xml:space="preserve"> </w:t>
      </w:r>
      <m:oMath>
        <m:r>
          <m:t>S</m:t>
        </m:r>
      </m:oMath>
      <w:r>
        <w:t xml:space="preserve">. Eigenanalysis was performed on</w:t>
      </w:r>
      <w:r>
        <w:t xml:space="preserve"> </w:t>
      </w:r>
      <m:oMath>
        <m:r>
          <m:t>M</m:t>
        </m:r>
      </m:oMath>
      <w:r>
        <w:t xml:space="preserve"> </w:t>
      </w:r>
      <w:r>
        <w:t xml:space="preserve">using each set of</w:t>
      </w:r>
      <w:r>
        <w:t xml:space="preserve"> </w:t>
      </w:r>
      <m:oMath>
        <m:r>
          <m:t>γ</m:t>
        </m:r>
      </m:oMath>
      <w:r>
        <w:t xml:space="preserve"> </w:t>
      </w:r>
      <w:r>
        <w:t xml:space="preserve">values, and the 20 sets with the lowest</w:t>
      </w:r>
      <w:r>
        <w:t xml:space="preserve"> </w:t>
      </w:r>
      <m:oMath>
        <m:r>
          <m:rPr>
            <m:sty m:val="p"/>
          </m:rPr>
          <m:t>max</m:t>
        </m:r>
        <m:d>
          <m:dPr>
            <m:begChr m:val="("/>
            <m:endChr m:val=")"/>
            <m:grow/>
          </m:dPr>
          <m:e>
            <m:r>
              <m:t>ℜ</m:t>
            </m:r>
            <m:r>
              <m:t>(</m:t>
            </m:r>
            <m:r>
              <m:t>λ</m:t>
            </m:r>
            <m:r>
              <m:t>)</m:t>
            </m:r>
          </m:e>
        </m:d>
      </m:oMath>
      <w:r>
        <w:t xml:space="preserve"> </w:t>
      </w:r>
      <w:r>
        <w:t xml:space="preserve">each produced 50 clonal offspring with subsequent mutation and crossover between the resulting new population of 1000</w:t>
      </w:r>
      <w:r>
        <w:t xml:space="preserve"> </w:t>
      </w:r>
      <m:oMath>
        <m:r>
          <m:t>γ</m:t>
        </m:r>
      </m:oMath>
      <w:r>
        <w:t xml:space="preserve"> </w:t>
      </w:r>
      <w:r>
        <w:t xml:space="preserve">sets. The genetic algorithm terminated if a stable</w:t>
      </w:r>
      <w:r>
        <w:t xml:space="preserve"> </w:t>
      </w:r>
      <m:oMath>
        <m:r>
          <m:t>M</m:t>
        </m:r>
      </m:oMath>
      <w:r>
        <w:t xml:space="preserve"> </w:t>
      </w:r>
      <w:r>
        <w:t xml:space="preserve">was found, 20 generations occurred, or a convergence criteria of minimum fitness increase between generations was satisfied.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up to four orders of magnitude higher than when</w:t>
      </w:r>
      <w:r>
        <w:t xml:space="preserve"> </w:t>
      </w:r>
      <m:oMath>
        <m:r>
          <m:t>γ</m:t>
        </m:r>
        <m:r>
          <m:t>=</m:t>
        </m:r>
        <m:r>
          <m:t>1</m:t>
        </m:r>
      </m:oMath>
      <w:r>
        <w:t xml:space="preserve"> </w:t>
      </w:r>
      <w:r>
        <w:t xml:space="preserve">(see Supplementary Information),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t>M</m:t>
        </m:r>
      </m:oMath>
      <w:r>
        <w:t xml:space="preserve"> </w:t>
      </w:r>
      <w:r>
        <w:t xml:space="preserve">elements. Hence, managing the response rates of system components in a targetted way can potentially facilitate the stabilisation of complex systems through a reduction in dimensionality.</w:t>
      </w:r>
    </w:p>
    <w:p>
      <w:pPr>
        <w:pStyle w:val="BodyText"/>
      </w:pPr>
      <w:r>
        <w:t xml:space="preserve">I have focused broadly on random complex systems, but it is also worthwhile to consider more restricted interactions such as those of specific ecological networks</w:t>
      </w:r>
      <w:r>
        <w:t xml:space="preserve"> </w:t>
      </w:r>
      <w:r>
        <w:t xml:space="preserve">(</w:t>
      </w:r>
      <w:r>
        <w:rPr>
          <w:i/>
        </w:rPr>
        <w:t xml:space="preserve">2</w:t>
      </w:r>
      <w:r>
        <w:t xml:space="preserve">)</w:t>
      </w:r>
      <w:r>
        <w:t xml:space="preserve">. These include systems in which all interactions are negative (competitive networks), positive (mutualist networks), or</w:t>
      </w:r>
      <w:r>
        <w:t xml:space="preserve"> </w:t>
      </w:r>
      <m:oMath>
        <m:r>
          <m:t>i</m:t>
        </m:r>
      </m:oMath>
      <w:r>
        <w:t xml:space="preserve"> </w:t>
      </w:r>
      <w:r>
        <w:t xml:space="preserve">and</w:t>
      </w:r>
      <w:r>
        <w:t xml:space="preserve"> </w:t>
      </w:r>
      <m:oMath>
        <m:r>
          <m:t>j</m:t>
        </m:r>
      </m:oMath>
      <w:r>
        <w:t xml:space="preserve"> </w:t>
      </w:r>
      <w:r>
        <w:t xml:space="preserve">pairs have opposing signs (predator-prey networks). In general, competitive and mutualist networks tend to be destabilising, and predator-prey network tend to be stabilising</w:t>
      </w:r>
      <w:r>
        <w:t xml:space="preserve"> </w:t>
      </w:r>
      <w:r>
        <w:t xml:space="preserve">(</w:t>
      </w:r>
      <w:r>
        <w:rPr>
          <w:i/>
        </w:rPr>
        <w:t xml:space="preserve">17</w:t>
      </w:r>
      <w:r>
        <w:t xml:space="preserve">)</w:t>
      </w:r>
      <w:r>
        <w:t xml:space="preserve">. When</w:t>
      </w:r>
      <w:r>
        <w:t xml:space="preserve"> </w:t>
      </w:r>
      <m:oMath>
        <m:r>
          <m:t>V</m:t>
        </m:r>
        <m:r>
          <m:t>a</m:t>
        </m:r>
        <m:r>
          <m:t>r</m:t>
        </m:r>
        <m:r>
          <m:t>(</m:t>
        </m:r>
        <m:r>
          <m:t>γ</m:t>
        </m:r>
        <m:r>
          <m:t>)</m:t>
        </m:r>
      </m:oMath>
      <w:r>
        <w:t xml:space="preserve"> </w:t>
      </w:r>
      <w:r>
        <w:t xml:space="preserve">is applied to each, the proportion of stable competitive and predator-prey networks increases, but the proportion of stable mutualist networks does not (see Supplementary Information). Additionally, when each component of</w:t>
      </w:r>
      <w:r>
        <w:t xml:space="preserve"> </w:t>
      </w:r>
      <m:oMath>
        <m:r>
          <m:t>M</m:t>
        </m:r>
      </m:oMath>
      <w:r>
        <w:t xml:space="preserve"> </w:t>
      </w:r>
      <w:r>
        <w:t xml:space="preserve">is interpreted as a unique species and given a random intrinsic growth rate</w:t>
      </w:r>
      <w:r>
        <w:t xml:space="preserve"> </w:t>
      </w:r>
      <w:r>
        <w:t xml:space="preserve">(</w:t>
      </w:r>
      <w:r>
        <w:rPr>
          <w:i/>
        </w:rPr>
        <w:t xml:space="preserve">18</w:t>
      </w:r>
      <w:r>
        <w:t xml:space="preserve">)</w:t>
      </w:r>
      <w:r>
        <w:t xml:space="preserve">, feasibility is not increased by</w:t>
      </w:r>
      <w:r>
        <w:t xml:space="preserve"> </w:t>
      </w:r>
      <m:oMath>
        <m:r>
          <m:t>V</m:t>
        </m:r>
        <m:r>
          <m:t>a</m:t>
        </m:r>
        <m:r>
          <m:t>r</m:t>
        </m:r>
        <m:r>
          <m:t>(</m:t>
        </m:r>
        <m:r>
          <m:t>γ</m:t>
        </m:r>
        <m:r>
          <m:t>)</m:t>
        </m:r>
      </m:oMath>
      <w:r>
        <w:t xml:space="preserve">, suggesting that variation in species generation time might be unlikely to drive stability in purely multi-species networks (see Supplementary Information).</w:t>
      </w:r>
    </w:p>
    <w:p>
      <w:pPr>
        <w:pStyle w:val="BodyText"/>
      </w:pPr>
      <w:r>
        <w:t xml:space="preserve">My results show that complex systems are more likely to be stable when the response rates of system components vary. These results are broadly applicable to understanding stability of complex networks in the physical, life, and social sciences.</w:t>
      </w:r>
    </w:p>
    <w:p>
      <w:pPr>
        <w:pStyle w:val="BodyText"/>
      </w:pPr>
      <w:r>
        <w:rPr>
          <w:b/>
        </w:rPr>
        <w:t xml:space="preserve">Acknowledgements:</w:t>
      </w:r>
      <w:r>
        <w:t xml:space="preserve"> </w:t>
      </w:r>
      <w:r>
        <w:t xml:space="preserve">I am supported by a Leverhulme Trust Early Career Fellowship (ECF-2016-376). Conversations with L. Bussière and N. Bunnefeld, and comments from J. J. Cusack and I. L. Jones, improved the quality of this work.</w:t>
      </w:r>
    </w:p>
    <w:p>
      <w:pPr>
        <w:pStyle w:val="BodyText"/>
      </w:pPr>
      <w:r>
        <w:rPr>
          <w:b/>
        </w:rPr>
        <w:t xml:space="preserve">References</w:t>
      </w:r>
    </w:p>
    <w:p>
      <w:pPr>
        <w:pStyle w:val="BodyText"/>
      </w:pPr>
      <w:r>
        <w:t xml:space="preserve">1. R. M. May, Will a large complex system be stable?</w:t>
      </w:r>
      <w:r>
        <w:t xml:space="preserve"> </w:t>
      </w:r>
      <w:r>
        <w:rPr>
          <w:i/>
        </w:rPr>
        <w:t xml:space="preserve">Nature</w:t>
      </w:r>
      <w:r>
        <w:t xml:space="preserve">.</w:t>
      </w:r>
      <w:r>
        <w:t xml:space="preserve"> </w:t>
      </w:r>
      <w:r>
        <w:rPr>
          <w:b/>
        </w:rPr>
        <w:t xml:space="preserve">238</w:t>
      </w:r>
      <w:r>
        <w:t xml:space="preserve">, 413–414 (1972).</w:t>
      </w:r>
    </w:p>
    <w:p>
      <w:pPr>
        <w:pStyle w:val="BodyText"/>
      </w:pPr>
      <w:r>
        <w:t xml:space="preserve">2. S. Allesina, S. Tang, Stability criteria for complex ecosystems.</w:t>
      </w:r>
      <w:r>
        <w:t xml:space="preserve"> </w:t>
      </w:r>
      <w:r>
        <w:rPr>
          <w:i/>
        </w:rPr>
        <w:t xml:space="preserve">Nature</w:t>
      </w:r>
      <w:r>
        <w:t xml:space="preserve">.</w:t>
      </w:r>
      <w:r>
        <w:t xml:space="preserve"> </w:t>
      </w:r>
      <w:r>
        <w:rPr>
          <w:b/>
        </w:rPr>
        <w:t xml:space="preserve">483</w:t>
      </w:r>
      <w:r>
        <w:t xml:space="preserve">, 205–208 (2012).</w:t>
      </w:r>
    </w:p>
    <w:p>
      <w:pPr>
        <w:pStyle w:val="BodyText"/>
      </w:pPr>
      <w:r>
        <w:t xml:space="preserve">3. A. Mougi, M. Kondoh, Diversity of interaction types and ecological community stability.</w:t>
      </w:r>
      <w:r>
        <w:t xml:space="preserve"> </w:t>
      </w:r>
      <w:r>
        <w:rPr>
          <w:i/>
        </w:rPr>
        <w:t xml:space="preserve">Science</w:t>
      </w:r>
      <w:r>
        <w:t xml:space="preserve">.</w:t>
      </w:r>
      <w:r>
        <w:t xml:space="preserve"> </w:t>
      </w:r>
      <w:r>
        <w:rPr>
          <w:b/>
        </w:rPr>
        <w:t xml:space="preserve">337</w:t>
      </w:r>
      <w:r>
        <w:t xml:space="preserve">, 349–351 (2012).</w:t>
      </w:r>
    </w:p>
    <w:p>
      <w:pPr>
        <w:pStyle w:val="BodyText"/>
      </w:pPr>
      <w:r>
        <w:t xml:space="preserve">4. S. Allesina</w:t>
      </w:r>
      <w:r>
        <w:t xml:space="preserve"> </w:t>
      </w:r>
      <w:r>
        <w:rPr>
          <w:i/>
        </w:rPr>
        <w:t xml:space="preserve">et al.</w:t>
      </w:r>
      <w:r>
        <w:t xml:space="preserve">, Predicting the stability of large structured food webs.</w:t>
      </w:r>
      <w:r>
        <w:t xml:space="preserve"> </w:t>
      </w:r>
      <w:r>
        <w:rPr>
          <w:i/>
        </w:rPr>
        <w:t xml:space="preserve">Nature Communications</w:t>
      </w:r>
      <w:r>
        <w:t xml:space="preserve">.</w:t>
      </w:r>
      <w:r>
        <w:t xml:space="preserve"> </w:t>
      </w:r>
      <w:r>
        <w:rPr>
          <w:b/>
        </w:rPr>
        <w:t xml:space="preserve">6</w:t>
      </w:r>
      <w:r>
        <w:t xml:space="preserve">, 7842 (2015).</w:t>
      </w:r>
    </w:p>
    <w:p>
      <w:pPr>
        <w:pStyle w:val="BodyText"/>
      </w:pPr>
      <w:r>
        <w:t xml:space="preserve">5. J. Grilli</w:t>
      </w:r>
      <w:r>
        <w:t xml:space="preserve"> </w:t>
      </w:r>
      <w:r>
        <w:rPr>
          <w:i/>
        </w:rPr>
        <w:t xml:space="preserve">et al.</w:t>
      </w:r>
      <w:r>
        <w:t xml:space="preserve">, Feasibility and coexistence of large ecological communities.</w:t>
      </w:r>
      <w:r>
        <w:t xml:space="preserve"> </w:t>
      </w:r>
      <w:r>
        <w:rPr>
          <w:i/>
        </w:rPr>
        <w:t xml:space="preserve">Nature Communications</w:t>
      </w:r>
      <w:r>
        <w:t xml:space="preserve">.</w:t>
      </w:r>
      <w:r>
        <w:t xml:space="preserve"> </w:t>
      </w:r>
      <w:r>
        <w:rPr>
          <w:b/>
        </w:rPr>
        <w:t xml:space="preserve">8</w:t>
      </w:r>
      <w:r>
        <w:t xml:space="preserve"> </w:t>
      </w:r>
      <w:r>
        <w:t xml:space="preserve">(2017), doi:</w:t>
      </w:r>
      <w:hyperlink r:id="rId22">
        <w:r>
          <w:rPr>
            <w:rStyle w:val="Hyperlink"/>
          </w:rPr>
          <w:t xml:space="preserve">10.1038/ncomms14389</w:t>
        </w:r>
      </w:hyperlink>
      <w:r>
        <w:t xml:space="preserve">.</w:t>
      </w:r>
    </w:p>
    <w:p>
      <w:pPr>
        <w:pStyle w:val="BodyText"/>
      </w:pPr>
      <w:r>
        <w:t xml:space="preserve">6. R. T. Gray, P. A. Robinson, Stability and synchronization of random brain networks with a distribution of connection strengths.</w:t>
      </w:r>
      <w:r>
        <w:t xml:space="preserve"> </w:t>
      </w:r>
      <w:r>
        <w:rPr>
          <w:i/>
        </w:rPr>
        <w:t xml:space="preserve">Neurocomputing</w:t>
      </w:r>
      <w:r>
        <w:t xml:space="preserve">.</w:t>
      </w:r>
      <w:r>
        <w:t xml:space="preserve"> </w:t>
      </w:r>
      <w:r>
        <w:rPr>
          <w:b/>
        </w:rPr>
        <w:t xml:space="preserve">71</w:t>
      </w:r>
      <w:r>
        <w:t xml:space="preserve">, 1373–1387 (2008).</w:t>
      </w:r>
    </w:p>
    <w:p>
      <w:pPr>
        <w:pStyle w:val="BodyText"/>
      </w:pPr>
      <w:r>
        <w:t xml:space="preserve">7. R. T. Gray, P. A. Robinson, Stability of random brain networks with excitatory and inhibitory connections.</w:t>
      </w:r>
      <w:r>
        <w:t xml:space="preserve"> </w:t>
      </w:r>
      <w:r>
        <w:rPr>
          <w:i/>
        </w:rPr>
        <w:t xml:space="preserve">Neurocomputing</w:t>
      </w:r>
      <w:r>
        <w:t xml:space="preserve">.</w:t>
      </w:r>
      <w:r>
        <w:t xml:space="preserve"> </w:t>
      </w:r>
      <w:r>
        <w:rPr>
          <w:b/>
        </w:rPr>
        <w:t xml:space="preserve">72</w:t>
      </w:r>
      <w:r>
        <w:t xml:space="preserve">, 1849–1858 (2009).</w:t>
      </w:r>
    </w:p>
    <w:p>
      <w:pPr>
        <w:pStyle w:val="BodyText"/>
      </w:pPr>
      <w:r>
        <w:t xml:space="preserve">8. S. Rosenfeld, Patterns of stochastic behavior in dynamically unstable high-dimensional biochemical networks.</w:t>
      </w:r>
      <w:r>
        <w:t xml:space="preserve"> </w:t>
      </w:r>
      <w:r>
        <w:rPr>
          <w:i/>
        </w:rPr>
        <w:t xml:space="preserve">Gene Regulation and Systems Biology</w:t>
      </w:r>
      <w:r>
        <w:t xml:space="preserve">.</w:t>
      </w:r>
      <w:r>
        <w:t xml:space="preserve"> </w:t>
      </w:r>
      <w:r>
        <w:rPr>
          <w:b/>
        </w:rPr>
        <w:t xml:space="preserve">3</w:t>
      </w:r>
      <w:r>
        <w:t xml:space="preserve">, 1–10 (2009).</w:t>
      </w:r>
    </w:p>
    <w:p>
      <w:pPr>
        <w:pStyle w:val="BodyText"/>
      </w:pPr>
      <w:r>
        <w:t xml:space="preserve">9. B. D. MacArthur, R. J. Sanchez-Garcia, A. Ma’ayan, Microdynamics and criticality of adaptive regulatory networks.</w:t>
      </w:r>
      <w:r>
        <w:t xml:space="preserve"> </w:t>
      </w:r>
      <w:r>
        <w:rPr>
          <w:i/>
        </w:rPr>
        <w:t xml:space="preserve">Physics Review Letters</w:t>
      </w:r>
      <w:r>
        <w:t xml:space="preserve">.</w:t>
      </w:r>
      <w:r>
        <w:t xml:space="preserve"> </w:t>
      </w:r>
      <w:r>
        <w:rPr>
          <w:b/>
        </w:rPr>
        <w:t xml:space="preserve">104</w:t>
      </w:r>
      <w:r>
        <w:t xml:space="preserve">, 168701 (2010).</w:t>
      </w:r>
    </w:p>
    <w:p>
      <w:pPr>
        <w:pStyle w:val="BodyText"/>
      </w:pPr>
      <w:r>
        <w:t xml:space="preserve">10. R. M. May, S. A. Levin, G. Sugihara, Complex systems: Ecology for bankers.</w:t>
      </w:r>
      <w:r>
        <w:t xml:space="preserve"> </w:t>
      </w:r>
      <w:r>
        <w:rPr>
          <w:i/>
        </w:rPr>
        <w:t xml:space="preserve">Nature</w:t>
      </w:r>
      <w:r>
        <w:t xml:space="preserve">.</w:t>
      </w:r>
      <w:r>
        <w:t xml:space="preserve"> </w:t>
      </w:r>
      <w:r>
        <w:rPr>
          <w:b/>
        </w:rPr>
        <w:t xml:space="preserve">451</w:t>
      </w:r>
      <w:r>
        <w:t xml:space="preserve">, 893–895 (2008).</w:t>
      </w:r>
    </w:p>
    <w:p>
      <w:pPr>
        <w:pStyle w:val="BodyText"/>
      </w:pPr>
      <w:r>
        <w:t xml:space="preserve">11. A. G. Haldane, R. M. May, Systemic risk in banking ecosystems.</w:t>
      </w:r>
      <w:r>
        <w:t xml:space="preserve"> </w:t>
      </w:r>
      <w:r>
        <w:rPr>
          <w:i/>
        </w:rPr>
        <w:t xml:space="preserve">Nature</w:t>
      </w:r>
      <w:r>
        <w:t xml:space="preserve">.</w:t>
      </w:r>
      <w:r>
        <w:t xml:space="preserve"> </w:t>
      </w:r>
      <w:r>
        <w:rPr>
          <w:b/>
        </w:rPr>
        <w:t xml:space="preserve">469</w:t>
      </w:r>
      <w:r>
        <w:t xml:space="preserve">, 351–355 (2011).</w:t>
      </w:r>
    </w:p>
    <w:p>
      <w:pPr>
        <w:pStyle w:val="BodyText"/>
      </w:pPr>
      <w:r>
        <w:t xml:space="preserve">12. S. Suweis, P. D’Odorico, Early warning signs in social-ecological networks.</w:t>
      </w:r>
      <w:r>
        <w:t xml:space="preserve"> </w:t>
      </w:r>
      <w:r>
        <w:rPr>
          <w:i/>
        </w:rPr>
        <w:t xml:space="preserve">PLoS ONE</w:t>
      </w:r>
      <w:r>
        <w:t xml:space="preserve">.</w:t>
      </w:r>
      <w:r>
        <w:t xml:space="preserve"> </w:t>
      </w:r>
      <w:r>
        <w:rPr>
          <w:b/>
        </w:rPr>
        <w:t xml:space="preserve">9</w:t>
      </w:r>
      <w:r>
        <w:t xml:space="preserve"> </w:t>
      </w:r>
      <w:r>
        <w:t xml:space="preserve">(2014), doi:</w:t>
      </w:r>
      <w:hyperlink r:id="rId23">
        <w:r>
          <w:rPr>
            <w:rStyle w:val="Hyperlink"/>
          </w:rPr>
          <w:t xml:space="preserve">10.1371/journal.pone.0101851</w:t>
        </w:r>
      </w:hyperlink>
      <w:r>
        <w:t xml:space="preserve">.</w:t>
      </w:r>
    </w:p>
    <w:p>
      <w:pPr>
        <w:pStyle w:val="BodyText"/>
      </w:pPr>
      <w:r>
        <w:t xml:space="preserve">13. M. Bardoscia, S. Battiston, F. Caccioli, G. Caldarelli, Pathways towards instability in financial networks.</w:t>
      </w:r>
      <w:r>
        <w:t xml:space="preserve"> </w:t>
      </w:r>
      <w:r>
        <w:rPr>
          <w:i/>
        </w:rPr>
        <w:t xml:space="preserve">Nature Communications</w:t>
      </w:r>
      <w:r>
        <w:t xml:space="preserve">.</w:t>
      </w:r>
      <w:r>
        <w:t xml:space="preserve"> </w:t>
      </w:r>
      <w:r>
        <w:rPr>
          <w:b/>
        </w:rPr>
        <w:t xml:space="preserve">8</w:t>
      </w:r>
      <w:r>
        <w:t xml:space="preserve">, 1–7 (2017).</w:t>
      </w:r>
    </w:p>
    <w:p>
      <w:pPr>
        <w:pStyle w:val="BodyText"/>
      </w:pPr>
      <w:r>
        <w:t xml:space="preserve">14. T. Tao, V. Vu, Random matrices: Universality of ESDs and the circular law.</w:t>
      </w:r>
      <w:r>
        <w:t xml:space="preserve"> </w:t>
      </w:r>
      <w:r>
        <w:rPr>
          <w:i/>
        </w:rPr>
        <w:t xml:space="preserve">Annals of Probability</w:t>
      </w:r>
      <w:r>
        <w:t xml:space="preserve">.</w:t>
      </w:r>
      <w:r>
        <w:t xml:space="preserve"> </w:t>
      </w:r>
      <w:r>
        <w:rPr>
          <w:b/>
        </w:rPr>
        <w:t xml:space="preserve">38</w:t>
      </w:r>
      <w:r>
        <w:t xml:space="preserve">, 2023–2065 (2010).</w:t>
      </w:r>
    </w:p>
    <w:p>
      <w:pPr>
        <w:pStyle w:val="BodyText"/>
      </w:pPr>
      <w:r>
        <w:t xml:space="preserve">15. S. Patel, M. H. Cortez, S. J. Schreiber, Partitioning the effects of eco-evolutionary feedbacks on community stability.</w:t>
      </w:r>
      <w:r>
        <w:t xml:space="preserve"> </w:t>
      </w:r>
      <w:r>
        <w:rPr>
          <w:i/>
        </w:rPr>
        <w:t xml:space="preserve">American Naturalist</w:t>
      </w:r>
      <w:r>
        <w:t xml:space="preserve">.</w:t>
      </w:r>
      <w:r>
        <w:t xml:space="preserve"> </w:t>
      </w:r>
      <w:r>
        <w:rPr>
          <w:b/>
        </w:rPr>
        <w:t xml:space="preserve">191</w:t>
      </w:r>
      <w:r>
        <w:t xml:space="preserve">, 1–29 (2018).</w:t>
      </w:r>
    </w:p>
    <w:p>
      <w:pPr>
        <w:pStyle w:val="BodyText"/>
      </w:pPr>
      <w:r>
        <w:t xml:space="preserve">16. S. Hamblin, On the practical usage of genetic algorithms in ecology and evolution.</w:t>
      </w:r>
      <w:r>
        <w:t xml:space="preserve"> </w:t>
      </w:r>
      <w:r>
        <w:rPr>
          <w:i/>
        </w:rPr>
        <w:t xml:space="preserve">Methods in Ecology and Evolution</w:t>
      </w:r>
      <w:r>
        <w:t xml:space="preserve">.</w:t>
      </w:r>
      <w:r>
        <w:t xml:space="preserve"> </w:t>
      </w:r>
      <w:r>
        <w:rPr>
          <w:b/>
        </w:rPr>
        <w:t xml:space="preserve">4</w:t>
      </w:r>
      <w:r>
        <w:t xml:space="preserve">, 184–194 (2013).</w:t>
      </w:r>
    </w:p>
    <w:p>
      <w:pPr>
        <w:pStyle w:val="BodyText"/>
      </w:pPr>
      <w:r>
        <w:t xml:space="preserve">17. S. Allesina, J. M. Levine, A competitive network theory of species diversity.</w:t>
      </w:r>
      <w:r>
        <w:t xml:space="preserve"> </w:t>
      </w:r>
      <w:r>
        <w:rPr>
          <w:i/>
        </w:rPr>
        <w:t xml:space="preserve">Proceedings of the National Academy of Sciences of the United States of America</w:t>
      </w:r>
      <w:r>
        <w:t xml:space="preserve">.</w:t>
      </w:r>
      <w:r>
        <w:t xml:space="preserve"> </w:t>
      </w:r>
      <w:r>
        <w:rPr>
          <w:b/>
        </w:rPr>
        <w:t xml:space="preserve">108</w:t>
      </w:r>
      <w:r>
        <w:t xml:space="preserve">, 5638–5642 (2011).</w:t>
      </w:r>
    </w:p>
    <w:p>
      <w:pPr>
        <w:pStyle w:val="BodyText"/>
      </w:pPr>
      <w:r>
        <w:t xml:space="preserve">18. M. Dougoud, L. Vinckenbosch, R. Rohr, L.-F. Bersier, C. Mazza, The feasibility of equilibria in large ecosystems: a primary but neglected concept in the complexity-stability debate.</w:t>
      </w:r>
      <w:r>
        <w:t xml:space="preserve"> </w:t>
      </w:r>
      <w:r>
        <w:rPr>
          <w:i/>
        </w:rPr>
        <w:t xml:space="preserve">PLOS Computational Biology</w:t>
      </w:r>
      <w:r>
        <w:t xml:space="preserve">.</w:t>
      </w:r>
      <w:r>
        <w:t xml:space="preserve"> </w:t>
      </w:r>
      <w:r>
        <w:rPr>
          <w:b/>
        </w:rPr>
        <w:t xml:space="preserve">14</w:t>
      </w:r>
      <w:r>
        <w:t xml:space="preserve">, e1005988 (2018).</w:t>
      </w:r>
    </w:p>
    <w:p>
      <w:pPr>
        <w:pStyle w:val="BodyText"/>
      </w:pPr>
    </w:p>
    <w:p>
      <w:pPr>
        <w:pStyle w:val="BodyText"/>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grey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centred at</w:t>
      </w:r>
      <w:r>
        <w:t xml:space="preserve"> </w:t>
      </w:r>
      <m:oMath>
        <m:r>
          <m:t>γ</m:t>
        </m:r>
        <m:r>
          <m:t>=</m:t>
        </m:r>
        <m:r>
          <m:t>−</m:t>
        </m:r>
        <m:r>
          <m:t>1.95</m:t>
        </m:r>
      </m:oMath>
      <w:r>
        <w:t xml:space="preserve"> </w:t>
      </w:r>
      <w:r>
        <w:t xml:space="preserve">and one small circle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or_review_files/figure-docx/unnamed-chunk-9-1.png" id="0" name="Picture"/>
                    <pic:cNvPicPr>
                      <a:picLocks noChangeArrowheads="1" noChangeAspect="1"/>
                    </pic:cNvPicPr>
                  </pic:nvPicPr>
                  <pic:blipFill>
                    <a:blip r:embed="rId24"/>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also creates a cluster of eigenvalues toward the distribution’s centre (-1, 0). Black elipses in both panels show the circle centred on the distribution in panel a. Proportions of</w:t>
      </w:r>
      <w:r>
        <w:t xml:space="preserve"> </w:t>
      </w:r>
      <m:oMath>
        <m:r>
          <m:t>ℜ</m:t>
        </m:r>
        <m:r>
          <m:t>(</m:t>
        </m:r>
        <m:r>
          <m:t>λ</m:t>
        </m:r>
        <m:r>
          <m:t>)</m:t>
        </m:r>
        <m:r>
          <m:t>&lt;</m:t>
        </m:r>
        <m:r>
          <m:t>0</m:t>
        </m:r>
      </m:oMath>
      <w:r>
        <w:t xml:space="preserve"> </w:t>
      </w:r>
      <w:r>
        <w:t xml:space="preserve">are 0.719 and 0.731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or_review_files/figure-docx/unnamed-chunk-12-1.png" id="0" name="Picture"/>
                    <pic:cNvPicPr>
                      <a:picLocks noChangeArrowheads="1" noChangeAspect="1"/>
                    </pic:cNvPicPr>
                  </pic:nvPicPr>
                  <pic:blipFill>
                    <a:blip r:embed="rId25"/>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3: Stability of large complex systems with and without variation in component response rate(</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Light and dark grey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or_review_files/figure-docx/unnamed-chunk-14-1.png" id="0" name="Picture"/>
                    <pic:cNvPicPr>
                      <a:picLocks noChangeArrowheads="1" noChangeAspect="1"/>
                    </pic:cNvPicPr>
                  </pic:nvPicPr>
                  <pic:blipFill>
                    <a:blip r:embed="rId26"/>
                    <a:stretch>
                      <a:fillRect/>
                    </a:stretch>
                  </pic:blipFill>
                  <pic:spPr bwMode="auto">
                    <a:xfrm>
                      <a:off x="0" y="0"/>
                      <a:ext cx="5029200" cy="3911599"/>
                    </a:xfrm>
                    <a:prstGeom prst="rect">
                      <a:avLst/>
                    </a:prstGeom>
                    <a:noFill/>
                    <a:ln w="9525">
                      <a:noFill/>
                      <a:headEnd/>
                      <a:tailEnd/>
                    </a:ln>
                  </pic:spPr>
                </pic:pic>
              </a:graphicData>
            </a:graphic>
          </wp:inline>
        </w:drawing>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9602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22" Target="https://doi.org/10.1038/ncomms14389" TargetMode="External" /><Relationship Type="http://schemas.openxmlformats.org/officeDocument/2006/relationships/hyperlink" Id="rId23" Target="https://doi.org/10.1371/journal.pone.0101851" TargetMode="External"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38/ncomms14389" TargetMode="External" /><Relationship Type="http://schemas.openxmlformats.org/officeDocument/2006/relationships/hyperlink" Id="rId23" Target="https://doi.org/10.1371/journal.pone.0101851" TargetMode="External" /><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A. Bradley Duthie ( alexander.duthie@stir.ac.uk )</dc:creator>
  <dcterms:created xsi:type="dcterms:W3CDTF">2018-07-24T10:20:37Z</dcterms:created>
  <dcterms:modified xsi:type="dcterms:W3CDTF">2018-07-24T10:20:37Z</dcterms:modified>
</cp:coreProperties>
</file>