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community</w:t>
      </w:r>
      <w:r>
        <w:t xml:space="preserve"> </w:t>
      </w:r>
      <w:r>
        <w:t xml:space="preserve">ecology:</w:t>
      </w:r>
      <w:r>
        <w:t xml:space="preserve"> </w:t>
      </w:r>
      <w:r>
        <w:t xml:space="preserve">Supporting</w:t>
      </w:r>
      <w:r>
        <w:t xml:space="preserve"> </w:t>
      </w:r>
      <w:r>
        <w:t xml:space="preserve">Information</w:t>
      </w:r>
      <w:r>
        <w:t xml:space="preserve"> </w:t>
      </w:r>
      <w:r>
        <w:t xml:space="preserve">1</w:t>
      </w:r>
    </w:p>
    <w:p>
      <w:pPr>
        <w:pStyle w:val="Date"/>
      </w:pPr>
      <w:r>
        <w:t xml:space="preserve">[1]</w:t>
      </w:r>
      <w:r>
        <w:t xml:space="preserve"> </w:t>
      </w:r>
      <w:r>
        <w:t xml:space="preserve">Department</w:t>
      </w:r>
      <w:r>
        <w:t xml:space="preserve"> </w:t>
      </w:r>
      <w:r>
        <w:t xml:space="preserve">of</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Scotland</w:t>
      </w:r>
      <w:r>
        <w:t xml:space="preserve"> </w:t>
      </w:r>
      <w:r>
        <w:t xml:space="preserve">[2]</w:t>
      </w:r>
      <w:r>
        <w:t xml:space="preserve"> </w:t>
      </w:r>
      <w:r>
        <w:t xml:space="preserve">Department</w:t>
      </w:r>
      <w:r>
        <w:t xml:space="preserve"> </w:t>
      </w:r>
      <w:r>
        <w:t xml:space="preserve">of</w:t>
      </w:r>
      <w:r>
        <w:t xml:space="preserve"> </w:t>
      </w:r>
      <w:r>
        <w:t xml:space="preserve">Philosophy,</w:t>
      </w:r>
      <w:r>
        <w:t xml:space="preserve"> </w:t>
      </w:r>
      <w:r>
        <w:t xml:space="preserve">University</w:t>
      </w:r>
      <w:r>
        <w:t xml:space="preserve"> </w:t>
      </w:r>
      <w:r>
        <w:t xml:space="preserve">of</w:t>
      </w:r>
      <w:r>
        <w:t xml:space="preserve"> </w:t>
      </w:r>
      <w:r>
        <w:t xml:space="preserve">Valencia,</w:t>
      </w:r>
      <w:r>
        <w:t xml:space="preserve"> </w:t>
      </w:r>
      <w:r>
        <w:t xml:space="preserve">Valencia,</w:t>
      </w:r>
      <w:r>
        <w:t xml:space="preserve"> </w:t>
      </w:r>
      <w:r>
        <w:t xml:space="preserve">Spain</w:t>
      </w:r>
      <w:r>
        <w:t xml:space="preserve"> </w:t>
      </w:r>
      <w:r>
        <w:t xml:space="preserve">[*]</w:t>
      </w:r>
      <w:r>
        <w:t xml:space="preserve"> </w:t>
      </w:r>
      <w:r>
        <w:t xml:space="preserve">Corresponding</w:t>
      </w:r>
      <w:r>
        <w:t xml:space="preserve"> </w:t>
      </w:r>
      <w:r>
        <w:t xml:space="preserve">author:</w:t>
      </w:r>
      <w:r>
        <w:t xml:space="preserve"> </w:t>
      </w:r>
      <w:hyperlink r:id="rId20">
        <w:r>
          <w:rPr>
            <w:rStyle w:val="Hyperlink"/>
          </w:rPr>
          <w:t xml:space="preserve">alexander.duthie@stir.ac.uk</w:t>
        </w:r>
      </w:hyperlink>
      <w:r>
        <w:t xml:space="preserve"> </w:t>
      </w:r>
      <w:r>
        <w:t xml:space="preserve">[a]</w:t>
      </w:r>
      <w:r>
        <w:t xml:space="preserve"> </w:t>
      </w:r>
      <w:r>
        <w:t xml:space="preserve">Equal</w:t>
      </w:r>
      <w:r>
        <w:t xml:space="preserve"> </w:t>
      </w:r>
      <w:r>
        <w:t xml:space="preserve">contribution</w:t>
      </w:r>
    </w:p>
    <w:p>
      <w:pPr>
        <w:pStyle w:val="FirstParagraph"/>
      </w:pPr>
      <w:r>
        <w:t xml:space="preserve">We start with the fundamental equation that provides a complete description of eco-evolutionary change in any system,</w:t>
      </w:r>
    </w:p>
    <w:p>
      <w:pPr>
        <w:pStyle w:val="BodyText"/>
      </w:pPr>
      <m:oMathPara>
        <m:oMathParaPr>
          <m:jc m:val="center"/>
        </m:oMathParaPr>
        <m:oMath>
          <m:r>
            <m:t>Ω</m:t>
          </m:r>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β</m:t>
                      </m:r>
                    </m:e>
                    <m:sub>
                      <m:r>
                        <m:t>i</m:t>
                      </m:r>
                    </m:sub>
                  </m:sSub>
                  <m:r>
                    <m:rPr>
                      <m:sty m:val="p"/>
                    </m:rPr>
                    <m:t>−</m:t>
                  </m:r>
                  <m:sSub>
                    <m:e>
                      <m:r>
                        <m:t>δ</m:t>
                      </m:r>
                    </m:e>
                    <m:sub>
                      <m:r>
                        <m:t>i</m:t>
                      </m:r>
                    </m:sub>
                  </m:sSub>
                  <m:r>
                    <m:rPr>
                      <m:sty m:val="p"/>
                    </m:rPr>
                    <m:t>+</m:t>
                  </m:r>
                  <m:r>
                    <m:t>1</m:t>
                  </m:r>
                </m:e>
              </m:d>
            </m:e>
          </m:nary>
          <m:d>
            <m:dPr>
              <m:begChr m:val="("/>
              <m:endChr m:val=")"/>
              <m:sepChr m:val=""/>
              <m:grow/>
            </m:dPr>
            <m:e>
              <m:sSub>
                <m:e>
                  <m:r>
                    <m:t>z</m:t>
                  </m:r>
                </m:e>
                <m:sub>
                  <m:r>
                    <m:t>i</m:t>
                  </m:r>
                </m:sub>
              </m:sSub>
              <m:r>
                <m:rPr>
                  <m:sty m:val="p"/>
                </m:rPr>
                <m:t>+</m:t>
              </m:r>
              <m:r>
                <m:t>Δ</m:t>
              </m:r>
              <m:sSub>
                <m:e>
                  <m:r>
                    <m:t>z</m:t>
                  </m:r>
                </m:e>
                <m:sub>
                  <m:r>
                    <m:t>i</m:t>
                  </m:r>
                </m:sub>
              </m:sSub>
            </m:e>
          </m:d>
          <m:r>
            <m:rPr>
              <m:sty m:val="p"/>
            </m:rPr>
            <m:t>.</m:t>
          </m:r>
        </m:oMath>
      </m:oMathPara>
    </w:p>
    <w:p>
      <w:pPr>
        <w:pStyle w:val="FirstParagraph"/>
      </w:pPr>
      <w:r>
        <w:t xml:space="preserve">In the main text, we derived both the Price equation and the birth-death model from the above.</w:t>
      </w:r>
      <w:r>
        <w:t xml:space="preserve"> </w:t>
      </w:r>
      <w:r>
        <w:t xml:space="preserve">Here we integrate interactions between individuals and demonstrate how this affects population and evolutionary dynamics simultaneously.</w:t>
      </w:r>
      <w:r>
        <w:t xml:space="preserve"> </w:t>
      </w:r>
      <w:r>
        <w:t xml:space="preserve">We can do this in a way that clarifies model assumptions by allowing an individual</w:t>
      </w:r>
      <w:r>
        <w:t xml:space="preserve"> </w:t>
      </w:r>
      <m:oMath>
        <m:r>
          <m:t>j</m:t>
        </m:r>
      </m:oMath>
      <w:r>
        <w:t xml:space="preserve"> </w:t>
      </w:r>
      <w:r>
        <w:t xml:space="preserve">to modulate the birth or death of the focal individual</w:t>
      </w:r>
      <w:r>
        <w:t xml:space="preserve"> </w:t>
      </w:r>
      <m:oMath>
        <m:r>
          <m:t>i</m:t>
        </m:r>
      </m:oMath>
      <w:r>
        <w:t xml:space="preserve">.</w:t>
      </w:r>
      <w:r>
        <w:t xml:space="preserve"> </w:t>
      </w:r>
      <w:r>
        <w:t xml:space="preserve">We will first illustrate how this leads to two separate discrete time models of density depedent population growth, then illustrate how the same starting point can be used to recover Hamilton’s rule in evolutionary ecology.</w:t>
      </w:r>
    </w:p>
    <w:bookmarkStart w:id="21" w:name="density-dependent-population-growth"/>
    <w:p>
      <w:pPr>
        <w:pStyle w:val="Heading1"/>
      </w:pPr>
      <w:r>
        <w:t xml:space="preserve">Density-dependent population growth</w:t>
      </w:r>
    </w:p>
    <w:p>
      <w:pPr>
        <w:pStyle w:val="FirstParagraph"/>
      </w:pPr>
      <w:r>
        <w:t xml:space="preserve">There are two potential ways to model the incorporation of density dependence into population growth.</w:t>
      </w:r>
      <w:r>
        <w:t xml:space="preserve"> </w:t>
      </w:r>
      <w:r>
        <w:t xml:space="preserve">First note that here we set</w:t>
      </w:r>
      <w:r>
        <w:t xml:space="preserve"> </w:t>
      </w:r>
      <m:oMath>
        <m:r>
          <m:t>Ω</m:t>
        </m:r>
        <m:r>
          <m:rPr>
            <m:sty m:val="p"/>
          </m:rPr>
          <m:t>=</m:t>
        </m:r>
        <m:sSub>
          <m:e>
            <m:r>
              <m:t>N</m:t>
            </m:r>
          </m:e>
          <m:sub>
            <m:r>
              <m:t>t</m:t>
            </m:r>
            <m:r>
              <m:rPr>
                <m:sty m:val="p"/>
              </m:rPr>
              <m:t>+</m:t>
            </m:r>
            <m:r>
              <m:t>1</m:t>
            </m:r>
          </m:sub>
        </m:sSub>
      </m:oMath>
      <w:r>
        <w:t xml:space="preserve">, and</w:t>
      </w:r>
      <w:r>
        <w:t xml:space="preserve"> </w:t>
      </w:r>
      <m:oMath>
        <m:sSub>
          <m:e>
            <m:r>
              <m:t>z</m:t>
            </m:r>
          </m:e>
          <m:sub>
            <m:r>
              <m:t>i</m:t>
            </m:r>
          </m:sub>
        </m:sSub>
        <m:r>
          <m:rPr>
            <m:sty m:val="p"/>
          </m:rPr>
          <m:t>=</m:t>
        </m:r>
        <m:r>
          <m:t>1</m:t>
        </m:r>
      </m:oMath>
      <w:r>
        <w:t xml:space="preserve"> </w:t>
      </w:r>
      <w:r>
        <w:t xml:space="preserve">and</w:t>
      </w:r>
      <w:r>
        <w:t xml:space="preserve"> </w:t>
      </w:r>
      <m:oMath>
        <m:r>
          <m:t>Δ</m:t>
        </m:r>
        <m:sSub>
          <m:e>
            <m:r>
              <m:t>z</m:t>
            </m:r>
          </m:e>
          <m:sub>
            <m:r>
              <m:t>i</m:t>
            </m:r>
          </m:sub>
        </m:sSub>
        <m:r>
          <m:rPr>
            <m:sty m:val="p"/>
          </m:rPr>
          <m:t>=</m:t>
        </m:r>
        <m:r>
          <m:t>0</m:t>
        </m:r>
      </m:oMath>
      <w:r>
        <w:t xml:space="preserve"> </w:t>
      </w:r>
      <w:r>
        <w:t xml:space="preserve">for all individuals.</w:t>
      </w:r>
      <w:r>
        <w:t xml:space="preserve"> </w:t>
      </w:r>
      <w:r>
        <w:t xml:space="preserve">We can define</w:t>
      </w:r>
      <w:r>
        <w:t xml:space="preserve"> </w:t>
      </w:r>
      <m:oMath>
        <m:sSub>
          <m:e>
            <m:r>
              <m:t>r</m:t>
            </m:r>
          </m:e>
          <m:sub>
            <m:r>
              <m:t>i</m:t>
            </m:r>
          </m:sub>
        </m:sSub>
        <m:r>
          <m:rPr>
            <m:sty m:val="p"/>
          </m:rPr>
          <m:t>=</m:t>
        </m:r>
        <m:sSub>
          <m:e>
            <m:r>
              <m:t>β</m:t>
            </m:r>
          </m:e>
          <m:sub>
            <m:r>
              <m:t>i</m:t>
            </m:r>
          </m:sub>
        </m:sSub>
        <m:r>
          <m:rPr>
            <m:sty m:val="p"/>
          </m:rPr>
          <m:t>−</m:t>
        </m:r>
        <m:sSub>
          <m:e>
            <m:r>
              <m:t>δ</m:t>
            </m:r>
          </m:e>
          <m:sub>
            <m:r>
              <m:t>i</m:t>
            </m:r>
          </m:sub>
        </m:sSub>
      </m:oMath>
      <w:r>
        <w:t xml:space="preserve"> </w:t>
      </w:r>
      <w:r>
        <w:t xml:space="preserve">as an individual growth rate for</w:t>
      </w:r>
      <w:r>
        <w:t xml:space="preserve"> </w:t>
      </w:r>
      <m:oMath>
        <m:r>
          <m:t>i</m:t>
        </m:r>
      </m:oMath>
      <w:r>
        <w:t xml:space="preserve"> </w:t>
      </w:r>
      <w:r>
        <w:t xml:space="preserve">(</w:t>
      </w:r>
      <w:hyperlink w:anchor="ref-Lion2018">
        <w:r>
          <w:rPr>
            <w:rStyle w:val="Hyperlink"/>
          </w:rPr>
          <w:t xml:space="preserve">Lion 2018</w:t>
        </w:r>
      </w:hyperlink>
      <w:r>
        <w:t xml:space="preserve">;</w:t>
      </w:r>
      <w:r>
        <w:t xml:space="preserve"> </w:t>
      </w:r>
      <w:hyperlink w:anchor="ref-Lion2023">
        <w:r>
          <w:rPr>
            <w:rStyle w:val="Hyperlink"/>
          </w:rPr>
          <w:t xml:space="preserve">Lion, Sasaki, and Boots 2023</w:t>
        </w:r>
      </w:hyperlink>
      <w:r>
        <w:t xml:space="preserve">)</w:t>
      </w:r>
      <w:r>
        <w:t xml:space="preserve">.</w:t>
      </w:r>
      <w:r>
        <w:t xml:space="preserve"> </w:t>
      </w:r>
      <w:r>
        <w:t xml:space="preserve">In this case,</w:t>
      </w:r>
    </w:p>
    <w:p>
      <w:pPr>
        <w:pStyle w:val="BodyText"/>
      </w:pPr>
      <m:oMathPara>
        <m:oMathParaPr>
          <m:jc m:val="center"/>
        </m:oMathParaPr>
        <m:oMath>
          <m:sSub>
            <m:e>
              <m:r>
                <m:t>N</m:t>
              </m:r>
            </m:e>
            <m:sub>
              <m:r>
                <m:t>t</m:t>
              </m:r>
              <m:r>
                <m:rPr>
                  <m:sty m:val="p"/>
                </m:rPr>
                <m:t>+</m:t>
              </m:r>
              <m:r>
                <m:t>1</m:t>
              </m:r>
            </m:sub>
          </m:sSub>
          <m:r>
            <m:rPr>
              <m:sty m:val="p"/>
            </m:rPr>
            <m:t>=</m:t>
          </m:r>
          <m:nary>
            <m:naryPr>
              <m:chr m:val="∑"/>
              <m:limLoc m:val="undOvr"/>
              <m:subHide m:val="off"/>
              <m:supHide m:val="off"/>
            </m:naryPr>
            <m:sub>
              <m:r>
                <m:t>i</m:t>
              </m:r>
              <m:r>
                <m:rPr>
                  <m:sty m:val="p"/>
                </m:rPr>
                <m:t>=</m:t>
              </m:r>
              <m:r>
                <m:t>1</m:t>
              </m:r>
            </m:sub>
            <m:sup>
              <m:sSub>
                <m:e>
                  <m:r>
                    <m:t>N</m:t>
                  </m:r>
                </m:e>
                <m:sub>
                  <m:r>
                    <m:t>t</m:t>
                  </m:r>
                </m:sub>
              </m:sSub>
            </m:sup>
            <m:e>
              <m:d>
                <m:dPr>
                  <m:begChr m:val="("/>
                  <m:endChr m:val=")"/>
                  <m:sepChr m:val=""/>
                  <m:grow/>
                </m:dPr>
                <m:e>
                  <m:sSub>
                    <m:e>
                      <m:r>
                        <m:t>r</m:t>
                      </m:r>
                    </m:e>
                    <m:sub>
                      <m:r>
                        <m:t>i</m:t>
                      </m:r>
                    </m:sub>
                  </m:sSub>
                  <m:r>
                    <m:rPr>
                      <m:sty m:val="p"/>
                    </m:rPr>
                    <m:t>+</m:t>
                  </m:r>
                  <m:r>
                    <m:t>1</m:t>
                  </m:r>
                </m:e>
              </m:d>
            </m:e>
          </m:nary>
        </m:oMath>
      </m:oMathPara>
    </w:p>
    <w:p>
      <w:pPr>
        <w:pStyle w:val="FirstParagraph"/>
      </w:pPr>
      <w:r>
        <w:t xml:space="preserve">Mathematically, the most general approach here would be to define individual growth as a function of the entire system</w:t>
      </w:r>
      <w:r>
        <w:t xml:space="preserve"> </w:t>
      </w:r>
      <m:oMath>
        <m:r>
          <m:rPr>
            <m:sty m:val="b"/>
          </m:rPr>
          <m:t>E</m:t>
        </m:r>
      </m:oMath>
      <w:r>
        <w:t xml:space="preserve">,</w:t>
      </w:r>
      <w:r>
        <w:t xml:space="preserve"> </w:t>
      </w:r>
      <m:oMath>
        <m:sSub>
          <m:e>
            <m:r>
              <m:t>r</m:t>
            </m:r>
          </m:e>
          <m:sub>
            <m:r>
              <m:t>i</m:t>
            </m:r>
          </m:sub>
        </m:sSub>
        <m:d>
          <m:dPr>
            <m:begChr m:val="("/>
            <m:endChr m:val=")"/>
            <m:sepChr m:val=""/>
            <m:grow/>
          </m:dPr>
          <m:e>
            <m:r>
              <m:rPr>
                <m:sty m:val="b"/>
              </m:rPr>
              <m:t>E</m:t>
            </m:r>
          </m:e>
        </m:d>
      </m:oMath>
      <w:r>
        <w:t xml:space="preserve">, where</w:t>
      </w:r>
      <w:r>
        <w:t xml:space="preserve"> </w:t>
      </w:r>
      <m:oMath>
        <m:r>
          <m:rPr>
            <m:sty m:val="b"/>
          </m:rPr>
          <m:t>E</m:t>
        </m:r>
      </m:oMath>
      <w:r>
        <w:t xml:space="preserve"> </w:t>
      </w:r>
      <w:r>
        <w:t xml:space="preserve">is a vector with elements including any parameters potentially relevant to</w:t>
      </w:r>
      <w:r>
        <w:t xml:space="preserve"> </w:t>
      </w:r>
      <m:oMath>
        <m:sSub>
          <m:e>
            <m:r>
              <m:t>r</m:t>
            </m:r>
          </m:e>
          <m:sub>
            <m:r>
              <m:t>i</m:t>
            </m:r>
          </m:sub>
        </m:sSub>
      </m:oMath>
      <w:r>
        <w:t xml:space="preserve">.</w:t>
      </w:r>
      <w:r>
        <w:t xml:space="preserve"> </w:t>
      </w:r>
      <w:r>
        <w:t xml:space="preserve">Taking this approach would recover a version of eqn 2 in</w:t>
      </w:r>
      <w:r>
        <w:t xml:space="preserve"> </w:t>
      </w:r>
      <w:r>
        <w:t xml:space="preserve">Lion (</w:t>
      </w:r>
      <w:hyperlink w:anchor="ref-Lion2018">
        <w:r>
          <w:rPr>
            <w:rStyle w:val="Hyperlink"/>
          </w:rPr>
          <w:t xml:space="preserve">2018</w:t>
        </w:r>
      </w:hyperlink>
      <w:r>
        <w:t xml:space="preserve">)</w:t>
      </w:r>
      <w:r>
        <w:t xml:space="preserve"> </w:t>
      </w:r>
      <w:r>
        <w:t xml:space="preserve">and permit any relationship between the system and a focal individual’s growth.</w:t>
      </w:r>
      <w:r>
        <w:t xml:space="preserve"> </w:t>
      </w:r>
      <w:r>
        <w:t xml:space="preserve">Focusing on effects of other individuals (</w:t>
      </w:r>
      <m:oMath>
        <m:r>
          <m:t>j</m:t>
        </m:r>
      </m:oMath>
      <w:r>
        <w:t xml:space="preserve">) and assuming that the effects of these individuals are additive, let</w:t>
      </w:r>
      <w:r>
        <w:t xml:space="preserve"> </w:t>
      </w:r>
      <m:oMath>
        <m:sSub>
          <m:e>
            <m:r>
              <m:t>a</m:t>
            </m:r>
          </m:e>
          <m:sub>
            <m:r>
              <m:t>i</m:t>
            </m:r>
            <m:r>
              <m:t>j</m:t>
            </m:r>
            <m:r>
              <m:rPr>
                <m:sty m:val="p"/>
              </m:rPr>
              <m:t>|</m:t>
            </m:r>
            <m:r>
              <m:rPr>
                <m:sty m:val="p"/>
              </m:rPr>
              <m:t>⋅</m:t>
            </m:r>
          </m:sub>
        </m:sSub>
      </m:oMath>
      <w:r>
        <w:t xml:space="preserve"> </w:t>
      </w:r>
      <w:r>
        <w:t xml:space="preserve">be the effect of individual</w:t>
      </w:r>
      <w:r>
        <w:t xml:space="preserve"> </w:t>
      </w:r>
      <m:oMath>
        <m:r>
          <m:t>j</m:t>
        </m:r>
      </m:oMath>
      <w:r>
        <w:t xml:space="preserve"> </w:t>
      </w:r>
      <w:r>
        <w:t xml:space="preserve">on the growth rate attributable to</w:t>
      </w:r>
      <w:r>
        <w:t xml:space="preserve"> </w:t>
      </w:r>
      <m:oMath>
        <m:r>
          <m:t>i</m:t>
        </m:r>
      </m:oMath>
      <w:r>
        <w:t xml:space="preserve"> </w:t>
      </w:r>
      <w:r>
        <w:t xml:space="preserve">conditioned on all other individuals within the population such that</w:t>
      </w:r>
      <w:r>
        <w:t xml:space="preserve"> </w:t>
      </w:r>
      <m:oMath>
        <m:sSub>
          <m:e>
            <m:r>
              <m:t>r</m:t>
            </m:r>
          </m:e>
          <m:sub>
            <m:r>
              <m:t>i</m:t>
            </m:r>
          </m:sub>
        </m:sSub>
        <m:d>
          <m:dPr>
            <m:begChr m:val="("/>
            <m:endChr m:val=")"/>
            <m:sepChr m:val=""/>
            <m:grow/>
          </m:dPr>
          <m:e>
            <m:r>
              <m:t>1</m:t>
            </m:r>
            <m:r>
              <m:rPr>
                <m:sty m:val="p"/>
              </m:rPr>
              <m:t>+</m:t>
            </m:r>
            <m:nary>
              <m:naryPr>
                <m:chr m:val="∑"/>
                <m:limLoc m:val="undOvr"/>
                <m:subHide m:val="off"/>
                <m:supHide m:val="off"/>
              </m:naryPr>
              <m:sub>
                <m:r>
                  <m:t>i</m:t>
                </m:r>
                <m:r>
                  <m:rPr>
                    <m:sty m:val="p"/>
                  </m:rPr>
                  <m:t>=</m:t>
                </m:r>
                <m:r>
                  <m:t>j</m:t>
                </m:r>
              </m:sub>
              <m:sup>
                <m:r>
                  <m:t>N</m:t>
                </m:r>
              </m:sup>
              <m:e>
                <m:sSub>
                  <m:e>
                    <m:r>
                      <m:t>a</m:t>
                    </m:r>
                  </m:e>
                  <m:sub>
                    <m:r>
                      <m:t>i</m:t>
                    </m:r>
                    <m:r>
                      <m:t>j</m:t>
                    </m:r>
                    <m:r>
                      <m:rPr>
                        <m:sty m:val="p"/>
                      </m:rPr>
                      <m:t>|</m:t>
                    </m:r>
                    <m:r>
                      <m:rPr>
                        <m:sty m:val="p"/>
                      </m:rPr>
                      <m:t>⋅</m:t>
                    </m:r>
                  </m:sub>
                </m:sSub>
              </m:e>
            </m:nary>
          </m:e>
        </m:d>
      </m:oMath>
      <w:r>
        <w:t xml:space="preserve"> </w:t>
      </w:r>
      <w:r>
        <w:t xml:space="preserve">defines the realised growth rate of</w:t>
      </w:r>
      <w:r>
        <w:t xml:space="preserve"> </w:t>
      </w:r>
      <m:oMath>
        <m:r>
          <m:t>i</m:t>
        </m:r>
      </m:oMath>
      <w:r>
        <w:t xml:space="preserve">,</w:t>
      </w:r>
    </w:p>
    <w:p>
      <w:pPr>
        <w:pStyle w:val="BodyText"/>
      </w:pPr>
      <m:oMathPara>
        <m:oMathParaPr>
          <m:jc m:val="center"/>
        </m:oMathParaPr>
        <m:oMath>
          <m:sSub>
            <m:e>
              <m:r>
                <m:t>N</m:t>
              </m:r>
            </m:e>
            <m:sub>
              <m:r>
                <m:t>t</m:t>
              </m:r>
              <m:r>
                <m:rPr>
                  <m:sty m:val="p"/>
                </m:rPr>
                <m:t>+</m:t>
              </m:r>
              <m:r>
                <m:t>1</m:t>
              </m:r>
            </m:sub>
          </m:sSub>
          <m:r>
            <m:rPr>
              <m:sty m:val="p"/>
            </m:rPr>
            <m:t>=</m:t>
          </m:r>
          <m:nary>
            <m:naryPr>
              <m:chr m:val="∑"/>
              <m:limLoc m:val="undOvr"/>
              <m:subHide m:val="off"/>
              <m:supHide m:val="off"/>
            </m:naryPr>
            <m:sub>
              <m:r>
                <m:t>i</m:t>
              </m:r>
              <m:r>
                <m:rPr>
                  <m:sty m:val="p"/>
                </m:rPr>
                <m:t>=</m:t>
              </m:r>
              <m:r>
                <m:t>1</m:t>
              </m:r>
            </m:sub>
            <m:sup>
              <m:sSub>
                <m:e>
                  <m:r>
                    <m:t>N</m:t>
                  </m:r>
                </m:e>
                <m:sub>
                  <m:r>
                    <m:t>t</m:t>
                  </m:r>
                </m:sub>
              </m:sSub>
            </m:sup>
            <m:e>
              <m:d>
                <m:dPr>
                  <m:begChr m:val="("/>
                  <m:endChr m:val=")"/>
                  <m:sepChr m:val=""/>
                  <m:grow/>
                </m:dPr>
                <m:e>
                  <m:sSub>
                    <m:e>
                      <m:r>
                        <m:t>r</m:t>
                      </m:r>
                    </m:e>
                    <m:sub>
                      <m:r>
                        <m:t>i</m:t>
                      </m:r>
                    </m:sub>
                  </m:sSub>
                  <m:d>
                    <m:dPr>
                      <m:begChr m:val="("/>
                      <m:endChr m:val=")"/>
                      <m:sepChr m:val=""/>
                      <m:grow/>
                    </m:dPr>
                    <m:e>
                      <m:r>
                        <m:t>1</m:t>
                      </m:r>
                      <m:r>
                        <m:rPr>
                          <m:sty m:val="p"/>
                        </m:rPr>
                        <m:t>−</m:t>
                      </m:r>
                      <m:nary>
                        <m:naryPr>
                          <m:chr m:val="∑"/>
                          <m:limLoc m:val="undOvr"/>
                          <m:subHide m:val="off"/>
                          <m:supHide m:val="off"/>
                        </m:naryPr>
                        <m:sub>
                          <m:r>
                            <m:t>i</m:t>
                          </m:r>
                          <m:r>
                            <m:rPr>
                              <m:sty m:val="p"/>
                            </m:rPr>
                            <m:t>=</m:t>
                          </m:r>
                          <m:r>
                            <m:t>j</m:t>
                          </m:r>
                        </m:sub>
                        <m:sup>
                          <m:sSub>
                            <m:e>
                              <m:r>
                                <m:t>N</m:t>
                              </m:r>
                            </m:e>
                            <m:sub>
                              <m:r>
                                <m:t>t</m:t>
                              </m:r>
                            </m:sub>
                          </m:sSub>
                        </m:sup>
                        <m:e>
                          <m:sSub>
                            <m:e>
                              <m:r>
                                <m:t>a</m:t>
                              </m:r>
                            </m:e>
                            <m:sub>
                              <m:r>
                                <m:t>i</m:t>
                              </m:r>
                              <m:r>
                                <m:t>j</m:t>
                              </m:r>
                              <m:r>
                                <m:rPr>
                                  <m:sty m:val="p"/>
                                </m:rPr>
                                <m:t>|</m:t>
                              </m:r>
                              <m:r>
                                <m:rPr>
                                  <m:sty m:val="p"/>
                                </m:rPr>
                                <m:t>⋅</m:t>
                              </m:r>
                            </m:sub>
                          </m:sSub>
                        </m:e>
                      </m:nary>
                    </m:e>
                  </m:d>
                  <m:r>
                    <m:rPr>
                      <m:sty m:val="p"/>
                    </m:rPr>
                    <m:t>+</m:t>
                  </m:r>
                  <m:r>
                    <m:t>1</m:t>
                  </m:r>
                </m:e>
              </m:d>
            </m:e>
          </m:nary>
          <m:r>
            <m:rPr>
              <m:sty m:val="p"/>
            </m:rPr>
            <m:t>.</m:t>
          </m:r>
        </m:oMath>
      </m:oMathPara>
    </w:p>
    <w:p>
      <w:pPr>
        <w:pStyle w:val="FirstParagraph"/>
      </w:pPr>
      <w:r>
        <w:t xml:space="preserve">Assuming that individual effects of</w:t>
      </w:r>
      <w:r>
        <w:t xml:space="preserve"> </w:t>
      </w:r>
      <m:oMath>
        <m:r>
          <m:t>j</m:t>
        </m:r>
      </m:oMath>
      <w:r>
        <w:t xml:space="preserve"> </w:t>
      </w:r>
      <w:r>
        <w:t xml:space="preserve">on</w:t>
      </w:r>
      <w:r>
        <w:t xml:space="preserve"> </w:t>
      </w:r>
      <m:oMath>
        <m:r>
          <m:t>i</m:t>
        </m:r>
      </m:oMath>
      <w:r>
        <w:t xml:space="preserve"> </w:t>
      </w:r>
      <w:r>
        <w:t xml:space="preserve">are also independent, we can remove the condition,</w:t>
      </w:r>
    </w:p>
    <w:p>
      <w:pPr>
        <w:pStyle w:val="BodyText"/>
      </w:pPr>
      <m:oMathPara>
        <m:oMathParaPr>
          <m:jc m:val="center"/>
        </m:oMathParaPr>
        <m:oMath>
          <m:sSub>
            <m:e>
              <m:r>
                <m:t>N</m:t>
              </m:r>
            </m:e>
            <m:sub>
              <m:r>
                <m:t>t</m:t>
              </m:r>
              <m:r>
                <m:rPr>
                  <m:sty m:val="p"/>
                </m:rPr>
                <m:t>+</m:t>
              </m:r>
              <m:r>
                <m:t>1</m:t>
              </m:r>
            </m:sub>
          </m:sSub>
          <m:r>
            <m:rPr>
              <m:sty m:val="p"/>
            </m:rPr>
            <m:t>=</m:t>
          </m:r>
          <m:nary>
            <m:naryPr>
              <m:chr m:val="∑"/>
              <m:limLoc m:val="undOvr"/>
              <m:subHide m:val="off"/>
              <m:supHide m:val="off"/>
            </m:naryPr>
            <m:sub>
              <m:r>
                <m:t>i</m:t>
              </m:r>
              <m:r>
                <m:rPr>
                  <m:sty m:val="p"/>
                </m:rPr>
                <m:t>=</m:t>
              </m:r>
              <m:r>
                <m:t>1</m:t>
              </m:r>
            </m:sub>
            <m:sup>
              <m:sSub>
                <m:e>
                  <m:r>
                    <m:t>N</m:t>
                  </m:r>
                </m:e>
                <m:sub>
                  <m:r>
                    <m:t>t</m:t>
                  </m:r>
                </m:sub>
              </m:sSub>
            </m:sup>
            <m:e>
              <m:d>
                <m:dPr>
                  <m:begChr m:val="("/>
                  <m:endChr m:val=")"/>
                  <m:sepChr m:val=""/>
                  <m:grow/>
                </m:dPr>
                <m:e>
                  <m:sSub>
                    <m:e>
                      <m:r>
                        <m:t>r</m:t>
                      </m:r>
                    </m:e>
                    <m:sub>
                      <m:r>
                        <m:t>i</m:t>
                      </m:r>
                    </m:sub>
                  </m:sSub>
                  <m:d>
                    <m:dPr>
                      <m:begChr m:val="("/>
                      <m:endChr m:val=")"/>
                      <m:sepChr m:val=""/>
                      <m:grow/>
                    </m:dPr>
                    <m:e>
                      <m:r>
                        <m:t>1</m:t>
                      </m:r>
                      <m:r>
                        <m:rPr>
                          <m:sty m:val="p"/>
                        </m:rPr>
                        <m:t>−</m:t>
                      </m:r>
                      <m:nary>
                        <m:naryPr>
                          <m:chr m:val="∑"/>
                          <m:limLoc m:val="undOvr"/>
                          <m:subHide m:val="off"/>
                          <m:supHide m:val="off"/>
                        </m:naryPr>
                        <m:sub>
                          <m:r>
                            <m:t>i</m:t>
                          </m:r>
                          <m:r>
                            <m:rPr>
                              <m:sty m:val="p"/>
                            </m:rPr>
                            <m:t>=</m:t>
                          </m:r>
                          <m:r>
                            <m:t>j</m:t>
                          </m:r>
                        </m:sub>
                        <m:sup>
                          <m:sSub>
                            <m:e>
                              <m:r>
                                <m:t>N</m:t>
                              </m:r>
                            </m:e>
                            <m:sub>
                              <m:r>
                                <m:t>t</m:t>
                              </m:r>
                            </m:sub>
                          </m:sSub>
                        </m:sup>
                        <m:e>
                          <m:sSub>
                            <m:e>
                              <m:r>
                                <m:t>a</m:t>
                              </m:r>
                            </m:e>
                            <m:sub>
                              <m:r>
                                <m:t>i</m:t>
                              </m:r>
                              <m:r>
                                <m:t>j</m:t>
                              </m:r>
                            </m:sub>
                          </m:sSub>
                        </m:e>
                      </m:nary>
                    </m:e>
                  </m:d>
                  <m:r>
                    <m:rPr>
                      <m:sty m:val="p"/>
                    </m:rPr>
                    <m:t>+</m:t>
                  </m:r>
                  <m:r>
                    <m:t>1</m:t>
                  </m:r>
                </m:e>
              </m:d>
            </m:e>
          </m:nary>
          <m:r>
            <m:rPr>
              <m:sty m:val="p"/>
            </m:rPr>
            <m:t>.</m:t>
          </m:r>
        </m:oMath>
      </m:oMathPara>
    </w:p>
    <w:p>
      <w:pPr>
        <w:pStyle w:val="FirstParagraph"/>
      </w:pPr>
      <w:r>
        <w:t xml:space="preserve">Further assuming that all individuals have the same per capita effect such that</w:t>
      </w:r>
      <w:r>
        <w:t xml:space="preserve"> </w:t>
      </w:r>
      <m:oMath>
        <m:r>
          <m:t>α</m:t>
        </m:r>
        <m:r>
          <m:rPr>
            <m:sty m:val="p"/>
          </m:rPr>
          <m:t>=</m:t>
        </m:r>
        <m:sSub>
          <m:e>
            <m:r>
              <m:t>a</m:t>
            </m:r>
          </m:e>
          <m:sub>
            <m:r>
              <m:t>i</m:t>
            </m:r>
            <m:r>
              <m:t>j</m:t>
            </m:r>
          </m:sub>
        </m:sSub>
      </m:oMath>
      <w:r>
        <w:t xml:space="preserve"> </w:t>
      </w:r>
      <w:r>
        <w:t xml:space="preserve">for any</w:t>
      </w:r>
      <w:r>
        <w:t xml:space="preserve"> </w:t>
      </w:r>
      <m:oMath>
        <m:r>
          <m:t>i</m:t>
        </m:r>
      </m:oMath>
      <w:r>
        <w:t xml:space="preserve"> </w:t>
      </w:r>
      <w:r>
        <w:t xml:space="preserve">and</w:t>
      </w:r>
      <w:r>
        <w:t xml:space="preserve"> </w:t>
      </w:r>
      <m:oMath>
        <m:r>
          <m:t>j</m:t>
        </m:r>
      </m:oMath>
      <w:r>
        <w:t xml:space="preserve"> </w:t>
      </w:r>
      <w:r>
        <w:t xml:space="preserve">pair (as might be reasonable given resource competition in a well-mixed population),</w:t>
      </w:r>
    </w:p>
    <w:p>
      <w:pPr>
        <w:pStyle w:val="BodyText"/>
      </w:pPr>
      <m:oMathPara>
        <m:oMathParaPr>
          <m:jc m:val="center"/>
        </m:oMathParaPr>
        <m:oMath>
          <m:sSub>
            <m:e>
              <m:r>
                <m:t>N</m:t>
              </m:r>
            </m:e>
            <m:sub>
              <m:r>
                <m:t>t</m:t>
              </m:r>
              <m:r>
                <m:rPr>
                  <m:sty m:val="p"/>
                </m:rPr>
                <m:t>+</m:t>
              </m:r>
              <m:r>
                <m:t>1</m:t>
              </m:r>
            </m:sub>
          </m:sSub>
          <m:r>
            <m:rPr>
              <m:sty m:val="p"/>
            </m:rPr>
            <m:t>=</m:t>
          </m:r>
          <m:nary>
            <m:naryPr>
              <m:chr m:val="∑"/>
              <m:limLoc m:val="undOvr"/>
              <m:subHide m:val="off"/>
              <m:supHide m:val="off"/>
            </m:naryPr>
            <m:sub>
              <m:r>
                <m:t>i</m:t>
              </m:r>
              <m:r>
                <m:rPr>
                  <m:sty m:val="p"/>
                </m:rPr>
                <m:t>=</m:t>
              </m:r>
              <m:r>
                <m:t>1</m:t>
              </m:r>
            </m:sub>
            <m:sup>
              <m:sSub>
                <m:e>
                  <m:r>
                    <m:t>N</m:t>
                  </m:r>
                </m:e>
                <m:sub>
                  <m:r>
                    <m:t>t</m:t>
                  </m:r>
                </m:sub>
              </m:sSub>
            </m:sup>
            <m:e>
              <m:d>
                <m:dPr>
                  <m:begChr m:val="("/>
                  <m:endChr m:val=")"/>
                  <m:sepChr m:val=""/>
                  <m:grow/>
                </m:dPr>
                <m:e>
                  <m:sSub>
                    <m:e>
                      <m:r>
                        <m:t>r</m:t>
                      </m:r>
                    </m:e>
                    <m:sub>
                      <m:r>
                        <m:t>i</m:t>
                      </m:r>
                    </m:sub>
                  </m:sSub>
                  <m:d>
                    <m:dPr>
                      <m:begChr m:val="("/>
                      <m:endChr m:val=")"/>
                      <m:sepChr m:val=""/>
                      <m:grow/>
                    </m:dPr>
                    <m:e>
                      <m:r>
                        <m:t>1</m:t>
                      </m:r>
                      <m:r>
                        <m:rPr>
                          <m:sty m:val="p"/>
                        </m:rPr>
                        <m:t>−</m:t>
                      </m:r>
                      <m:r>
                        <m:t>α</m:t>
                      </m:r>
                      <m:sSub>
                        <m:e>
                          <m:r>
                            <m:t>N</m:t>
                          </m:r>
                        </m:e>
                        <m:sub>
                          <m:r>
                            <m:t>t</m:t>
                          </m:r>
                        </m:sub>
                      </m:sSub>
                    </m:e>
                  </m:d>
                  <m:r>
                    <m:rPr>
                      <m:sty m:val="p"/>
                    </m:rPr>
                    <m:t>+</m:t>
                  </m:r>
                  <m:r>
                    <m:t>1</m:t>
                  </m:r>
                </m:e>
              </m:d>
            </m:e>
          </m:nary>
          <m:r>
            <m:rPr>
              <m:sty m:val="p"/>
            </m:rPr>
            <m:t>.</m:t>
          </m:r>
        </m:oMath>
      </m:oMathPara>
    </w:p>
    <w:p>
      <w:pPr>
        <w:pStyle w:val="FirstParagraph"/>
      </w:pPr>
      <w:r>
        <w:t xml:space="preserve">If</w:t>
      </w:r>
      <w:r>
        <w:t xml:space="preserve"> </w:t>
      </w:r>
      <m:oMath>
        <m:sSub>
          <m:e>
            <m:r>
              <m:t>r</m:t>
            </m:r>
          </m:e>
          <m:sub>
            <m:r>
              <m:t>i</m:t>
            </m:r>
          </m:sub>
        </m:sSub>
      </m:oMath>
      <w:r>
        <w:t xml:space="preserve"> </w:t>
      </w:r>
      <w:r>
        <w:t xml:space="preserve">values are identical,</w:t>
      </w:r>
    </w:p>
    <w:p>
      <w:pPr>
        <w:pStyle w:val="BodyText"/>
      </w:pPr>
      <m:oMathPara>
        <m:oMathParaPr>
          <m:jc m:val="center"/>
        </m:oMathParaPr>
        <m:oMath>
          <m:sSub>
            <m:e>
              <m:r>
                <m:t>N</m:t>
              </m:r>
            </m:e>
            <m:sub>
              <m:r>
                <m:t>t</m:t>
              </m:r>
              <m:r>
                <m:rPr>
                  <m:sty m:val="p"/>
                </m:rPr>
                <m:t>+</m:t>
              </m:r>
              <m:r>
                <m:t>1</m:t>
              </m:r>
            </m:sub>
          </m:sSub>
          <m:r>
            <m:rPr>
              <m:sty m:val="p"/>
            </m:rPr>
            <m:t>=</m:t>
          </m:r>
          <m:sSub>
            <m:e>
              <m:r>
                <m:t>N</m:t>
              </m:r>
            </m:e>
            <m:sub>
              <m:r>
                <m:t>t</m:t>
              </m:r>
            </m:sub>
          </m:sSub>
          <m:r>
            <m:rPr>
              <m:sty m:val="p"/>
            </m:rPr>
            <m:t>+</m:t>
          </m:r>
          <m:r>
            <m:t>r</m:t>
          </m:r>
          <m:sSub>
            <m:e>
              <m:r>
                <m:t>N</m:t>
              </m:r>
            </m:e>
            <m:sub>
              <m:r>
                <m:t>t</m:t>
              </m:r>
            </m:sub>
          </m:sSub>
          <m:d>
            <m:dPr>
              <m:begChr m:val="("/>
              <m:endChr m:val=")"/>
              <m:sepChr m:val=""/>
              <m:grow/>
            </m:dPr>
            <m:e>
              <m:r>
                <m:t>1</m:t>
              </m:r>
              <m:r>
                <m:rPr>
                  <m:sty m:val="p"/>
                </m:rPr>
                <m:t>−</m:t>
              </m:r>
              <m:r>
                <m:t>α</m:t>
              </m:r>
              <m:sSub>
                <m:e>
                  <m:r>
                    <m:t>N</m:t>
                  </m:r>
                </m:e>
                <m:sub>
                  <m:r>
                    <m:t>t</m:t>
                  </m:r>
                </m:sub>
              </m:sSub>
            </m:e>
          </m:d>
          <m:r>
            <m:rPr>
              <m:sty m:val="p"/>
            </m:rPr>
            <m:t>.</m:t>
          </m:r>
        </m:oMath>
      </m:oMathPara>
    </w:p>
    <w:p>
      <w:pPr>
        <w:pStyle w:val="FirstParagraph"/>
      </w:pPr>
      <w:r>
        <w:t xml:space="preserve">Equation S3 therefore recovers a classic version of a discrete time logistic growth by making assumptions from an exact model of eco-evolutionary change.</w:t>
      </w:r>
      <w:r>
        <w:t xml:space="preserve"> </w:t>
      </w:r>
      <w:r>
        <w:t xml:space="preserve">An alternative approach would be to define model the effects</w:t>
      </w:r>
      <w:r>
        <w:t xml:space="preserve"> </w:t>
      </w:r>
      <m:oMath>
        <m:sSub>
          <m:e>
            <m:r>
              <m:t>e</m:t>
            </m:r>
          </m:e>
          <m:sub>
            <m:r>
              <m:t>i</m:t>
            </m:r>
            <m:r>
              <m:t>j</m:t>
            </m:r>
          </m:sub>
        </m:sSub>
      </m:oMath>
      <w:r>
        <w:t xml:space="preserve"> </w:t>
      </w:r>
      <w:r>
        <w:t xml:space="preserve">an individual</w:t>
      </w:r>
      <w:r>
        <w:t xml:space="preserve"> </w:t>
      </w:r>
      <m:oMath>
        <m:r>
          <m:t>j</m:t>
        </m:r>
      </m:oMath>
      <w:r>
        <w:t xml:space="preserve"> </w:t>
      </w:r>
      <w:r>
        <w:t xml:space="preserve">on the fitness of</w:t>
      </w:r>
      <w:r>
        <w:t xml:space="preserve"> </w:t>
      </w:r>
      <m:oMath>
        <m:r>
          <m:t>i</m:t>
        </m:r>
      </m:oMath>
      <w:r>
        <w:t xml:space="preserve"> </w:t>
      </w:r>
      <w:r>
        <w:t xml:space="preserve">(</w:t>
      </w:r>
      <m:oMath>
        <m:sSub>
          <m:e>
            <m:r>
              <m:t>w</m:t>
            </m:r>
          </m:e>
          <m:sub>
            <m:r>
              <m:t>i</m:t>
            </m:r>
          </m:sub>
        </m:sSub>
      </m:oMath>
      <w:r>
        <w:t xml:space="preserve">), thereby replacing eqn S1 with</w:t>
      </w:r>
      <w:r>
        <w:t xml:space="preserve"> </w:t>
      </w:r>
      <m:oMath>
        <m:sSub>
          <m:e>
            <m:r>
              <m:t>N</m:t>
            </m:r>
          </m:e>
          <m:sub>
            <m:r>
              <m:t>t</m:t>
            </m:r>
            <m:r>
              <m:rPr>
                <m:sty m:val="p"/>
              </m:rPr>
              <m:t>+</m:t>
            </m:r>
            <m:r>
              <m:t>1</m:t>
            </m:r>
          </m:sub>
        </m:sSub>
        <m:r>
          <m:rPr>
            <m:sty m:val="p"/>
          </m:rPr>
          <m:t>=</m:t>
        </m:r>
        <m:nary>
          <m:naryPr>
            <m:chr m:val="∑"/>
            <m:limLoc m:val="undOvr"/>
            <m:subHide m:val="off"/>
            <m:supHide m:val="off"/>
          </m:naryPr>
          <m:sub>
            <m:r>
              <m:t>i</m:t>
            </m:r>
            <m:r>
              <m:rPr>
                <m:sty m:val="p"/>
              </m:rPr>
              <m:t>=</m:t>
            </m:r>
            <m:r>
              <m:t>1</m:t>
            </m:r>
          </m:sub>
          <m:sup>
            <m:sSub>
              <m:e>
                <m:r>
                  <m:t>N</m:t>
                </m:r>
              </m:e>
              <m:sub>
                <m:r>
                  <m:t>t</m:t>
                </m:r>
              </m:sub>
            </m:sSub>
          </m:sup>
          <m:e>
            <m:sSub>
              <m:e>
                <m:r>
                  <m:t>w</m:t>
                </m:r>
              </m:e>
              <m:sub>
                <m:r>
                  <m:t>i</m:t>
                </m:r>
              </m:sub>
            </m:sSub>
          </m:e>
        </m:nary>
      </m:oMath>
      <w:r>
        <w:t xml:space="preserve"> </w:t>
      </w:r>
      <w:r>
        <w:t xml:space="preserve">and replacing eqn S2 with,</w:t>
      </w:r>
    </w:p>
    <w:p>
      <w:pPr>
        <w:pStyle w:val="BodyText"/>
      </w:pPr>
      <m:oMathPara>
        <m:oMathParaPr>
          <m:jc m:val="center"/>
        </m:oMathParaPr>
        <m:oMath>
          <m:sSub>
            <m:e>
              <m:r>
                <m:t>N</m:t>
              </m:r>
            </m:e>
            <m:sub>
              <m:r>
                <m:t>t</m:t>
              </m:r>
              <m:r>
                <m:rPr>
                  <m:sty m:val="p"/>
                </m:rPr>
                <m:t>+</m:t>
              </m:r>
              <m:r>
                <m:t>1</m:t>
              </m:r>
            </m:sub>
          </m:sSub>
          <m:r>
            <m:rPr>
              <m:sty m:val="p"/>
            </m:rPr>
            <m:t>=</m:t>
          </m:r>
          <m:nary>
            <m:naryPr>
              <m:chr m:val="∑"/>
              <m:limLoc m:val="undOvr"/>
              <m:subHide m:val="off"/>
              <m:supHide m:val="off"/>
            </m:naryPr>
            <m:sub>
              <m:r>
                <m:t>i</m:t>
              </m:r>
              <m:r>
                <m:rPr>
                  <m:sty m:val="p"/>
                </m:rPr>
                <m:t>=</m:t>
              </m:r>
              <m:r>
                <m:t>1</m:t>
              </m:r>
            </m:sub>
            <m:sup>
              <m:sSub>
                <m:e>
                  <m:r>
                    <m:t>N</m:t>
                  </m:r>
                </m:e>
                <m:sub>
                  <m:r>
                    <m:t>t</m:t>
                  </m:r>
                </m:sub>
              </m:sSub>
            </m:sup>
            <m:e>
              <m:sSub>
                <m:e>
                  <m:r>
                    <m:t>w</m:t>
                  </m:r>
                </m:e>
                <m:sub>
                  <m:r>
                    <m:t>i</m:t>
                  </m:r>
                </m:sub>
              </m:sSub>
            </m:e>
          </m:nary>
          <m:d>
            <m:dPr>
              <m:begChr m:val="("/>
              <m:endChr m:val=")"/>
              <m:sepChr m:val=""/>
              <m:grow/>
            </m:dPr>
            <m:e>
              <m:r>
                <m:t>1</m:t>
              </m:r>
              <m:r>
                <m:rPr>
                  <m:sty m:val="p"/>
                </m:rPr>
                <m:t>−</m:t>
              </m:r>
              <m:nary>
                <m:naryPr>
                  <m:chr m:val="∑"/>
                  <m:limLoc m:val="undOvr"/>
                  <m:subHide m:val="off"/>
                  <m:supHide m:val="off"/>
                </m:naryPr>
                <m:sub>
                  <m:r>
                    <m:t>i</m:t>
                  </m:r>
                  <m:r>
                    <m:rPr>
                      <m:sty m:val="p"/>
                    </m:rPr>
                    <m:t>=</m:t>
                  </m:r>
                  <m:r>
                    <m:t>j</m:t>
                  </m:r>
                </m:sub>
                <m:sup>
                  <m:sSub>
                    <m:e>
                      <m:r>
                        <m:t>N</m:t>
                      </m:r>
                    </m:e>
                    <m:sub>
                      <m:r>
                        <m:t>t</m:t>
                      </m:r>
                    </m:sub>
                  </m:sSub>
                </m:sup>
                <m:e>
                  <m:sSub>
                    <m:e>
                      <m:r>
                        <m:t>e</m:t>
                      </m:r>
                    </m:e>
                    <m:sub>
                      <m:r>
                        <m:t>i</m:t>
                      </m:r>
                      <m:r>
                        <m:t>j</m:t>
                      </m:r>
                      <m:r>
                        <m:rPr>
                          <m:sty m:val="p"/>
                        </m:rPr>
                        <m:t>|</m:t>
                      </m:r>
                      <m:r>
                        <m:rPr>
                          <m:sty m:val="p"/>
                        </m:rPr>
                        <m:t>⋅</m:t>
                      </m:r>
                    </m:sub>
                  </m:sSub>
                </m:e>
              </m:nary>
            </m:e>
          </m:d>
          <m:r>
            <m:rPr>
              <m:sty m:val="p"/>
            </m:rPr>
            <m:t>.</m:t>
          </m:r>
        </m:oMath>
      </m:oMathPara>
    </w:p>
    <w:p>
      <w:pPr>
        <w:pStyle w:val="FirstParagraph"/>
      </w:pPr>
      <w:r>
        <w:t xml:space="preserve">By making the same assumptions of additivity, independence, and identical effects such that</w:t>
      </w:r>
      <w:r>
        <w:t xml:space="preserve"> </w:t>
      </w:r>
      <m:oMath>
        <m:sSub>
          <m:e>
            <m:r>
              <m:t>e</m:t>
            </m:r>
          </m:e>
          <m:sub>
            <m:r>
              <m:t>i</m:t>
            </m:r>
            <m:r>
              <m:t>j</m:t>
            </m:r>
          </m:sub>
        </m:sSub>
        <m:r>
          <m:rPr>
            <m:sty m:val="p"/>
          </m:rPr>
          <m:t>=</m:t>
        </m:r>
        <m:r>
          <m:t>ϵ</m:t>
        </m:r>
      </m:oMath>
      <w:r>
        <w:t xml:space="preserve"> </w:t>
      </w:r>
      <w:r>
        <w:t xml:space="preserve">for all</w:t>
      </w:r>
      <w:r>
        <w:t xml:space="preserve"> </w:t>
      </w:r>
      <m:oMath>
        <m:r>
          <m:t>j</m:t>
        </m:r>
      </m:oMath>
      <w:r>
        <w:t xml:space="preserve"> </w:t>
      </w:r>
      <w:r>
        <w:t xml:space="preserve">on</w:t>
      </w:r>
      <w:r>
        <w:t xml:space="preserve"> </w:t>
      </w:r>
      <m:oMath>
        <m:r>
          <m:t>i</m:t>
        </m:r>
      </m:oMath>
      <w:r>
        <w:t xml:space="preserve">, and assuming fitness is equal (</w:t>
      </w:r>
      <m:oMath>
        <m:sSub>
          <m:e>
            <m:r>
              <m:t>w</m:t>
            </m:r>
          </m:e>
          <m:sub>
            <m:r>
              <m:t>i</m:t>
            </m:r>
          </m:sub>
        </m:sSub>
        <m:r>
          <m:rPr>
            <m:sty m:val="p"/>
          </m:rPr>
          <m:t>=</m:t>
        </m:r>
        <m:r>
          <m:t>w</m:t>
        </m:r>
      </m:oMath>
      <w:r>
        <w:t xml:space="preserve">), we can derive,</w:t>
      </w:r>
    </w:p>
    <w:p>
      <w:pPr>
        <w:pStyle w:val="BodyText"/>
      </w:pPr>
      <m:oMathPara>
        <m:oMathParaPr>
          <m:jc m:val="center"/>
        </m:oMathParaPr>
        <m:oMath>
          <m:sSub>
            <m:e>
              <m:r>
                <m:t>N</m:t>
              </m:r>
            </m:e>
            <m:sub>
              <m:r>
                <m:t>t</m:t>
              </m:r>
              <m:r>
                <m:rPr>
                  <m:sty m:val="p"/>
                </m:rPr>
                <m:t>+</m:t>
              </m:r>
              <m:r>
                <m:t>1</m:t>
              </m:r>
            </m:sub>
          </m:sSub>
          <m:r>
            <m:rPr>
              <m:sty m:val="p"/>
            </m:rPr>
            <m:t>=</m:t>
          </m:r>
          <m:r>
            <m:t>w</m:t>
          </m:r>
          <m:sSub>
            <m:e>
              <m:r>
                <m:t>N</m:t>
              </m:r>
            </m:e>
            <m:sub>
              <m:r>
                <m:t>t</m:t>
              </m:r>
            </m:sub>
          </m:sSub>
          <m:d>
            <m:dPr>
              <m:begChr m:val="("/>
              <m:endChr m:val=")"/>
              <m:sepChr m:val=""/>
              <m:grow/>
            </m:dPr>
            <m:e>
              <m:r>
                <m:t>1</m:t>
              </m:r>
              <m:r>
                <m:rPr>
                  <m:sty m:val="p"/>
                </m:rPr>
                <m:t>−</m:t>
              </m:r>
              <m:r>
                <m:t>ϵ</m:t>
              </m:r>
              <m:sSub>
                <m:e>
                  <m:r>
                    <m:t>N</m:t>
                  </m:r>
                </m:e>
                <m:sub>
                  <m:r>
                    <m:t>t</m:t>
                  </m:r>
                </m:sub>
              </m:sSub>
            </m:e>
          </m:d>
          <m:r>
            <m:rPr>
              <m:sty m:val="p"/>
            </m:rPr>
            <m:t>.</m:t>
          </m:r>
        </m:oMath>
      </m:oMathPara>
    </w:p>
    <w:bookmarkEnd w:id="21"/>
    <w:bookmarkStart w:id="22" w:name="evolution-of-altruism"/>
    <w:p>
      <w:pPr>
        <w:pStyle w:val="Heading1"/>
      </w:pPr>
      <w:r>
        <w:t xml:space="preserve">Evolution of altruism</w:t>
      </w:r>
    </w:p>
    <w:p>
      <w:pPr>
        <w:pStyle w:val="FirstParagraph"/>
      </w:pPr>
      <w:r>
        <w:t xml:space="preserve">Here we following</w:t>
      </w:r>
      <w:r>
        <w:t xml:space="preserve"> </w:t>
      </w:r>
      <w:r>
        <w:t xml:space="preserve">Lehtonen (</w:t>
      </w:r>
      <w:hyperlink w:anchor="ref-Lehtonen2020a">
        <w:r>
          <w:rPr>
            <w:rStyle w:val="Hyperlink"/>
          </w:rPr>
          <w:t xml:space="preserve">2020</w:t>
        </w:r>
      </w:hyperlink>
      <w:r>
        <w:t xml:space="preserve">)</w:t>
      </w:r>
      <w:r>
        <w:t xml:space="preserve">.</w:t>
      </w:r>
      <w:r>
        <w:t xml:space="preserve"> </w:t>
      </w:r>
      <w:r>
        <w:t xml:space="preserve">Starting again from eqn 1, we can define groups</w:t>
      </w:r>
      <w:r>
        <w:t xml:space="preserve"> </w:t>
      </w:r>
      <m:oMath>
        <m:r>
          <m:t>G</m:t>
        </m:r>
      </m:oMath>
      <w:r>
        <w:t xml:space="preserve"> </w:t>
      </w:r>
      <w:r>
        <w:t xml:space="preserve">with individual characteristics (</w:t>
      </w:r>
      <m:oMath>
        <m:sSub>
          <m:e>
            <m:r>
              <m:t>z</m:t>
            </m:r>
          </m:e>
          <m:sub>
            <m:r>
              <m:t>i</m:t>
            </m:r>
          </m:sub>
        </m:sSub>
      </m:oMath>
      <w:r>
        <w:t xml:space="preserve">) now summed across groups,</w:t>
      </w:r>
    </w:p>
    <w:p>
      <w:pPr>
        <w:pStyle w:val="BodyText"/>
      </w:pPr>
      <m:oMathPara>
        <m:oMathParaPr>
          <m:jc m:val="center"/>
        </m:oMathParaPr>
        <m:oMath>
          <m:r>
            <m:t>Ω</m:t>
          </m:r>
          <m:r>
            <m:rPr>
              <m:sty m:val="p"/>
            </m:rPr>
            <m:t>=</m:t>
          </m:r>
          <m:nary>
            <m:naryPr>
              <m:chr m:val="∑"/>
              <m:limLoc m:val="undOvr"/>
              <m:subHide m:val="off"/>
              <m:supHide m:val="off"/>
            </m:naryPr>
            <m:sub>
              <m:r>
                <m:t>g</m:t>
              </m:r>
              <m:r>
                <m:rPr>
                  <m:sty m:val="p"/>
                </m:rPr>
                <m:t>=</m:t>
              </m:r>
              <m:r>
                <m:t>1</m:t>
              </m:r>
            </m:sub>
            <m:sup>
              <m:r>
                <m:t>G</m:t>
              </m:r>
            </m:sup>
            <m:e>
              <m:nary>
                <m:naryPr>
                  <m:chr m:val="∑"/>
                  <m:limLoc m:val="undOvr"/>
                  <m:subHide m:val="off"/>
                  <m:supHide m:val="off"/>
                </m:naryPr>
                <m:sub>
                  <m:r>
                    <m:t>i</m:t>
                  </m:r>
                  <m:r>
                    <m:rPr>
                      <m:sty m:val="p"/>
                    </m:rPr>
                    <m:t>=</m:t>
                  </m:r>
                  <m:r>
                    <m:t>1</m:t>
                  </m:r>
                </m:sub>
                <m:sup>
                  <m:sSub>
                    <m:e>
                      <m:r>
                        <m:t>N</m:t>
                      </m:r>
                    </m:e>
                    <m:sub>
                      <m:r>
                        <m:t>g</m:t>
                      </m:r>
                    </m:sub>
                  </m:sSub>
                </m:sup>
                <m:e>
                  <m:d>
                    <m:dPr>
                      <m:begChr m:val="("/>
                      <m:endChr m:val=")"/>
                      <m:sepChr m:val=""/>
                      <m:grow/>
                    </m:dPr>
                    <m:e>
                      <m:sSub>
                        <m:e>
                          <m:r>
                            <m:t>β</m:t>
                          </m:r>
                        </m:e>
                        <m:sub>
                          <m:r>
                            <m:t>g</m:t>
                          </m:r>
                          <m:r>
                            <m:rPr>
                              <m:sty m:val="p"/>
                            </m:rPr>
                            <m:t>,</m:t>
                          </m:r>
                          <m:r>
                            <m:t>i</m:t>
                          </m:r>
                        </m:sub>
                      </m:sSub>
                      <m:r>
                        <m:rPr>
                          <m:sty m:val="p"/>
                        </m:rPr>
                        <m:t>−</m:t>
                      </m:r>
                      <m:sSub>
                        <m:e>
                          <m:r>
                            <m:t>δ</m:t>
                          </m:r>
                        </m:e>
                        <m:sub>
                          <m:r>
                            <m:t>g</m:t>
                          </m:r>
                          <m:r>
                            <m:rPr>
                              <m:sty m:val="p"/>
                            </m:rPr>
                            <m:t>,</m:t>
                          </m:r>
                          <m:r>
                            <m:t>i</m:t>
                          </m:r>
                        </m:sub>
                      </m:sSub>
                      <m:r>
                        <m:rPr>
                          <m:sty m:val="p"/>
                        </m:rPr>
                        <m:t>+</m:t>
                      </m:r>
                      <m:r>
                        <m:t>1</m:t>
                      </m:r>
                    </m:e>
                  </m:d>
                </m:e>
              </m:nary>
            </m:e>
          </m:nary>
          <m:d>
            <m:dPr>
              <m:begChr m:val="("/>
              <m:endChr m:val=")"/>
              <m:sepChr m:val=""/>
              <m:grow/>
            </m:dPr>
            <m:e>
              <m:sSub>
                <m:e>
                  <m:r>
                    <m:t>z</m:t>
                  </m:r>
                </m:e>
                <m:sub>
                  <m:r>
                    <m:t>g</m:t>
                  </m:r>
                  <m:r>
                    <m:rPr>
                      <m:sty m:val="p"/>
                    </m:rPr>
                    <m:t>,</m:t>
                  </m:r>
                  <m:r>
                    <m:t>i</m:t>
                  </m:r>
                </m:sub>
              </m:sSub>
              <m:r>
                <m:rPr>
                  <m:sty m:val="p"/>
                </m:rPr>
                <m:t>+</m:t>
              </m:r>
              <m:r>
                <m:t>Δ</m:t>
              </m:r>
              <m:sSub>
                <m:e>
                  <m:r>
                    <m:t>z</m:t>
                  </m:r>
                </m:e>
                <m:sub>
                  <m:r>
                    <m:t>g</m:t>
                  </m:r>
                  <m:r>
                    <m:rPr>
                      <m:sty m:val="p"/>
                    </m:rPr>
                    <m:t>,</m:t>
                  </m:r>
                  <m:r>
                    <m:t>i</m:t>
                  </m:r>
                </m:sub>
              </m:sSub>
            </m:e>
          </m:d>
        </m:oMath>
      </m:oMathPara>
    </w:p>
    <w:bookmarkEnd w:id="22"/>
    <w:bookmarkStart w:id="30" w:name="references"/>
    <w:p>
      <w:pPr>
        <w:pStyle w:val="Heading1"/>
      </w:pPr>
      <w:r>
        <w:t xml:space="preserve">References</w:t>
      </w:r>
    </w:p>
    <w:bookmarkStart w:id="29" w:name="refs"/>
    <w:bookmarkStart w:id="24" w:name="ref-Lehtonen2020a"/>
    <w:p>
      <w:pPr>
        <w:pStyle w:val="Bibliography"/>
      </w:pPr>
      <w:r>
        <w:t xml:space="preserve">Lehtonen, Jussi. 2020.</w:t>
      </w:r>
      <w:r>
        <w:t xml:space="preserve"> </w:t>
      </w:r>
      <w:r>
        <w:t xml:space="preserve">“The Price Equation and the Unity of Social Evolution Theory.”</w:t>
      </w:r>
      <w:r>
        <w:t xml:space="preserve"> </w:t>
      </w:r>
      <w:r>
        <w:rPr>
          <w:i/>
          <w:iCs/>
        </w:rPr>
        <w:t xml:space="preserve">Philosophical Transactions of the Royal Society B: Biological Sciences</w:t>
      </w:r>
      <w:r>
        <w:t xml:space="preserve"> </w:t>
      </w:r>
      <w:r>
        <w:t xml:space="preserve">375: 20190362.</w:t>
      </w:r>
      <w:r>
        <w:t xml:space="preserve"> </w:t>
      </w:r>
      <w:hyperlink r:id="rId23">
        <w:r>
          <w:rPr>
            <w:rStyle w:val="Hyperlink"/>
          </w:rPr>
          <w:t xml:space="preserve">https://doi.org/10.1098/rstb.2019.0362</w:t>
        </w:r>
      </w:hyperlink>
      <w:r>
        <w:t xml:space="preserve">.</w:t>
      </w:r>
    </w:p>
    <w:bookmarkEnd w:id="24"/>
    <w:bookmarkStart w:id="26" w:name="ref-Lion2018"/>
    <w:p>
      <w:pPr>
        <w:pStyle w:val="Bibliography"/>
      </w:pPr>
      <w:r>
        <w:t xml:space="preserve">Lion, Sébastien. 2018.</w:t>
      </w:r>
      <w:r>
        <w:t xml:space="preserve"> </w:t>
      </w:r>
      <w:r>
        <w:t xml:space="preserve">“</w:t>
      </w:r>
      <w:r>
        <w:t xml:space="preserve">Theoretical approaches in evolutionary ecology: environmental feedback as a unifying perspective</w:t>
      </w:r>
      <w:r>
        <w:t xml:space="preserve">.”</w:t>
      </w:r>
      <w:r>
        <w:t xml:space="preserve"> </w:t>
      </w:r>
      <w:r>
        <w:rPr>
          <w:i/>
          <w:iCs/>
        </w:rPr>
        <w:t xml:space="preserve">American Naturalist</w:t>
      </w:r>
      <w:r>
        <w:t xml:space="preserve"> </w:t>
      </w:r>
      <w:r>
        <w:t xml:space="preserve">191 (1).</w:t>
      </w:r>
      <w:r>
        <w:t xml:space="preserve"> </w:t>
      </w:r>
      <w:hyperlink r:id="rId25">
        <w:r>
          <w:rPr>
            <w:rStyle w:val="Hyperlink"/>
          </w:rPr>
          <w:t xml:space="preserve">https://doi.org/10.1086/694865</w:t>
        </w:r>
      </w:hyperlink>
      <w:r>
        <w:t xml:space="preserve">.</w:t>
      </w:r>
    </w:p>
    <w:bookmarkEnd w:id="26"/>
    <w:bookmarkStart w:id="28" w:name="ref-Lion2023"/>
    <w:p>
      <w:pPr>
        <w:pStyle w:val="Bibliography"/>
      </w:pPr>
      <w:r>
        <w:t xml:space="preserve">Lion, Sébastien, Akira Sasaki, and Mike Boots. 2023.</w:t>
      </w:r>
      <w:r>
        <w:t xml:space="preserve"> </w:t>
      </w:r>
      <w:r>
        <w:t xml:space="preserve">“Extending Eco-Evolutionary Theory with Oligomorphic Dynamics.”</w:t>
      </w:r>
      <w:r>
        <w:t xml:space="preserve"> </w:t>
      </w:r>
      <w:r>
        <w:rPr>
          <w:i/>
          <w:iCs/>
        </w:rPr>
        <w:t xml:space="preserve">Ecology Letters</w:t>
      </w:r>
      <w:r>
        <w:t xml:space="preserve"> </w:t>
      </w:r>
      <w:r>
        <w:t xml:space="preserve">26 (September): S22–46.</w:t>
      </w:r>
      <w:r>
        <w:t xml:space="preserve"> </w:t>
      </w:r>
      <w:hyperlink r:id="rId27">
        <w:r>
          <w:rPr>
            <w:rStyle w:val="Hyperlink"/>
          </w:rPr>
          <w:t xml:space="preserve">https://doi.org/10.1111/ele.14183</w:t>
        </w:r>
      </w:hyperlink>
      <w:r>
        <w:t xml:space="preserv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86/694865" TargetMode="External" /><Relationship Type="http://schemas.openxmlformats.org/officeDocument/2006/relationships/hyperlink" Id="rId23" Target="https://doi.org/10.1098/rstb.2019.0362" TargetMode="External" /><Relationship Type="http://schemas.openxmlformats.org/officeDocument/2006/relationships/hyperlink" Id="rId27" Target="https://doi.org/10.1111/ele.14183" TargetMode="External" /><Relationship Type="http://schemas.openxmlformats.org/officeDocument/2006/relationships/hyperlink" Id="rId20" Target="mailto:alexander.duthie@stir.ac.uk"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86/694865" TargetMode="External" /><Relationship Type="http://schemas.openxmlformats.org/officeDocument/2006/relationships/hyperlink" Id="rId23" Target="https://doi.org/10.1098/rstb.2019.0362" TargetMode="External" /><Relationship Type="http://schemas.openxmlformats.org/officeDocument/2006/relationships/hyperlink" Id="rId27" Target="https://doi.org/10.1111/ele.14183" TargetMode="External" /><Relationship Type="http://schemas.openxmlformats.org/officeDocument/2006/relationships/hyperlink" Id="rId20"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community ecology: Supporting Information 1</dc:title>
  <dc:creator/>
  <cp:keywords/>
  <dcterms:created xsi:type="dcterms:W3CDTF">2025-06-06T17:41:05Z</dcterms:created>
  <dcterms:modified xsi:type="dcterms:W3CDTF">2025-06-06T17:41:05Z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date">
    <vt:lpwstr>[1] Department of Biological and Environmental Sciences, University of Stirling, Stirling, Scotland [2] Department of Philosophy, University of Valencia, Valencia, Spain [*] Corresponding author: alexander.duthie@stir.ac.uk [a] Equal contribution</vt:lpwstr>
  </property>
  <property fmtid="{D5CDD505-2E9C-101B-9397-08002B2CF9AE}" pid="5" name="header-includes">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