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model</w:t>
      </w:r>
      <w:r>
        <w:t xml:space="preserve"> </w:t>
      </w:r>
      <w:r>
        <w:t xml:space="preserve">for</w:t>
      </w:r>
      <w:r>
        <w:t xml:space="preserve"> </w:t>
      </w:r>
      <w:r>
        <w:t xml:space="preserve">the</w:t>
      </w:r>
      <w:r>
        <w:t xml:space="preserve"> </w:t>
      </w:r>
      <w:r>
        <w:t xml:space="preserve">evolution</w:t>
      </w:r>
      <w:r>
        <w:t xml:space="preserve"> </w:t>
      </w:r>
      <w:r>
        <w:t xml:space="preserve">of</w:t>
      </w:r>
      <w:r>
        <w:t xml:space="preserve"> </w:t>
      </w:r>
      <w:r>
        <w:t xml:space="preserve">nuptial</w:t>
      </w:r>
      <w:r>
        <w:t xml:space="preserve"> </w:t>
      </w:r>
      <w:r>
        <w:t xml:space="preserve">gift-giving:</w:t>
      </w:r>
      <w:r>
        <w:t xml:space="preserve"> </w:t>
      </w:r>
      <w:r>
        <w:t xml:space="preserve">Supporting</w:t>
      </w:r>
      <w:r>
        <w:t xml:space="preserve"> </w:t>
      </w:r>
      <w:r>
        <w:t xml:space="preserve">Information</w:t>
      </w:r>
    </w:p>
    <w:p>
      <w:pPr>
        <w:pStyle w:val="Date"/>
      </w:pPr>
      <w:r>
        <w:t xml:space="preserve">[1]</w:t>
      </w:r>
      <w:r>
        <w:t xml:space="preserve"> </w:t>
      </w:r>
      <w:r>
        <w:t xml:space="preserve">School</w:t>
      </w:r>
      <w:r>
        <w:t xml:space="preserve"> </w:t>
      </w:r>
      <w:r>
        <w:t xml:space="preserve">of</w:t>
      </w:r>
      <w:r>
        <w:t xml:space="preserve"> </w:t>
      </w:r>
      <w:r>
        <w:t xml:space="preserve">Biological</w:t>
      </w:r>
      <w:r>
        <w:t xml:space="preserve"> </w:t>
      </w:r>
      <w:r>
        <w:t xml:space="preserve">Sciences,</w:t>
      </w:r>
      <w:r>
        <w:t xml:space="preserve"> </w:t>
      </w:r>
      <w:r>
        <w:t xml:space="preserve">University</w:t>
      </w:r>
      <w:r>
        <w:t xml:space="preserve"> </w:t>
      </w:r>
      <w:r>
        <w:t xml:space="preserve">of</w:t>
      </w:r>
      <w:r>
        <w:t xml:space="preserve"> </w:t>
      </w:r>
      <w:r>
        <w:t xml:space="preserve">Aberdeen,</w:t>
      </w:r>
      <w:r>
        <w:t xml:space="preserve"> </w:t>
      </w:r>
      <w:r>
        <w:t xml:space="preserve">UK.</w:t>
      </w:r>
      <w:r>
        <w:t xml:space="preserve"> </w:t>
      </w:r>
      <w:r>
        <w:t xml:space="preserve">[2]</w:t>
      </w:r>
      <w:r>
        <w:t xml:space="preserve"> </w:t>
      </w:r>
      <w:r>
        <w:t xml:space="preserve">Department</w:t>
      </w:r>
      <w:r>
        <w:t xml:space="preserve"> </w:t>
      </w:r>
      <w:r>
        <w:t xml:space="preserve">of</w:t>
      </w:r>
      <w:r>
        <w:t xml:space="preserve"> </w:t>
      </w:r>
      <w:r>
        <w:t xml:space="preserve">Biology,</w:t>
      </w:r>
      <w:r>
        <w:t xml:space="preserve"> </w:t>
      </w:r>
      <w:r>
        <w:t xml:space="preserve">Aarhus</w:t>
      </w:r>
      <w:r>
        <w:t xml:space="preserve"> </w:t>
      </w:r>
      <w:r>
        <w:t xml:space="preserve">University,</w:t>
      </w:r>
      <w:r>
        <w:t xml:space="preserve"> </w:t>
      </w:r>
      <w:r>
        <w:t xml:space="preserve">Denmark.</w:t>
      </w:r>
      <w:r>
        <w:t xml:space="preserve"> </w:t>
      </w:r>
      <w:r>
        <w:t xml:space="preserve">[3]</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UK.</w:t>
      </w:r>
      <w:r>
        <w:t xml:space="preserve"> </w:t>
      </w:r>
      <w:r>
        <w:t xml:space="preserve">[4]</w:t>
      </w:r>
      <w:r>
        <w:t xml:space="preserve"> </w:t>
      </w:r>
      <w:r>
        <w:t xml:space="preserve">Bioinformatics</w:t>
      </w:r>
      <w:r>
        <w:t xml:space="preserve"> </w:t>
      </w:r>
      <w:r>
        <w:t xml:space="preserve">Research</w:t>
      </w:r>
      <w:r>
        <w:t xml:space="preserve"> </w:t>
      </w:r>
      <w:r>
        <w:t xml:space="preserve">Centre</w:t>
      </w:r>
      <w:r>
        <w:t xml:space="preserve"> </w:t>
      </w:r>
      <w:r>
        <w:t xml:space="preserve">Aarhus</w:t>
      </w:r>
      <w:r>
        <w:t xml:space="preserve"> </w:t>
      </w:r>
      <w:r>
        <w:t xml:space="preserve">University,</w:t>
      </w:r>
      <w:r>
        <w:t xml:space="preserve"> </w:t>
      </w:r>
      <w:r>
        <w:t xml:space="preserve">University</w:t>
      </w:r>
      <w:r>
        <w:t xml:space="preserve"> </w:t>
      </w:r>
      <w:r>
        <w:t xml:space="preserve">City</w:t>
      </w:r>
      <w:r>
        <w:t xml:space="preserve"> </w:t>
      </w:r>
      <w:r>
        <w:t xml:space="preserve">81,</w:t>
      </w:r>
      <w:r>
        <w:t xml:space="preserve"> </w:t>
      </w:r>
      <w:r>
        <w:t xml:space="preserve">building</w:t>
      </w:r>
      <w:r>
        <w:t xml:space="preserve"> </w:t>
      </w:r>
      <w:r>
        <w:t xml:space="preserve">1872,</w:t>
      </w:r>
      <w:r>
        <w:t xml:space="preserve"> </w:t>
      </w:r>
      <w:r>
        <w:t xml:space="preserve">3rd</w:t>
      </w:r>
      <w:r>
        <w:t xml:space="preserve"> </w:t>
      </w:r>
      <w:r>
        <w:t xml:space="preserve">floor,</w:t>
      </w:r>
      <w:r>
        <w:t xml:space="preserve"> </w:t>
      </w:r>
      <w:r>
        <w:t xml:space="preserve">DK-8000</w:t>
      </w:r>
      <w:r>
        <w:t xml:space="preserve"> </w:t>
      </w:r>
      <w:r>
        <w:t xml:space="preserve">Aarhus</w:t>
      </w:r>
      <w:r>
        <w:t xml:space="preserve"> </w:t>
      </w:r>
      <w:r>
        <w:t xml:space="preserve">C,</w:t>
      </w:r>
      <w:r>
        <w:t xml:space="preserve"> </w:t>
      </w:r>
      <w:r>
        <w:t xml:space="preserve">Denmark</w:t>
      </w:r>
      <w:r>
        <w:t xml:space="preserve"> </w:t>
      </w:r>
      <w:r>
        <w:t xml:space="preserve">[5]</w:t>
      </w:r>
      <w:r>
        <w:t xml:space="preserve"> </w:t>
      </w:r>
      <w:r>
        <w:t xml:space="preserve">Email:</w:t>
      </w:r>
      <w:r>
        <w:t xml:space="preserve"> </w:t>
      </w:r>
      <w:hyperlink r:id="rId20">
        <w:r>
          <w:rPr>
            <w:rStyle w:val="Hyperlink"/>
          </w:rPr>
          <w:t xml:space="preserve">apc@birc.au.dk</w:t>
        </w:r>
      </w:hyperlink>
    </w:p>
    <w:bookmarkStart w:id="47" w:name="table-of-contents"/>
    <w:p>
      <w:pPr>
        <w:pStyle w:val="Heading1"/>
      </w:pPr>
      <w:r>
        <w:t xml:space="preserve">Table of Contents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Information</w:t>
            </w:r>
          </w:p>
        </w:tc>
        <w:tc>
          <w:tcPr/>
          <w:p>
            <w:pPr>
              <w:pStyle w:val="Compact"/>
              <w:jc w:val="left"/>
            </w:pPr>
            <w:r>
              <w:t xml:space="preserve">Page</w:t>
            </w:r>
          </w:p>
        </w:tc>
      </w:tr>
      <w:tr>
        <w:tc>
          <w:tcPr/>
          <w:p>
            <w:pPr>
              <w:pStyle w:val="Compact"/>
              <w:jc w:val="left"/>
            </w:pPr>
            <w:r>
              <w:t xml:space="preserve">S1: Alternative derivation of male fitness threshold</w:t>
            </w:r>
          </w:p>
        </w:tc>
        <w:tc>
          <w:tcPr/>
          <w:p>
            <w:pPr>
              <w:pStyle w:val="Compact"/>
              <w:jc w:val="left"/>
            </w:pPr>
            <w:r>
              <w:t xml:space="preserve">2</w:t>
            </w:r>
          </w:p>
        </w:tc>
      </w:tr>
      <w:tr>
        <w:tc>
          <w:tcPr/>
          <w:p>
            <w:pPr>
              <w:pStyle w:val="Compact"/>
              <w:jc w:val="left"/>
            </w:pPr>
            <w:r>
              <w:t xml:space="preserve">S2: Operational sex ratio</w:t>
            </w:r>
          </w:p>
        </w:tc>
        <w:tc>
          <w:tcPr/>
          <w:p>
            <w:pPr>
              <w:pStyle w:val="Compact"/>
              <w:jc w:val="left"/>
            </w:pPr>
            <w:r>
              <w:t xml:space="preserve">4</w:t>
            </w:r>
          </w:p>
        </w:tc>
      </w:tr>
      <w:tr>
        <w:tc>
          <w:tcPr/>
          <w:p>
            <w:pPr>
              <w:pStyle w:val="Compact"/>
              <w:jc w:val="left"/>
            </w:pPr>
            <w:r>
              <w:t xml:space="preserve">S3: Sensitivity analysis of parameters in IBM</w:t>
            </w:r>
          </w:p>
        </w:tc>
        <w:tc>
          <w:tcPr/>
          <w:p>
            <w:pPr>
              <w:pStyle w:val="Compact"/>
              <w:jc w:val="left"/>
            </w:pPr>
            <w:r>
              <w:t xml:space="preserve">5</w:t>
            </w:r>
          </w:p>
        </w:tc>
      </w:tr>
      <w:tr>
        <w:tc>
          <w:tcPr/>
          <w:p>
            <w:pPr>
              <w:pStyle w:val="Compact"/>
              <w:jc w:val="left"/>
            </w:pPr>
            <w:r>
              <w:t xml:space="preserve">S4: Separate evolution of male search and female choice</w:t>
            </w:r>
          </w:p>
        </w:tc>
        <w:tc>
          <w:tcPr/>
          <w:p>
            <w:pPr>
              <w:pStyle w:val="Compact"/>
              <w:jc w:val="left"/>
            </w:pPr>
            <w:r>
              <w:t xml:space="preserve">12</w:t>
            </w:r>
          </w:p>
        </w:tc>
      </w:tr>
      <w:tr>
        <w:tc>
          <w:tcPr/>
          <w:p>
            <w:pPr>
              <w:pStyle w:val="Compact"/>
              <w:jc w:val="left"/>
            </w:pPr>
            <w:r>
              <w:t xml:space="preserve">References</w:t>
            </w:r>
          </w:p>
        </w:tc>
        <w:tc>
          <w:tcPr/>
          <w:p>
            <w:pPr>
              <w:pStyle w:val="Compact"/>
              <w:jc w:val="left"/>
            </w:pPr>
            <w:r>
              <w:t xml:space="preserve">13</w:t>
            </w:r>
          </w:p>
        </w:tc>
      </w:tr>
    </w:tbl>
    <w:bookmarkStart w:id="21" w:name="X789789756be34d01a9c3860533db9192aa69648"/>
    <w:p>
      <w:pPr>
        <w:pStyle w:val="Heading2"/>
      </w:pPr>
      <w:r>
        <w:t xml:space="preserve">S1: Alternative derivation of male fitness threshold</w:t>
      </w:r>
    </w:p>
    <w:p>
      <w:pPr>
        <w:pStyle w:val="FirstParagraph"/>
      </w:pPr>
      <w:r>
        <w:t xml:space="preserve">In the main text, we assumed that males made the decision to search or not search for a nuptial gift.</w:t>
      </w:r>
      <w:r>
        <w:t xml:space="preserve"> </w:t>
      </w:r>
      <w:r>
        <w:t xml:space="preserve">The expected length of time for which searching males are expected to remain outside of the mating pool is</w:t>
      </w:r>
      <w:r>
        <w:t xml:space="preserve"> </w:t>
      </w:r>
      <m:oMath>
        <m:r>
          <m:t>E</m:t>
        </m:r>
        <m:d>
          <m:dPr>
            <m:begChr m:val="["/>
            <m:endChr m:val="]"/>
            <m:sepChr m:val=""/>
            <m:grow/>
          </m:dPr>
          <m:e>
            <m:sSub>
              <m:e>
                <m:r>
                  <m:t>T</m:t>
                </m:r>
              </m:e>
              <m:sub>
                <m:r>
                  <m:rPr>
                    <m:sty m:val="p"/>
                  </m:rPr>
                  <m:t>m</m:t>
                </m:r>
              </m:sub>
            </m:sSub>
          </m:e>
        </m:d>
        <m:r>
          <m:rPr>
            <m:sty m:val="p"/>
          </m:rPr>
          <m:t>=</m:t>
        </m:r>
        <m:r>
          <m:t>α</m:t>
        </m:r>
      </m:oMath>
      <w:r>
        <w:t xml:space="preserve"> </w:t>
      </w:r>
      <w:r>
        <w:t xml:space="preserve">(see Model).</w:t>
      </w:r>
      <w:r>
        <w:t xml:space="preserve"> </w:t>
      </w:r>
      <w:r>
        <w:t xml:space="preserve">Alternatively, we can assume that males search for a period of</w:t>
      </w:r>
      <w:r>
        <w:t xml:space="preserve"> </w:t>
      </w:r>
      <m:oMath>
        <m:sSub>
          <m:e>
            <m:r>
              <m:t>T</m:t>
            </m:r>
          </m:e>
          <m:sub>
            <m:r>
              <m:rPr>
                <m:sty m:val="p"/>
              </m:rPr>
              <m:t>m</m:t>
            </m:r>
          </m:sub>
        </m:sSub>
      </m:oMath>
      <w:r>
        <w:t xml:space="preserve"> </w:t>
      </w:r>
      <w:r>
        <w:t xml:space="preserve">and spend this full duration of</w:t>
      </w:r>
      <w:r>
        <w:t xml:space="preserve"> </w:t>
      </w:r>
      <m:oMath>
        <m:sSub>
          <m:e>
            <m:r>
              <m:t>T</m:t>
            </m:r>
          </m:e>
          <m:sub>
            <m:r>
              <m:rPr>
                <m:sty m:val="p"/>
              </m:rPr>
              <m:t>m</m:t>
            </m:r>
          </m:sub>
        </m:sSub>
      </m:oMath>
      <w:r>
        <w:t xml:space="preserve"> </w:t>
      </w:r>
      <w:r>
        <w:t xml:space="preserve">in the time-out phase, even if they succeed in finding a nuptial gift (as we assumed in our IBM).</w:t>
      </w:r>
      <w:r>
        <w:t xml:space="preserve"> </w:t>
      </w:r>
      <w:r>
        <w:t xml:space="preserve">The probability that a male obtains a nuptial gift during this time is modelled in Eq. 1,</w:t>
      </w:r>
    </w:p>
    <w:p>
      <w:pPr>
        <w:pStyle w:val="BodyText"/>
      </w:pPr>
      <m:oMathPara>
        <m:oMathParaPr>
          <m:jc m:val="center"/>
        </m:oMathParaPr>
        <m:oMath>
          <m:r>
            <m:t>P</m:t>
          </m:r>
          <m:d>
            <m:dPr>
              <m:begChr m:val="("/>
              <m:endChr m:val=")"/>
              <m:sepChr m:val=""/>
              <m:grow/>
            </m:dPr>
            <m:e>
              <m:r>
                <m:t>G</m:t>
              </m:r>
            </m:e>
          </m:d>
          <m:r>
            <m:rPr>
              <m:sty m:val="p"/>
            </m:rPr>
            <m:t>=</m:t>
          </m:r>
          <m:r>
            <m:t>1</m:t>
          </m:r>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In Eq. 1,</w:t>
      </w:r>
      <w:r>
        <w:t xml:space="preserve"> </w:t>
      </w:r>
      <m:oMath>
        <m:r>
          <m:t>α</m:t>
        </m:r>
      </m:oMath>
      <w:r>
        <w:t xml:space="preserve"> </w:t>
      </w:r>
      <w:r>
        <w:t xml:space="preserve">is the amount of time expected to pass before a male encounters a nuptial gift.</w:t>
      </w:r>
      <w:r>
        <w:t xml:space="preserve"> </w:t>
      </w:r>
      <w:r>
        <w:t xml:space="preserve">We assume that a male will only enter the mating pool with no gift if they are unsuccessful in obtaining a gift, so the probability that a male obtains no gift after</w:t>
      </w:r>
      <w:r>
        <w:t xml:space="preserve"> </w:t>
      </w:r>
      <m:oMath>
        <m:sSub>
          <m:e>
            <m:r>
              <m:t>T</m:t>
            </m:r>
          </m:e>
          <m:sub>
            <m:r>
              <m:rPr>
                <m:sty m:val="p"/>
              </m:rPr>
              <m:t>m</m:t>
            </m:r>
          </m:sub>
        </m:sSub>
      </m:oMath>
      <w:r>
        <w:t xml:space="preserve"> </w:t>
      </w:r>
      <w:r>
        <w:t xml:space="preserve">is,</w:t>
      </w:r>
    </w:p>
    <w:p>
      <w:pPr>
        <w:pStyle w:val="BodyText"/>
      </w:pPr>
      <m:oMathPara>
        <m:oMathParaPr>
          <m:jc m:val="center"/>
        </m:oMathParaPr>
        <m:oMath>
          <m:r>
            <m:t>P</m:t>
          </m:r>
          <m:d>
            <m:dPr>
              <m:begChr m:val="("/>
              <m:endChr m:val=")"/>
              <m:sepChr m:val=""/>
              <m:grow/>
            </m:dPr>
            <m:e>
              <m:r>
                <m:t>L</m:t>
              </m:r>
            </m:e>
          </m:d>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We assume that the fitness increment in reproductive success associated with receiving a nuptial gift versus no nuptial gift are</w:t>
      </w:r>
      <w:r>
        <w:t xml:space="preserve"> </w:t>
      </w:r>
      <m:oMath>
        <m:r>
          <m:t>λ</m:t>
        </m:r>
        <m:d>
          <m:dPr>
            <m:begChr m:val="("/>
            <m:endChr m:val=")"/>
            <m:sepChr m:val=""/>
            <m:grow/>
          </m:dPr>
          <m:e>
            <m:r>
              <m:t>1</m:t>
            </m:r>
            <m:r>
              <m:rPr>
                <m:sty m:val="p"/>
              </m:rPr>
              <m:t>+</m:t>
            </m:r>
            <m:r>
              <m:t>γ</m:t>
            </m:r>
          </m:e>
        </m:d>
      </m:oMath>
      <w:r>
        <w:t xml:space="preserve"> </w:t>
      </w:r>
      <w:r>
        <w:t xml:space="preserve">and</w:t>
      </w:r>
      <w:r>
        <w:t xml:space="preserve"> </w:t>
      </w:r>
      <m:oMath>
        <m:r>
          <m:t>λ</m:t>
        </m:r>
      </m:oMath>
      <w:r>
        <w:t xml:space="preserve">, respectively.</w:t>
      </w:r>
      <w:r>
        <w:t xml:space="preserve"> </w:t>
      </w:r>
      <w:r>
        <w:t xml:space="preserve">The rate at which males increase their fitness can then be defined as the expected fitness increment from their nuptial gift search divided by</w:t>
      </w:r>
      <w:r>
        <w:t xml:space="preserve"> </w:t>
      </w:r>
      <m:oMath>
        <m:sSub>
          <m:e>
            <m:r>
              <m:t>T</m:t>
            </m:r>
          </m:e>
          <m:sub>
            <m:r>
              <m:rPr>
                <m:sty m:val="p"/>
              </m:rPr>
              <m:t>m</m:t>
            </m:r>
          </m:sub>
        </m:sSub>
      </m:oMath>
      <w:r>
        <w:t xml:space="preserve"> </w:t>
      </w:r>
      <w:r>
        <w:t xml:space="preserve">plus the time spent in the mating pool waiting to encounter a mate,</w:t>
      </w:r>
    </w:p>
    <w:p>
      <w:pPr>
        <w:pStyle w:val="BodyText"/>
      </w:pPr>
      <m:oMathPara>
        <m:oMathParaPr>
          <m:jc m:val="center"/>
        </m:oMathParaPr>
        <m:oMath>
          <m:sSub>
            <m:e>
              <m:r>
                <m:t>W</m:t>
              </m:r>
            </m:e>
            <m:sub>
              <m:r>
                <m:rPr>
                  <m:sty m:val="p"/>
                </m:rPr>
                <m:t>m</m:t>
              </m:r>
            </m:sub>
          </m:sSub>
          <m:r>
            <m:rPr>
              <m:sty m:val="p"/>
            </m:rPr>
            <m:t>=</m:t>
          </m:r>
          <m:r>
            <m:t>λ</m:t>
          </m:r>
          <m:f>
            <m:fPr>
              <m:type m:val="bar"/>
            </m:fPr>
            <m:num>
              <m:r>
                <m:t>P</m:t>
              </m:r>
              <m:d>
                <m:dPr>
                  <m:begChr m:val="("/>
                  <m:endChr m:val=")"/>
                  <m:sepChr m:val=""/>
                  <m:grow/>
                </m:dPr>
                <m:e>
                  <m:r>
                    <m:t>G</m:t>
                  </m:r>
                </m:e>
              </m:d>
              <m:d>
                <m:dPr>
                  <m:begChr m:val="("/>
                  <m:endChr m:val=")"/>
                  <m:sepChr m:val=""/>
                  <m:grow/>
                </m:dPr>
                <m:e>
                  <m:r>
                    <m:t>1</m:t>
                  </m:r>
                  <m:r>
                    <m:rPr>
                      <m:sty m:val="p"/>
                    </m:rPr>
                    <m:t>+</m:t>
                  </m:r>
                  <m:r>
                    <m:t>γ</m:t>
                  </m:r>
                </m:e>
              </m:d>
              <m:r>
                <m:rPr>
                  <m:sty m:val="p"/>
                </m:rPr>
                <m:t>+</m:t>
              </m:r>
              <m:r>
                <m:t>P</m:t>
              </m:r>
              <m:d>
                <m:dPr>
                  <m:begChr m:val="("/>
                  <m:endChr m:val=")"/>
                  <m:sepChr m:val=""/>
                  <m:grow/>
                </m:dPr>
                <m:e>
                  <m:r>
                    <m:t>L</m:t>
                  </m:r>
                </m:e>
              </m:d>
            </m:num>
            <m:den>
              <m:sSub>
                <m:e>
                  <m:r>
                    <m:t>T</m:t>
                  </m:r>
                </m:e>
                <m:sub>
                  <m:r>
                    <m:rPr>
                      <m:sty m:val="p"/>
                    </m:rPr>
                    <m:t>m</m:t>
                  </m:r>
                </m:sub>
              </m:sSub>
              <m:r>
                <m:rPr>
                  <m:sty m:val="p"/>
                </m:rPr>
                <m:t>+</m:t>
              </m:r>
              <m:d>
                <m:dPr>
                  <m:begChr m:val="("/>
                  <m:endChr m:val=")"/>
                  <m:sepChr m:val=""/>
                  <m:grow/>
                </m:dPr>
                <m:e>
                  <m:f>
                    <m:fPr>
                      <m:type m:val="bar"/>
                    </m:fPr>
                    <m:num>
                      <m:r>
                        <m:t>β</m:t>
                      </m:r>
                      <m:r>
                        <m:rPr>
                          <m:sty m:val="p"/>
                        </m:rPr>
                        <m:t>+</m:t>
                      </m:r>
                      <m:r>
                        <m:t>1</m:t>
                      </m:r>
                    </m:num>
                    <m:den>
                      <m:r>
                        <m:t>R</m:t>
                      </m:r>
                    </m:den>
                  </m:f>
                </m:e>
              </m:d>
            </m:den>
          </m:f>
          <m:r>
            <m:rPr>
              <m:sty m:val="p"/>
            </m:rPr>
            <m:t>.</m:t>
          </m:r>
        </m:oMath>
      </m:oMathPara>
    </w:p>
    <w:p>
      <w:pPr>
        <w:pStyle w:val="FirstParagraph"/>
      </w:pPr>
      <w:r>
        <w:t xml:space="preserve">Our objective now is to determine the conditions under which a focal male increases his fitness by searching for a nuptial gift (</w:t>
      </w:r>
      <m:oMath>
        <m:sSub>
          <m:e>
            <m:r>
              <m:t>T</m:t>
            </m:r>
          </m:e>
          <m:sub>
            <m:r>
              <m:rPr>
                <m:sty m:val="p"/>
              </m:rPr>
              <m:t>m</m:t>
            </m:r>
          </m:sub>
        </m:sSub>
        <m:r>
          <m:rPr>
            <m:sty m:val="p"/>
          </m:rPr>
          <m:t>&gt;</m:t>
        </m:r>
        <m:r>
          <m:t>0</m:t>
        </m:r>
      </m:oMath>
      <w:r>
        <w:t xml:space="preserve">) in a population of resident males that do not search (</w:t>
      </w:r>
      <m:oMath>
        <m:sSub>
          <m:e>
            <m:r>
              <m:t>T</m:t>
            </m:r>
          </m:e>
          <m:sub>
            <m:r>
              <m:rPr>
                <m:sty m:val="p"/>
              </m:rPr>
              <m:t>m</m:t>
            </m:r>
          </m:sub>
        </m:sSub>
        <m:r>
          <m:rPr>
            <m:sty m:val="p"/>
          </m:rPr>
          <m:t>=</m:t>
        </m:r>
        <m:r>
          <m:t>0</m:t>
        </m:r>
      </m:oMath>
      <w:r>
        <w:t xml:space="preserve">).</w:t>
      </w:r>
      <w:r>
        <w:t xml:space="preserve"> </w:t>
      </w:r>
      <w:r>
        <w:t xml:space="preserve">Females are assumed to exhibit no choosiness for males with versus without nuptial gifts. Under such conditions, male fitness cannot be affected by female choice, so selection to increase</w:t>
      </w:r>
      <w:r>
        <w:t xml:space="preserve"> </w:t>
      </w:r>
      <m:oMath>
        <m:sSub>
          <m:e>
            <m:r>
              <m:t>T</m:t>
            </m:r>
          </m:e>
          <m:sub>
            <m:r>
              <m:rPr>
                <m:sty m:val="p"/>
              </m:rPr>
              <m:t>m</m:t>
            </m:r>
          </m:sub>
        </m:sSub>
        <m:r>
          <m:rPr>
            <m:sty m:val="p"/>
          </m:rPr>
          <m:t>&gt;</m:t>
        </m:r>
        <m:r>
          <m:t>0</m:t>
        </m:r>
      </m:oMath>
      <w:r>
        <w:t xml:space="preserve"> </w:t>
      </w:r>
      <w:r>
        <w:t xml:space="preserve">must be based solely on</w:t>
      </w:r>
      <w:r>
        <w:t xml:space="preserve"> </w:t>
      </w:r>
      <m:oMath>
        <m:r>
          <m:t>α</m:t>
        </m:r>
      </m:oMath>
      <w:r>
        <w:t xml:space="preserve">,</w:t>
      </w:r>
      <w:r>
        <w:t xml:space="preserve"> </w:t>
      </w:r>
      <m:oMath>
        <m:r>
          <m:t>β</m:t>
        </m:r>
      </m:oMath>
      <w:r>
        <w:t xml:space="preserve">,</w:t>
      </w:r>
      <w:r>
        <w:t xml:space="preserve"> </w:t>
      </w:r>
      <m:oMath>
        <m:r>
          <m:t>R</m:t>
        </m:r>
      </m:oMath>
      <w:r>
        <w:t xml:space="preserve">, and</w:t>
      </w:r>
      <w:r>
        <w:t xml:space="preserve"> </w:t>
      </w:r>
      <m:oMath>
        <m:r>
          <m:t>γ</m:t>
        </m:r>
      </m:oMath>
      <w:r>
        <w:t xml:space="preserve">.</w:t>
      </w:r>
    </w:p>
    <w:p>
      <w:pPr>
        <w:pStyle w:val="BodyText"/>
      </w:pPr>
      <w:r>
        <w:t xml:space="preserve">To determine under what conditions male inclusive fitness increases with nuptial gift search time, we can differentiate</w:t>
      </w:r>
      <w:r>
        <w:t xml:space="preserve"> </w:t>
      </w:r>
      <m:oMath>
        <m:sSub>
          <m:e>
            <m:r>
              <m:t>W</m:t>
            </m:r>
          </m:e>
          <m:sub>
            <m:r>
              <m:rPr>
                <m:sty m:val="p"/>
              </m:rPr>
              <m:t>m</m:t>
            </m:r>
          </m:sub>
        </m:sSub>
      </m:oMath>
      <w:r>
        <w:t xml:space="preserve"> </w:t>
      </w:r>
      <w:r>
        <w:t xml:space="preserve">with respect to</w:t>
      </w:r>
      <w:r>
        <w:t xml:space="preserve"> </w:t>
      </w:r>
      <m:oMath>
        <m:sSub>
          <m:e>
            <m:r>
              <m:t>T</m:t>
            </m:r>
          </m:e>
          <m:sub>
            <m:r>
              <m:rPr>
                <m:sty m:val="p"/>
              </m:rPr>
              <m:t>m</m:t>
            </m:r>
          </m:sub>
        </m:sSub>
      </m:oMath>
      <w:r>
        <w:t xml:space="preserve">,</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r>
                <m:t>γ</m:t>
              </m:r>
              <m:d>
                <m:dPr>
                  <m:begChr m:val="("/>
                  <m:endChr m:val=")"/>
                  <m:sepChr m:val=""/>
                  <m:grow/>
                </m:dPr>
                <m:e>
                  <m:f>
                    <m:fPr>
                      <m:type m:val="bar"/>
                    </m:fPr>
                    <m:num>
                      <m:f>
                        <m:fPr>
                          <m:type m:val="bar"/>
                        </m:fPr>
                        <m:num>
                          <m:sSub>
                            <m:e>
                              <m:r>
                                <m:t>T</m:t>
                              </m:r>
                            </m:e>
                            <m:sub>
                              <m:r>
                                <m:rPr>
                                  <m:sty m:val="p"/>
                                </m:rPr>
                                <m:t>m</m:t>
                              </m:r>
                            </m:sub>
                          </m:sSub>
                          <m:r>
                            <m:rPr>
                              <m:sty m:val="p"/>
                            </m:rPr>
                            <m:t>+</m:t>
                          </m:r>
                          <m:f>
                            <m:fPr>
                              <m:type m:val="bar"/>
                            </m:fPr>
                            <m:num>
                              <m:r>
                                <m:t>β</m:t>
                              </m:r>
                              <m:r>
                                <m:rPr>
                                  <m:sty m:val="p"/>
                                </m:rPr>
                                <m:t>+</m:t>
                              </m:r>
                              <m:r>
                                <m:t>1</m:t>
                              </m:r>
                            </m:num>
                            <m:den>
                              <m:r>
                                <m:t>R</m:t>
                              </m:r>
                            </m:den>
                          </m:f>
                        </m:num>
                        <m:den>
                          <m:r>
                            <m:t>α</m:t>
                          </m:r>
                        </m:den>
                      </m:f>
                      <m:r>
                        <m:rPr>
                          <m:sty m:val="p"/>
                        </m:rPr>
                        <m:t>+</m:t>
                      </m:r>
                      <m:r>
                        <m:t>1</m:t>
                      </m:r>
                    </m:num>
                    <m:den>
                      <m:sSup>
                        <m:e>
                          <m:r>
                            <m:t>e</m:t>
                          </m:r>
                        </m:e>
                        <m:sup>
                          <m:f>
                            <m:fPr>
                              <m:type m:val="bar"/>
                            </m:fPr>
                            <m:num>
                              <m:r>
                                <m:t>1</m:t>
                              </m:r>
                            </m:num>
                            <m:den>
                              <m:r>
                                <m:t>α</m:t>
                              </m:r>
                            </m:den>
                          </m:f>
                          <m:sSub>
                            <m:e>
                              <m:r>
                                <m:t>T</m:t>
                              </m:r>
                            </m:e>
                            <m:sub>
                              <m:r>
                                <m:rPr>
                                  <m:sty m:val="p"/>
                                </m:rPr>
                                <m:t>m</m:t>
                              </m:r>
                            </m:sub>
                          </m:sSub>
                        </m:sup>
                      </m:sSup>
                    </m:den>
                  </m:f>
                  <m:r>
                    <m:rPr>
                      <m:sty m:val="p"/>
                    </m:rPr>
                    <m:t>−</m:t>
                  </m:r>
                  <m:r>
                    <m:t>1</m:t>
                  </m:r>
                </m:e>
              </m:d>
              <m:r>
                <m:rPr>
                  <m:sty m:val="p"/>
                </m:rPr>
                <m:t>−</m:t>
              </m:r>
              <m:r>
                <m:t>1</m:t>
              </m:r>
            </m:num>
            <m:den>
              <m:sSup>
                <m:e>
                  <m:d>
                    <m:dPr>
                      <m:begChr m:val="("/>
                      <m:endChr m:val=")"/>
                      <m:sepChr m:val=""/>
                      <m:grow/>
                    </m:dPr>
                    <m:e>
                      <m:sSub>
                        <m:e>
                          <m:r>
                            <m:t>T</m:t>
                          </m:r>
                        </m:e>
                        <m:sub>
                          <m:r>
                            <m:rPr>
                              <m:sty m:val="p"/>
                            </m:rPr>
                            <m:t>m</m:t>
                          </m:r>
                        </m:sub>
                      </m:sSub>
                      <m:r>
                        <m:rPr>
                          <m:sty m:val="p"/>
                        </m:rPr>
                        <m:t>+</m:t>
                      </m:r>
                      <m:f>
                        <m:fPr>
                          <m:type m:val="bar"/>
                        </m:fPr>
                        <m:num>
                          <m:r>
                            <m:t>β</m:t>
                          </m:r>
                          <m:r>
                            <m:rPr>
                              <m:sty m:val="p"/>
                            </m:rPr>
                            <m:t>+</m:t>
                          </m:r>
                          <m:r>
                            <m:t>1</m:t>
                          </m:r>
                        </m:num>
                        <m:den>
                          <m:r>
                            <m:t>R</m:t>
                          </m:r>
                        </m:den>
                      </m:f>
                    </m:e>
                  </m:d>
                </m:e>
                <m:sup>
                  <m:r>
                    <m:t>2</m:t>
                  </m:r>
                </m:sup>
              </m:sSup>
            </m:den>
          </m:f>
          <m:r>
            <m:rPr>
              <m:sty m:val="p"/>
            </m:rPr>
            <m:t>.</m:t>
          </m:r>
        </m:oMath>
      </m:oMathPara>
    </w:p>
    <w:p>
      <w:pPr>
        <w:pStyle w:val="FirstParagraph"/>
      </w:pPr>
      <w:r>
        <w:t xml:space="preserve">Because</w:t>
      </w:r>
      <w:r>
        <w:t xml:space="preserve"> </w:t>
      </w:r>
      <m:oMath>
        <m:sSub>
          <m:e>
            <m:r>
              <m:t>T</m:t>
            </m:r>
          </m:e>
          <m:sub>
            <m:r>
              <m:rPr>
                <m:sty m:val="p"/>
              </m:rPr>
              <m:t>m</m:t>
            </m:r>
          </m:sub>
        </m:sSub>
        <m:r>
          <m:rPr>
            <m:sty m:val="p"/>
          </m:rPr>
          <m:t>=</m:t>
        </m:r>
        <m:r>
          <m:t>0</m:t>
        </m:r>
      </m:oMath>
      <w:r>
        <w:t xml:space="preserve">, the above simplifies,</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f>
                <m:fPr>
                  <m:type m:val="bar"/>
                </m:fPr>
                <m:num>
                  <m:r>
                    <m:t>R</m:t>
                  </m:r>
                  <m:r>
                    <m:t>γ</m:t>
                  </m:r>
                  <m:d>
                    <m:dPr>
                      <m:begChr m:val="("/>
                      <m:endChr m:val=")"/>
                      <m:sepChr m:val=""/>
                      <m:grow/>
                    </m:dPr>
                    <m:e>
                      <m:r>
                        <m:t>β</m:t>
                      </m:r>
                      <m:r>
                        <m:rPr>
                          <m:sty m:val="p"/>
                        </m:rPr>
                        <m:t>+</m:t>
                      </m:r>
                      <m:r>
                        <m:t>1</m:t>
                      </m:r>
                    </m:e>
                  </m:d>
                </m:num>
                <m:den>
                  <m:r>
                    <m:t>α</m:t>
                  </m:r>
                </m:den>
              </m:f>
              <m:r>
                <m:rPr>
                  <m:sty m:val="p"/>
                </m:rPr>
                <m:t>−</m:t>
              </m:r>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w:r>
        <w:t xml:space="preserve">We can re-arrange the above,</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r>
                <m:t>R</m:t>
              </m:r>
              <m:r>
                <m:t>γ</m:t>
              </m:r>
            </m:num>
            <m:den>
              <m:r>
                <m:t>α</m:t>
              </m:r>
              <m:d>
                <m:dPr>
                  <m:begChr m:val="("/>
                  <m:endChr m:val=")"/>
                  <m:sepChr m:val=""/>
                  <m:grow/>
                </m:dPr>
                <m:e>
                  <m:r>
                    <m:t>β</m:t>
                  </m:r>
                  <m:r>
                    <m:rPr>
                      <m:sty m:val="p"/>
                    </m:rPr>
                    <m:t>+</m:t>
                  </m:r>
                  <m:r>
                    <m:t>1</m:t>
                  </m:r>
                </m:e>
              </m:d>
            </m:den>
          </m:f>
          <m:r>
            <m:rPr>
              <m:sty m:val="p"/>
            </m:rPr>
            <m:t>−</m:t>
          </m:r>
          <m:r>
            <m:t>λ</m:t>
          </m:r>
          <m:f>
            <m:fPr>
              <m:type m:val="bar"/>
            </m:fPr>
            <m:num>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w:r>
        <w:t xml:space="preserve">Note that if</w:t>
      </w:r>
      <w:r>
        <w:t xml:space="preserve"> </w:t>
      </w:r>
      <m:oMath>
        <m:r>
          <m:t>R</m:t>
        </m:r>
        <m:r>
          <m:rPr>
            <m:sty m:val="p"/>
          </m:rPr>
          <m:t>=</m:t>
        </m:r>
        <m:r>
          <m:t>0</m:t>
        </m:r>
      </m:oMath>
      <w:r>
        <w:t xml:space="preserve"> </w:t>
      </w:r>
      <w:r>
        <w:t xml:space="preserve">or</w:t>
      </w:r>
      <w:r>
        <w:t xml:space="preserve"> </w:t>
      </w:r>
      <m:oMath>
        <m:r>
          <m:t>λ</m:t>
        </m:r>
        <m:r>
          <m:rPr>
            <m:sty m:val="p"/>
          </m:rPr>
          <m:t>=</m:t>
        </m:r>
        <m:r>
          <m:t>0</m:t>
        </m:r>
      </m:oMath>
      <w:r>
        <w:t xml:space="preserve">, then, trivially, no change in fitness occurs (since females and males cannot mate or do not produce offspring).</w:t>
      </w:r>
      <w:r>
        <w:t xml:space="preserve"> </w:t>
      </w:r>
      <w:r>
        <w:t xml:space="preserve">Fitness is increased by searching for nuptial gifts when</w:t>
      </w:r>
      <w:r>
        <w:t xml:space="preserve"> </w:t>
      </w:r>
      <m:oMath>
        <m:r>
          <m:t>γ</m:t>
        </m:r>
      </m:oMath>
      <w:r>
        <w:t xml:space="preserve"> </w:t>
      </w:r>
      <w:r>
        <w:t xml:space="preserve">is high, scaled by the expect search time needed to find a nuptial gift.</w:t>
      </w:r>
      <w:r>
        <w:t xml:space="preserve"> </w:t>
      </w:r>
      <w:r>
        <w:t xml:space="preserve">A second term on the right-hand side is subtracted, which reflects a loss in fitness proportional to the encounter rate of potential mates in the mating pool.</w:t>
      </w:r>
      <w:r>
        <w:t xml:space="preserve"> </w:t>
      </w:r>
      <w:r>
        <w:t xml:space="preserve">The conditions under which male inclusive fitness increases by searching for a nuptial gift are found by setting</w:t>
      </w:r>
      <w:r>
        <w:t xml:space="preserve"> </w:t>
      </w:r>
      <m:oMath>
        <m:r>
          <m:rPr>
            <m:sty m:val="p"/>
          </m:rPr>
          <m:t>∂</m:t>
        </m:r>
        <m:sSub>
          <m:e>
            <m:r>
              <m:t>W</m:t>
            </m:r>
          </m:e>
          <m:sub>
            <m:r>
              <m:rPr>
                <m:sty m:val="p"/>
              </m:rPr>
              <m:t>m</m:t>
            </m:r>
          </m:sub>
        </m:sSub>
        <m:r>
          <m:rPr>
            <m:sty m:val="p"/>
          </m:rPr>
          <m:t>/</m:t>
        </m:r>
        <m:r>
          <m:rPr>
            <m:sty m:val="p"/>
          </m:rPr>
          <m:t>∂</m:t>
        </m:r>
        <m:sSub>
          <m:e>
            <m:r>
              <m:t>T</m:t>
            </m:r>
          </m:e>
          <m:sub>
            <m:r>
              <m:rPr>
                <m:sty m:val="p"/>
              </m:rPr>
              <m:t>m</m:t>
            </m:r>
          </m:sub>
        </m:sSub>
        <m:r>
          <m:rPr>
            <m:sty m:val="p"/>
          </m:rPr>
          <m:t>=</m:t>
        </m:r>
        <m:r>
          <m:t>0</m:t>
        </m:r>
      </m:oMath>
      <w:r>
        <w:t xml:space="preserve"> </w:t>
      </w:r>
      <w:r>
        <w:t xml:space="preserve">and solving for</w:t>
      </w:r>
      <w:r>
        <w:t xml:space="preserve"> </w:t>
      </w:r>
      <m:oMath>
        <m:r>
          <m:t>γ</m:t>
        </m:r>
      </m:oMath>
      <w:r>
        <w:t xml:space="preserve"> </w:t>
      </w:r>
      <w:r>
        <w:t xml:space="preserve">to recover Eq. 2 from the main text,</w:t>
      </w:r>
    </w:p>
    <w:p>
      <w:pPr>
        <w:pStyle w:val="BodyText"/>
      </w:pPr>
      <m:oMathPara>
        <m:oMathParaPr>
          <m:jc m:val="center"/>
        </m:oMathParaPr>
        <m:oMath>
          <m:r>
            <m:t>0</m:t>
          </m:r>
          <m:r>
            <m:rPr>
              <m:sty m:val="p"/>
            </m:rPr>
            <m:t>=</m:t>
          </m:r>
          <m:r>
            <m:t>λ</m:t>
          </m:r>
          <m:f>
            <m:fPr>
              <m:type m:val="bar"/>
            </m:fPr>
            <m:num>
              <m:r>
                <m:t>R</m:t>
              </m:r>
              <m:r>
                <m:t>γ</m:t>
              </m:r>
            </m:num>
            <m:den>
              <m:r>
                <m:t>α</m:t>
              </m:r>
              <m:d>
                <m:dPr>
                  <m:begChr m:val="("/>
                  <m:endChr m:val=")"/>
                  <m:sepChr m:val=""/>
                  <m:grow/>
                </m:dPr>
                <m:e>
                  <m:r>
                    <m:t>β</m:t>
                  </m:r>
                  <m:r>
                    <m:rPr>
                      <m:sty m:val="p"/>
                    </m:rPr>
                    <m:t>+</m:t>
                  </m:r>
                  <m:r>
                    <m:t>1</m:t>
                  </m:r>
                </m:e>
              </m:d>
            </m:den>
          </m:f>
          <m:r>
            <m:rPr>
              <m:sty m:val="p"/>
            </m:rPr>
            <m:t>−</m:t>
          </m:r>
          <m:r>
            <m:t>λ</m:t>
          </m:r>
          <m:f>
            <m:fPr>
              <m:type m:val="bar"/>
            </m:fPr>
            <m:num>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m:oMathPara>
        <m:oMathParaPr>
          <m:jc m:val="center"/>
        </m:oMathParaPr>
        <m:oMath>
          <m:r>
            <m:t>λ</m:t>
          </m:r>
          <m:f>
            <m:fPr>
              <m:type m:val="bar"/>
            </m:fPr>
            <m:num>
              <m:sSup>
                <m:e>
                  <m:r>
                    <m:t>R</m:t>
                  </m:r>
                </m:e>
                <m:sup>
                  <m:r>
                    <m:t>2</m:t>
                  </m:r>
                </m:sup>
              </m:sSup>
            </m:num>
            <m:den>
              <m:sSup>
                <m:e>
                  <m:d>
                    <m:dPr>
                      <m:begChr m:val="("/>
                      <m:endChr m:val=")"/>
                      <m:sepChr m:val=""/>
                      <m:grow/>
                    </m:dPr>
                    <m:e>
                      <m:r>
                        <m:t>1</m:t>
                      </m:r>
                      <m:r>
                        <m:rPr>
                          <m:sty m:val="p"/>
                        </m:rPr>
                        <m:t>+</m:t>
                      </m:r>
                      <m:r>
                        <m:t>β</m:t>
                      </m:r>
                    </m:e>
                  </m:d>
                </m:e>
                <m:sup>
                  <m:r>
                    <m:t>2</m:t>
                  </m:r>
                </m:sup>
              </m:sSup>
            </m:den>
          </m:f>
          <m:r>
            <m:rPr>
              <m:sty m:val="p"/>
            </m:rPr>
            <m:t>=</m:t>
          </m:r>
          <m:r>
            <m:t>λ</m:t>
          </m:r>
          <m:f>
            <m:fPr>
              <m:type m:val="bar"/>
            </m:fPr>
            <m:num>
              <m:r>
                <m:t>R</m:t>
              </m:r>
              <m:r>
                <m:t>γ</m:t>
              </m:r>
            </m:num>
            <m:den>
              <m:r>
                <m:t>α</m:t>
              </m:r>
              <m:d>
                <m:dPr>
                  <m:begChr m:val="("/>
                  <m:endChr m:val=")"/>
                  <m:sepChr m:val=""/>
                  <m:grow/>
                </m:dPr>
                <m:e>
                  <m:r>
                    <m:t>β</m:t>
                  </m:r>
                  <m:r>
                    <m:rPr>
                      <m:sty m:val="p"/>
                    </m:rPr>
                    <m:t>+</m:t>
                  </m:r>
                  <m:r>
                    <m:t>1</m:t>
                  </m:r>
                </m:e>
              </m:d>
            </m:den>
          </m:f>
          <m:r>
            <m:rPr>
              <m:sty m:val="p"/>
            </m:rPr>
            <m:t>,</m:t>
          </m:r>
        </m:oMath>
      </m:oMathPara>
    </w:p>
    <w:p>
      <w:pPr>
        <w:pStyle w:val="FirstParagraph"/>
      </w:pPr>
      <m:oMathPara>
        <m:oMathParaPr>
          <m:jc m:val="center"/>
        </m:oMathParaPr>
        <m:oMath>
          <m:f>
            <m:fPr>
              <m:type m:val="bar"/>
            </m:fPr>
            <m:num>
              <m:r>
                <m:t>R</m:t>
              </m:r>
            </m:num>
            <m:den>
              <m:sSup>
                <m:e>
                  <m:d>
                    <m:dPr>
                      <m:begChr m:val="("/>
                      <m:endChr m:val=")"/>
                      <m:sepChr m:val=""/>
                      <m:grow/>
                    </m:dPr>
                    <m:e>
                      <m:r>
                        <m:t>1</m:t>
                      </m:r>
                      <m:r>
                        <m:rPr>
                          <m:sty m:val="p"/>
                        </m:rPr>
                        <m:t>+</m:t>
                      </m:r>
                      <m:r>
                        <m:t>β</m:t>
                      </m:r>
                    </m:e>
                  </m:d>
                </m:e>
                <m:sup>
                  <m:r>
                    <m:t>2</m:t>
                  </m:r>
                </m:sup>
              </m:sSup>
            </m:den>
          </m:f>
          <m:r>
            <m:rPr>
              <m:sty m:val="p"/>
            </m:rPr>
            <m:t>=</m:t>
          </m:r>
          <m:f>
            <m:fPr>
              <m:type m:val="bar"/>
            </m:fPr>
            <m:num>
              <m:r>
                <m:t>γ</m:t>
              </m:r>
            </m:num>
            <m:den>
              <m:r>
                <m:t>α</m:t>
              </m:r>
              <m:d>
                <m:dPr>
                  <m:begChr m:val="("/>
                  <m:endChr m:val=")"/>
                  <m:sepChr m:val=""/>
                  <m:grow/>
                </m:dPr>
                <m:e>
                  <m:r>
                    <m:t>β</m:t>
                  </m:r>
                  <m:r>
                    <m:rPr>
                      <m:sty m:val="p"/>
                    </m:rPr>
                    <m:t>+</m:t>
                  </m:r>
                  <m:r>
                    <m:t>1</m:t>
                  </m:r>
                </m:e>
              </m:d>
            </m:den>
          </m:f>
          <m:r>
            <m:rPr>
              <m:sty m:val="p"/>
            </m:rPr>
            <m:t>,</m:t>
          </m:r>
        </m:oMath>
      </m:oMathPara>
    </w:p>
    <w:p>
      <w:pPr>
        <w:pStyle w:val="FirstParagraph"/>
      </w:pPr>
      <m:oMathPara>
        <m:oMathParaPr>
          <m:jc m:val="center"/>
        </m:oMathParaPr>
        <m:oMath>
          <m:f>
            <m:fPr>
              <m:type m:val="bar"/>
            </m:fPr>
            <m:num>
              <m:r>
                <m:t>R</m:t>
              </m:r>
            </m:num>
            <m:den>
              <m:d>
                <m:dPr>
                  <m:begChr m:val="("/>
                  <m:endChr m:val=")"/>
                  <m:sepChr m:val=""/>
                  <m:grow/>
                </m:dPr>
                <m:e>
                  <m:r>
                    <m:t>1</m:t>
                  </m:r>
                  <m:r>
                    <m:rPr>
                      <m:sty m:val="p"/>
                    </m:rPr>
                    <m:t>+</m:t>
                  </m:r>
                  <m:r>
                    <m:t>β</m:t>
                  </m:r>
                </m:e>
              </m:d>
            </m:den>
          </m:f>
          <m:r>
            <m:rPr>
              <m:sty m:val="p"/>
            </m:rPr>
            <m:t>=</m:t>
          </m:r>
          <m:f>
            <m:fPr>
              <m:type m:val="bar"/>
            </m:fPr>
            <m:num>
              <m:r>
                <m:t>γ</m:t>
              </m:r>
            </m:num>
            <m:den>
              <m:r>
                <m:t>α</m:t>
              </m:r>
            </m:den>
          </m:f>
          <m:r>
            <m:rPr>
              <m:sty m:val="p"/>
            </m:rPr>
            <m:t>,</m:t>
          </m:r>
        </m:oMath>
      </m:oMathPara>
    </w:p>
    <w:p>
      <w:pPr>
        <w:pStyle w:val="FirstParagraph"/>
      </w:pPr>
      <m:oMathPara>
        <m:oMathParaPr>
          <m:jc m:val="center"/>
        </m:oMathParaPr>
        <m:oMath>
          <m:r>
            <m:t>γ</m:t>
          </m:r>
          <m:r>
            <m:rPr>
              <m:sty m:val="p"/>
            </m:rPr>
            <m:t>=</m:t>
          </m:r>
          <m:r>
            <m:t>α</m:t>
          </m:r>
          <m:f>
            <m:fPr>
              <m:type m:val="bar"/>
            </m:fPr>
            <m:num>
              <m:r>
                <m:t>R</m:t>
              </m:r>
            </m:num>
            <m:den>
              <m:r>
                <m:t>β</m:t>
              </m:r>
              <m:r>
                <m:rPr>
                  <m:sty m:val="p"/>
                </m:rPr>
                <m:t>+</m:t>
              </m:r>
              <m:r>
                <m:t>1</m:t>
              </m:r>
            </m:den>
          </m:f>
          <m:r>
            <m:rPr>
              <m:sty m:val="p"/>
            </m:rPr>
            <m:t>.</m:t>
          </m:r>
        </m:oMath>
      </m:oMathPara>
    </w:p>
    <w:bookmarkEnd w:id="21"/>
    <w:bookmarkStart w:id="22" w:name="s2-operational-sex-ratio"/>
    <w:p>
      <w:pPr>
        <w:pStyle w:val="Heading2"/>
      </w:pPr>
      <w:r>
        <w:t xml:space="preserve">S2: Operational sex ratio</w:t>
      </w:r>
    </w:p>
    <w:p>
      <w:pPr>
        <w:pStyle w:val="FirstParagraph"/>
      </w:pPr>
      <w:r>
        <w:t xml:space="preserve">We assume that the ratio of males to females is the same upon individual maturation.</w:t>
      </w:r>
      <w:r>
        <w:t xml:space="preserve"> </w:t>
      </w:r>
      <w:r>
        <w:t xml:space="preserve">Consequently, the operational sex ratio</w:t>
      </w:r>
      <w:r>
        <w:t xml:space="preserve"> </w:t>
      </w:r>
      <m:oMath>
        <m:r>
          <m:t>β</m:t>
        </m:r>
      </m:oMath>
      <w:r>
        <w:t xml:space="preserve"> </w:t>
      </w:r>
      <w:r>
        <w:t xml:space="preserve">will be a function of</w:t>
      </w:r>
      <w:r>
        <w:t xml:space="preserve"> </w:t>
      </w:r>
      <m:oMath>
        <m:r>
          <m:t>R</m:t>
        </m:r>
      </m:oMath>
      <w:r>
        <w:t xml:space="preserve">,</w:t>
      </w:r>
      <w:r>
        <w:t xml:space="preserve"> </w:t>
      </w:r>
      <m:oMath>
        <m:sSub>
          <m:e>
            <m:r>
              <m:t>T</m:t>
            </m:r>
          </m:e>
          <m:sub>
            <m:r>
              <m:rPr>
                <m:sty m:val="p"/>
              </m:rPr>
              <m:t>f</m:t>
            </m:r>
          </m:sub>
        </m:sSub>
      </m:oMath>
      <w:r>
        <w:t xml:space="preserve">, and</w:t>
      </w:r>
      <w:r>
        <w:t xml:space="preserve"> </w:t>
      </w:r>
      <m:oMath>
        <m:sSub>
          <m:e>
            <m:r>
              <m:t>T</m:t>
            </m:r>
          </m:e>
          <m:sub>
            <m:r>
              <m:rPr>
                <m:sty m:val="p"/>
              </m:rPr>
              <m:t>m</m:t>
            </m:r>
          </m:sub>
        </m:sSub>
      </m:oMath>
      <w:r>
        <w:t xml:space="preserve"> </w:t>
      </w:r>
      <w:r>
        <w:t xml:space="preserve">because these parameters determine the density of females and males in the mating pool versus outside of the mating pool.</w:t>
      </w:r>
      <w:r>
        <w:t xml:space="preserve"> </w:t>
      </w:r>
      <w:r>
        <w:t xml:space="preserve">We start with the definition of</w:t>
      </w:r>
      <w:r>
        <w:t xml:space="preserve"> </w:t>
      </w:r>
      <m:oMath>
        <m:r>
          <m:t>β</m:t>
        </m:r>
      </m:oMath>
      <w:r>
        <w:t xml:space="preserve"> </w:t>
      </w:r>
      <w:r>
        <w:t xml:space="preserve">as being the probability of finding an individual in time-in</w:t>
      </w:r>
      <w:r>
        <w:t xml:space="preserve"> </w:t>
      </w:r>
      <w:r>
        <w:t xml:space="preserve">(</w:t>
      </w:r>
      <w:hyperlink w:anchor="ref-Kokko2001">
        <w:r>
          <w:rPr>
            <w:rStyle w:val="Hyperlink"/>
          </w:rPr>
          <w:t xml:space="preserve">Kokko &amp; Monaghan, 2001</w:t>
        </w:r>
      </w:hyperlink>
      <w:r>
        <w:t xml:space="preserve">)</w:t>
      </w:r>
      <w:r>
        <w:t xml:space="preserve">,</w:t>
      </w:r>
    </w:p>
    <w:p>
      <w:pPr>
        <w:pStyle w:val="BodyText"/>
      </w:pPr>
      <m:oMathPara>
        <m:oMathParaPr>
          <m:jc m:val="center"/>
        </m:oMathParaPr>
        <m:oMath>
          <m:r>
            <m:t>β</m:t>
          </m:r>
          <m:r>
            <m:rPr>
              <m:sty m:val="p"/>
            </m:rPr>
            <m:t>=</m:t>
          </m:r>
          <m:f>
            <m:fPr>
              <m:type m:val="bar"/>
            </m:fPr>
            <m:num>
              <m:nary>
                <m:naryPr>
                  <m:chr m:val="∫"/>
                  <m:limLoc m:val="subSup"/>
                  <m:subHide m:val="0"/>
                  <m:supHide m:val="0"/>
                </m:naryPr>
                <m:sub>
                  <m:r>
                    <m:t>t</m:t>
                  </m:r>
                  <m:r>
                    <m:rPr>
                      <m:sty m:val="p"/>
                    </m:rPr>
                    <m:t>=</m:t>
                  </m:r>
                  <m:r>
                    <m:t>0</m:t>
                  </m:r>
                </m:sub>
                <m:sup>
                  <m:r>
                    <m:rPr>
                      <m:sty m:val="p"/>
                    </m:rPr>
                    <m:t>∞</m:t>
                  </m:r>
                </m:sup>
                <m:e>
                  <m:sSub>
                    <m:e>
                      <m:r>
                        <m:t>P</m:t>
                      </m:r>
                    </m:e>
                    <m:sub>
                      <m:r>
                        <m:t>I</m:t>
                      </m:r>
                      <m:r>
                        <m:t>M</m:t>
                      </m:r>
                    </m:sub>
                  </m:sSub>
                </m:e>
              </m:nary>
              <m:d>
                <m:dPr>
                  <m:begChr m:val="("/>
                  <m:endChr m:val=")"/>
                  <m:sepChr m:val=""/>
                  <m:grow/>
                </m:dPr>
                <m:e>
                  <m:r>
                    <m:t>t</m:t>
                  </m:r>
                </m:e>
              </m:d>
              <m:r>
                <m:t>d</m:t>
              </m:r>
              <m:r>
                <m:t>t</m:t>
              </m:r>
            </m:num>
            <m:den>
              <m:nary>
                <m:naryPr>
                  <m:chr m:val="∫"/>
                  <m:limLoc m:val="subSup"/>
                  <m:subHide m:val="0"/>
                  <m:supHide m:val="0"/>
                </m:naryPr>
                <m:sub>
                  <m:r>
                    <m:t>t</m:t>
                  </m:r>
                  <m:r>
                    <m:rPr>
                      <m:sty m:val="p"/>
                    </m:rPr>
                    <m:t>=</m:t>
                  </m:r>
                  <m:r>
                    <m:t>0</m:t>
                  </m:r>
                </m:sub>
                <m:sup>
                  <m:r>
                    <m:rPr>
                      <m:sty m:val="p"/>
                    </m:rPr>
                    <m:t>∞</m:t>
                  </m:r>
                </m:sup>
                <m:e>
                  <m:sSub>
                    <m:e>
                      <m:r>
                        <m:t>P</m:t>
                      </m:r>
                    </m:e>
                    <m:sub>
                      <m:r>
                        <m:t>I</m:t>
                      </m:r>
                      <m:r>
                        <m:t>F</m:t>
                      </m:r>
                    </m:sub>
                  </m:sSub>
                </m:e>
              </m:nary>
              <m:d>
                <m:dPr>
                  <m:begChr m:val="("/>
                  <m:endChr m:val=")"/>
                  <m:sepChr m:val=""/>
                  <m:grow/>
                </m:dPr>
                <m:e>
                  <m:r>
                    <m:t>t</m:t>
                  </m:r>
                </m:e>
              </m:d>
              <m:r>
                <m:t>d</m:t>
              </m:r>
              <m:r>
                <m:t>t</m:t>
              </m:r>
            </m:den>
          </m:f>
        </m:oMath>
      </m:oMathPara>
    </w:p>
    <w:p>
      <w:pPr>
        <w:pStyle w:val="FirstParagraph"/>
      </w:pPr>
      <w:r>
        <w:t xml:space="preserve">We can substitute the equations for</w:t>
      </w:r>
      <w:r>
        <w:t xml:space="preserve"> </w:t>
      </w:r>
      <m:oMath>
        <m:sSub>
          <m:e>
            <m:r>
              <m:t>P</m:t>
            </m:r>
          </m:e>
          <m:sub>
            <m:r>
              <m:t>I</m:t>
            </m:r>
            <m:r>
              <m:t>M</m:t>
            </m:r>
          </m:sub>
        </m:sSub>
        <m:d>
          <m:dPr>
            <m:begChr m:val="("/>
            <m:endChr m:val=")"/>
            <m:sepChr m:val=""/>
            <m:grow/>
          </m:dPr>
          <m:e>
            <m:r>
              <m:t>t</m:t>
            </m:r>
          </m:e>
        </m:d>
      </m:oMath>
      <w:r>
        <w:t xml:space="preserve"> </w:t>
      </w:r>
      <w:r>
        <w:t xml:space="preserve">and</w:t>
      </w:r>
      <w:r>
        <w:t xml:space="preserve"> </w:t>
      </w:r>
      <m:oMath>
        <m:sSub>
          <m:e>
            <m:r>
              <m:t>P</m:t>
            </m:r>
          </m:e>
          <m:sub>
            <m:r>
              <m:t>I</m:t>
            </m:r>
            <m:r>
              <m:t>F</m:t>
            </m:r>
          </m:sub>
        </m:sSub>
        <m:d>
          <m:dPr>
            <m:begChr m:val="("/>
            <m:endChr m:val=")"/>
            <m:sepChr m:val=""/>
            <m:grow/>
          </m:dPr>
          <m:e>
            <m:r>
              <m:t>t</m:t>
            </m:r>
          </m:e>
        </m:d>
      </m:oMath>
      <w:r>
        <w:t xml:space="preserve">, which define the probabilities of males and females being within the mating pool at time</w:t>
      </w:r>
      <w:r>
        <w:t xml:space="preserve"> </w:t>
      </w:r>
      <m:oMath>
        <m:r>
          <m:t>t</m:t>
        </m:r>
      </m:oMath>
      <w:r>
        <w:t xml:space="preserve">, respectively.</w:t>
      </w:r>
    </w:p>
    <w:p>
      <w:pPr>
        <w:pStyle w:val="BodyText"/>
      </w:pPr>
      <w:r>
        <w:t xml:space="preserve">We can therefore calculate</w:t>
      </w:r>
      <w:r>
        <w:t xml:space="preserve"> </w:t>
      </w:r>
      <m:oMath>
        <m:r>
          <m:t>β</m:t>
        </m:r>
      </m:oMath>
      <w:r>
        <w:t xml:space="preserve"> </w:t>
      </w:r>
      <w:r>
        <w:t xml:space="preserve">as below,</w:t>
      </w:r>
    </w:p>
    <w:p>
      <w:pPr>
        <w:pStyle w:val="BodyText"/>
      </w:pPr>
      <m:oMathPara>
        <m:oMathParaPr>
          <m:jc m:val="center"/>
        </m:oMathParaPr>
        <m:oMath>
          <m:r>
            <m:t>β</m:t>
          </m:r>
          <m:r>
            <m:rPr>
              <m:sty m:val="p"/>
            </m:rPr>
            <m:t>=</m:t>
          </m:r>
          <m:f>
            <m:fPr>
              <m:type m:val="bar"/>
            </m:fPr>
            <m:num>
              <m:d>
                <m:dPr>
                  <m:begChr m:val="("/>
                  <m:endChr m:val=")"/>
                  <m:sepChr m:val=""/>
                  <m:grow/>
                </m:dPr>
                <m:e>
                  <m:f>
                    <m:fPr>
                      <m:type m:val="bar"/>
                    </m:fPr>
                    <m:num>
                      <m:d>
                        <m:dPr>
                          <m:begChr m:val="("/>
                          <m:endChr m:val=")"/>
                          <m:sepChr m:val=""/>
                          <m:grow/>
                        </m:dPr>
                        <m:e>
                          <m:f>
                            <m:fPr>
                              <m:type m:val="bar"/>
                            </m:fPr>
                            <m:num>
                              <m:r>
                                <m:t>β</m:t>
                              </m:r>
                              <m:r>
                                <m:rPr>
                                  <m:sty m:val="p"/>
                                </m:rPr>
                                <m:t>+</m:t>
                              </m:r>
                              <m:r>
                                <m:t>1</m:t>
                              </m:r>
                            </m:num>
                            <m:den>
                              <m:r>
                                <m:t>R</m:t>
                              </m:r>
                            </m:den>
                          </m:f>
                        </m:e>
                      </m:d>
                    </m:num>
                    <m:den>
                      <m:sSub>
                        <m:e>
                          <m:r>
                            <m:t>T</m:t>
                          </m:r>
                        </m:e>
                        <m:sub>
                          <m:r>
                            <m:rPr>
                              <m:sty m:val="p"/>
                            </m:rPr>
                            <m:t>m</m:t>
                          </m:r>
                        </m:sub>
                      </m:sSub>
                      <m:r>
                        <m:rPr>
                          <m:sty m:val="p"/>
                        </m:rPr>
                        <m:t>+</m:t>
                      </m:r>
                      <m:d>
                        <m:dPr>
                          <m:begChr m:val="("/>
                          <m:endChr m:val=")"/>
                          <m:sepChr m:val=""/>
                          <m:grow/>
                        </m:dPr>
                        <m:e>
                          <m:f>
                            <m:fPr>
                              <m:type m:val="bar"/>
                            </m:fPr>
                            <m:num>
                              <m:r>
                                <m:t>β</m:t>
                              </m:r>
                              <m:r>
                                <m:rPr>
                                  <m:sty m:val="p"/>
                                </m:rPr>
                                <m:t>+</m:t>
                              </m:r>
                              <m:r>
                                <m:t>1</m:t>
                              </m:r>
                            </m:num>
                            <m:den>
                              <m:r>
                                <m:t>R</m:t>
                              </m:r>
                            </m:den>
                          </m:f>
                        </m:e>
                      </m:d>
                    </m:den>
                  </m:f>
                </m:e>
              </m:d>
            </m:num>
            <m:den>
              <m:d>
                <m:dPr>
                  <m:begChr m:val="("/>
                  <m:endChr m:val=")"/>
                  <m:sepChr m:val=""/>
                  <m:grow/>
                </m:dPr>
                <m:e>
                  <m:f>
                    <m:fPr>
                      <m:type m:val="bar"/>
                    </m:fPr>
                    <m:num>
                      <m:d>
                        <m:dPr>
                          <m:begChr m:val="("/>
                          <m:endChr m:val=")"/>
                          <m:sepChr m:val=""/>
                          <m:grow/>
                        </m:dPr>
                        <m:e>
                          <m:r>
                            <m:t>R</m:t>
                          </m:r>
                          <m:f>
                            <m:fPr>
                              <m:type m:val="bar"/>
                            </m:fPr>
                            <m:num>
                              <m:r>
                                <m:t>β</m:t>
                              </m:r>
                            </m:num>
                            <m:den>
                              <m:r>
                                <m:t>β</m:t>
                              </m:r>
                              <m:r>
                                <m:rPr>
                                  <m:sty m:val="p"/>
                                </m:rPr>
                                <m:t>+</m:t>
                              </m:r>
                              <m:r>
                                <m:t>1</m:t>
                              </m:r>
                            </m:den>
                          </m:f>
                        </m:e>
                      </m:d>
                    </m:num>
                    <m:den>
                      <m:sSub>
                        <m:e>
                          <m:r>
                            <m:t>T</m:t>
                          </m:r>
                        </m:e>
                        <m:sub>
                          <m:r>
                            <m:rPr>
                              <m:sty m:val="p"/>
                            </m:rPr>
                            <m:t>f</m:t>
                          </m:r>
                        </m:sub>
                      </m:sSub>
                      <m:r>
                        <m:rPr>
                          <m:sty m:val="p"/>
                        </m:rPr>
                        <m:t>+</m:t>
                      </m:r>
                      <m:d>
                        <m:dPr>
                          <m:begChr m:val="("/>
                          <m:endChr m:val=")"/>
                          <m:sepChr m:val=""/>
                          <m:grow/>
                        </m:dPr>
                        <m:e>
                          <m:r>
                            <m:t>R</m:t>
                          </m:r>
                          <m:f>
                            <m:fPr>
                              <m:type m:val="bar"/>
                            </m:fPr>
                            <m:num>
                              <m:r>
                                <m:t>β</m:t>
                              </m:r>
                            </m:num>
                            <m:den>
                              <m:r>
                                <m:t>β</m:t>
                              </m:r>
                              <m:r>
                                <m:rPr>
                                  <m:sty m:val="p"/>
                                </m:rPr>
                                <m:t>+</m:t>
                              </m:r>
                              <m:r>
                                <m:t>1</m:t>
                              </m:r>
                            </m:den>
                          </m:f>
                        </m:e>
                      </m:d>
                    </m:den>
                  </m:f>
                </m:e>
              </m:d>
            </m:den>
          </m:f>
          <m:r>
            <m:rPr>
              <m:sty m:val="p"/>
            </m:rPr>
            <m:t>.</m:t>
          </m:r>
        </m:oMath>
      </m:oMathPara>
    </w:p>
    <w:p>
      <w:pPr>
        <w:pStyle w:val="FirstParagraph"/>
      </w:pPr>
      <w:r>
        <w:t xml:space="preserve">This can be simplified,</w:t>
      </w:r>
    </w:p>
    <w:p>
      <w:pPr>
        <w:pStyle w:val="BodyText"/>
      </w:pPr>
      <m:oMathPara>
        <m:oMathParaPr>
          <m:jc m:val="center"/>
        </m:oMathParaPr>
        <m:oMath>
          <m:r>
            <m:t>β</m:t>
          </m:r>
          <m:r>
            <m:rPr>
              <m:sty m:val="p"/>
            </m:rPr>
            <m:t>=</m:t>
          </m:r>
          <m:f>
            <m:fPr>
              <m:type m:val="bar"/>
            </m:fPr>
            <m:num>
              <m:d>
                <m:dPr>
                  <m:begChr m:val="("/>
                  <m:endChr m:val=")"/>
                  <m:sepChr m:val=""/>
                  <m:grow/>
                </m:dPr>
                <m:e>
                  <m:r>
                    <m:t>β</m:t>
                  </m:r>
                  <m:d>
                    <m:dPr>
                      <m:begChr m:val="("/>
                      <m:endChr m:val=")"/>
                      <m:sepChr m:val=""/>
                      <m:grow/>
                    </m:dPr>
                    <m:e>
                      <m:r>
                        <m:t>R</m:t>
                      </m:r>
                      <m:r>
                        <m:rPr>
                          <m:sty m:val="p"/>
                        </m:rPr>
                        <m:t>+</m:t>
                      </m:r>
                      <m:sSub>
                        <m:e>
                          <m:r>
                            <m:t>T</m:t>
                          </m:r>
                        </m:e>
                        <m:sub>
                          <m:r>
                            <m:t>f</m:t>
                          </m:r>
                        </m:sub>
                      </m:sSub>
                    </m:e>
                  </m:d>
                  <m:r>
                    <m:rPr>
                      <m:sty m:val="p"/>
                    </m:rPr>
                    <m:t>+</m:t>
                  </m:r>
                  <m:sSub>
                    <m:e>
                      <m:r>
                        <m:t>T</m:t>
                      </m:r>
                    </m:e>
                    <m:sub>
                      <m:r>
                        <m:t>f</m:t>
                      </m:r>
                    </m:sub>
                  </m:sSub>
                </m:e>
              </m:d>
              <m:d>
                <m:dPr>
                  <m:begChr m:val="("/>
                  <m:endChr m:val=")"/>
                  <m:sepChr m:val=""/>
                  <m:grow/>
                </m:dPr>
                <m:e>
                  <m:r>
                    <m:t>β</m:t>
                  </m:r>
                  <m:r>
                    <m:rPr>
                      <m:sty m:val="p"/>
                    </m:rPr>
                    <m:t>+</m:t>
                  </m:r>
                  <m:r>
                    <m:t>1</m:t>
                  </m:r>
                </m:e>
              </m:d>
            </m:num>
            <m:den>
              <m:r>
                <m:t>β</m:t>
              </m:r>
              <m:d>
                <m:dPr>
                  <m:begChr m:val="("/>
                  <m:endChr m:val=")"/>
                  <m:sepChr m:val=""/>
                  <m:grow/>
                </m:dPr>
                <m:e>
                  <m:sSup>
                    <m:e>
                      <m:r>
                        <m:t>R</m:t>
                      </m:r>
                    </m:e>
                    <m:sup>
                      <m:r>
                        <m:t>2</m:t>
                      </m:r>
                    </m:sup>
                  </m:sSup>
                  <m:sSub>
                    <m:e>
                      <m:r>
                        <m:t>T</m:t>
                      </m:r>
                    </m:e>
                    <m:sub>
                      <m:r>
                        <m:t>m</m:t>
                      </m:r>
                    </m:sub>
                  </m:sSub>
                  <m:r>
                    <m:rPr>
                      <m:sty m:val="p"/>
                    </m:rPr>
                    <m:t>+</m:t>
                  </m:r>
                  <m:r>
                    <m:t>R</m:t>
                  </m:r>
                </m:e>
              </m:d>
              <m:r>
                <m:rPr>
                  <m:sty m:val="p"/>
                </m:rPr>
                <m:t>+</m:t>
              </m:r>
              <m:sSup>
                <m:e>
                  <m:r>
                    <m:t>β</m:t>
                  </m:r>
                </m:e>
                <m:sup>
                  <m:r>
                    <m:t>2</m:t>
                  </m:r>
                </m:sup>
              </m:sSup>
              <m:r>
                <m:t>R</m:t>
              </m:r>
            </m:den>
          </m:f>
          <m:r>
            <m:rPr>
              <m:sty m:val="p"/>
            </m:rPr>
            <m:t>.</m:t>
          </m:r>
        </m:oMath>
      </m:oMathPara>
    </w:p>
    <w:p>
      <w:pPr>
        <w:pStyle w:val="FirstParagraph"/>
      </w:pPr>
      <w:r>
        <w:t xml:space="preserve">There is no closed form solution for</w:t>
      </w:r>
      <w:r>
        <w:t xml:space="preserve"> </w:t>
      </w:r>
      <m:oMath>
        <m:r>
          <m:t>β</m:t>
        </m:r>
      </m:oMath>
      <w:r>
        <w:t xml:space="preserve">, but a recursive algorithm can be used to calculate</w:t>
      </w:r>
      <w:r>
        <w:t xml:space="preserve"> </w:t>
      </w:r>
      <m:oMath>
        <m:r>
          <m:t>β</m:t>
        </m:r>
      </m:oMath>
      <w:r>
        <w:t xml:space="preserve"> </w:t>
      </w:r>
      <w:r>
        <w:t xml:space="preserve">to an arbitrary degree of precision.</w:t>
      </w:r>
    </w:p>
    <w:p>
      <w:pPr>
        <w:pStyle w:val="SourceCode"/>
      </w:pPr>
      <w:r>
        <w:rPr>
          <w:rStyle w:val="NormalTok"/>
        </w:rPr>
        <w:t xml:space="preserve">recursive_b </w:t>
      </w:r>
      <w:r>
        <w:rPr>
          <w:rStyle w:val="OtherTok"/>
        </w:rPr>
        <w:t xml:space="preserve">&lt;-</w:t>
      </w:r>
      <w:r>
        <w:rPr>
          <w:rStyle w:val="NormalTok"/>
        </w:rPr>
        <w:t xml:space="preserve"> </w:t>
      </w:r>
      <w:r>
        <w:rPr>
          <w:rStyle w:val="ControlFlowTok"/>
        </w:rPr>
        <w:t xml:space="preserve">function</w:t>
      </w:r>
      <w:r>
        <w:rPr>
          <w:rStyle w:val="NormalTok"/>
        </w:rPr>
        <w:t xml:space="preserve">(B, D, Tf, Tm, </w:t>
      </w:r>
      <w:r>
        <w:rPr>
          <w:rStyle w:val="AttributeTok"/>
        </w:rPr>
        <w:t xml:space="preserve">crit =</w:t>
      </w:r>
      <w:r>
        <w:rPr>
          <w:rStyle w:val="NormalTok"/>
        </w:rPr>
        <w:t xml:space="preserve"> </w:t>
      </w:r>
      <w:r>
        <w:rPr>
          <w:rStyle w:val="FloatTok"/>
        </w:rPr>
        <w:t xml:space="preserve">0.0001</w:t>
      </w:r>
      <w:r>
        <w:rPr>
          <w:rStyle w:val="NormalTok"/>
        </w:rPr>
        <w:t xml:space="preserve">, </w:t>
      </w:r>
      <w:r>
        <w:rPr>
          <w:rStyle w:val="AttributeTok"/>
        </w:rPr>
        <w:t xml:space="preserve">maxit =</w:t>
      </w:r>
      <w:r>
        <w:rPr>
          <w:rStyle w:val="NormalTok"/>
        </w:rPr>
        <w:t xml:space="preserve"> </w:t>
      </w:r>
      <w:r>
        <w:rPr>
          <w:rStyle w:val="DecValTok"/>
        </w:rPr>
        <w:t xml:space="preserve">9999</w:t>
      </w:r>
      <w:r>
        <w:rPr>
          <w:rStyle w:val="NormalTok"/>
        </w:rPr>
        <w:t xml:space="preserve">){</w:t>
      </w:r>
      <w:r>
        <w:br/>
      </w:r>
      <w:r>
        <w:rPr>
          <w:rStyle w:val="NormalTok"/>
        </w:rPr>
        <w:t xml:space="preserve">  conv </w:t>
      </w:r>
      <w:r>
        <w:rPr>
          <w:rStyle w:val="Othe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iter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while</w:t>
      </w:r>
      <w:r>
        <w:rPr>
          <w:rStyle w:val="NormalTok"/>
        </w:rPr>
        <w:t xml:space="preserve">(conv </w:t>
      </w:r>
      <w:r>
        <w:rPr>
          <w:rStyle w:val="SpecialCharTok"/>
        </w:rPr>
        <w:t xml:space="preserve">&gt;</w:t>
      </w:r>
      <w:r>
        <w:rPr>
          <w:rStyle w:val="NormalTok"/>
        </w:rPr>
        <w:t xml:space="preserve"> crit </w:t>
      </w:r>
      <w:r>
        <w:rPr>
          <w:rStyle w:val="SpecialCharTok"/>
        </w:rPr>
        <w:t xml:space="preserve">&amp;</w:t>
      </w:r>
      <w:r>
        <w:rPr>
          <w:rStyle w:val="NormalTok"/>
        </w:rPr>
        <w:t xml:space="preserve"> iter </w:t>
      </w:r>
      <w:r>
        <w:rPr>
          <w:rStyle w:val="SpecialCharTok"/>
        </w:rPr>
        <w:t xml:space="preserve">&lt;</w:t>
      </w:r>
      <w:r>
        <w:rPr>
          <w:rStyle w:val="NormalTok"/>
        </w:rPr>
        <w:t xml:space="preserve"> maxit){</w:t>
      </w:r>
      <w:r>
        <w:br/>
      </w:r>
      <w:r>
        <w:rPr>
          <w:rStyle w:val="NormalTok"/>
        </w:rPr>
        <w:t xml:space="preserve">    Fe   </w:t>
      </w:r>
      <w:r>
        <w:rPr>
          <w:rStyle w:val="OtherTok"/>
        </w:rPr>
        <w:t xml:space="preserve">&lt;-</w:t>
      </w:r>
      <w:r>
        <w:rPr>
          <w:rStyle w:val="NormalTok"/>
        </w:rPr>
        <w:t xml:space="preserve"> D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w:t>
      </w:r>
      <w:r>
        <w:br/>
      </w:r>
      <w:r>
        <w:rPr>
          <w:rStyle w:val="NormalTok"/>
        </w:rPr>
        <w:t xml:space="preserve">    Me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D;</w:t>
      </w:r>
      <w:r>
        <w:br/>
      </w:r>
      <w:r>
        <w:rPr>
          <w:rStyle w:val="NormalTok"/>
        </w:rPr>
        <w:t xml:space="preserve">    Bn   </w:t>
      </w:r>
      <w:r>
        <w:rPr>
          <w:rStyle w:val="OtherTok"/>
        </w:rPr>
        <w:t xml:space="preserve">&lt;-</w:t>
      </w:r>
      <w:r>
        <w:rPr>
          <w:rStyle w:val="NormalTok"/>
        </w:rPr>
        <w:t xml:space="preserve"> (Me </w:t>
      </w:r>
      <w:r>
        <w:rPr>
          <w:rStyle w:val="SpecialCharTok"/>
        </w:rPr>
        <w:t xml:space="preserve">/</w:t>
      </w:r>
      <w:r>
        <w:rPr>
          <w:rStyle w:val="NormalTok"/>
        </w:rPr>
        <w:t xml:space="preserve"> (Tm </w:t>
      </w:r>
      <w:r>
        <w:rPr>
          <w:rStyle w:val="SpecialCharTok"/>
        </w:rPr>
        <w:t xml:space="preserve">+</w:t>
      </w:r>
      <w:r>
        <w:rPr>
          <w:rStyle w:val="NormalTok"/>
        </w:rPr>
        <w:t xml:space="preserve"> Me)) </w:t>
      </w:r>
      <w:r>
        <w:rPr>
          <w:rStyle w:val="SpecialCharTok"/>
        </w:rPr>
        <w:t xml:space="preserve">/</w:t>
      </w:r>
      <w:r>
        <w:rPr>
          <w:rStyle w:val="NormalTok"/>
        </w:rPr>
        <w:t xml:space="preserve"> (Fe </w:t>
      </w:r>
      <w:r>
        <w:rPr>
          <w:rStyle w:val="SpecialCharTok"/>
        </w:rPr>
        <w:t xml:space="preserve">/</w:t>
      </w:r>
      <w:r>
        <w:rPr>
          <w:rStyle w:val="NormalTok"/>
        </w:rPr>
        <w:t xml:space="preserve"> (Tf </w:t>
      </w:r>
      <w:r>
        <w:rPr>
          <w:rStyle w:val="SpecialCharTok"/>
        </w:rPr>
        <w:t xml:space="preserve">+</w:t>
      </w:r>
      <w:r>
        <w:rPr>
          <w:rStyle w:val="NormalTok"/>
        </w:rPr>
        <w:t xml:space="preserve"> Fe));</w:t>
      </w:r>
      <w:r>
        <w:br/>
      </w:r>
      <w:r>
        <w:rPr>
          <w:rStyle w:val="NormalTok"/>
        </w:rPr>
        <w:t xml:space="preserve">    iter </w:t>
      </w:r>
      <w:r>
        <w:rPr>
          <w:rStyle w:val="OtherTok"/>
        </w:rPr>
        <w:t xml:space="preserve">&lt;-</w:t>
      </w:r>
      <w:r>
        <w:rPr>
          <w:rStyle w:val="NormalTok"/>
        </w:rPr>
        <w:t xml:space="preserve"> iter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conv </w:t>
      </w:r>
      <w:r>
        <w:rPr>
          <w:rStyle w:val="OtherTok"/>
        </w:rPr>
        <w:t xml:space="preserve">&lt;-</w:t>
      </w:r>
      <w:r>
        <w:rPr>
          <w:rStyle w:val="NormalTok"/>
        </w:rPr>
        <w:t xml:space="preserve"> </w:t>
      </w:r>
      <w:r>
        <w:rPr>
          <w:rStyle w:val="FunctionTok"/>
        </w:rPr>
        <w:t xml:space="preserve">abs</w:t>
      </w:r>
      <w:r>
        <w:rPr>
          <w:rStyle w:val="NormalTok"/>
        </w:rPr>
        <w:t xml:space="preserve">(Bn </w:t>
      </w:r>
      <w:r>
        <w:rPr>
          <w:rStyle w:val="SpecialCharTok"/>
        </w:rPr>
        <w:t xml:space="preserve">-</w:t>
      </w:r>
      <w:r>
        <w:rPr>
          <w:rStyle w:val="NormalTok"/>
        </w:rPr>
        <w:t xml:space="preserve"> B);</w:t>
      </w:r>
      <w:r>
        <w:br/>
      </w:r>
      <w:r>
        <w:rPr>
          <w:rStyle w:val="NormalTok"/>
        </w:rPr>
        <w:t xml:space="preserve">    B    </w:t>
      </w:r>
      <w:r>
        <w:rPr>
          <w:rStyle w:val="OtherTok"/>
        </w:rPr>
        <w:t xml:space="preserve">&lt;-</w:t>
      </w:r>
      <w:r>
        <w:rPr>
          <w:rStyle w:val="NormalTok"/>
        </w:rPr>
        <w:t xml:space="preserve"> Bn;</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B =</w:t>
      </w:r>
      <w:r>
        <w:rPr>
          <w:rStyle w:val="NormalTok"/>
        </w:rPr>
        <w:t xml:space="preserve"> B, </w:t>
      </w:r>
      <w:r>
        <w:rPr>
          <w:rStyle w:val="AttributeTok"/>
        </w:rPr>
        <w:t xml:space="preserve">conv =</w:t>
      </w:r>
      <w:r>
        <w:rPr>
          <w:rStyle w:val="NormalTok"/>
        </w:rPr>
        <w:t xml:space="preserve"> conv, </w:t>
      </w:r>
      <w:r>
        <w:rPr>
          <w:rStyle w:val="AttributeTok"/>
        </w:rPr>
        <w:t xml:space="preserve">iter =</w:t>
      </w:r>
      <w:r>
        <w:rPr>
          <w:rStyle w:val="NormalTok"/>
        </w:rPr>
        <w:t xml:space="preserve"> iter));</w:t>
      </w:r>
      <w:r>
        <w:br/>
      </w:r>
      <w:r>
        <w:rPr>
          <w:rStyle w:val="NormalTok"/>
        </w:rPr>
        <w:t xml:space="preserve">}</w:t>
      </w:r>
    </w:p>
    <w:p>
      <w:pPr>
        <w:pStyle w:val="FirstParagraph"/>
      </w:pPr>
      <w:r>
        <w:t xml:space="preserve">We used the above function to calculate values of</w:t>
      </w:r>
      <w:r>
        <w:t xml:space="preserve"> </w:t>
      </w:r>
      <m:oMath>
        <m:r>
          <m:t>β</m:t>
        </m:r>
      </m:oMath>
      <w:r>
        <w:t xml:space="preserve"> </w:t>
      </w:r>
      <w:r>
        <w:t xml:space="preserve">for the analytical model.</w:t>
      </w:r>
    </w:p>
    <w:bookmarkEnd w:id="22"/>
    <w:bookmarkStart w:id="42" w:name="Xdb4dbf2eb586f14c463f5ce9278388f9e14f72a"/>
    <w:p>
      <w:pPr>
        <w:pStyle w:val="Heading2"/>
      </w:pPr>
      <w:r>
        <w:t xml:space="preserve">S3: Sensitivity analysis of parameters in IBM</w:t>
      </w:r>
    </w:p>
    <w:p>
      <w:pPr>
        <w:pStyle w:val="FirstParagraph"/>
      </w:pPr>
      <w:r>
        <w:t xml:space="preserve">We investigated the sensitivity of our results to individual mortality during time-in (</w:t>
      </w:r>
      <m:oMath>
        <m:sSub>
          <m:e>
            <m:r>
              <m:t>μ</m:t>
            </m:r>
          </m:e>
          <m:sub>
            <m:r>
              <m:rPr>
                <m:sty m:val="p"/>
              </m:rPr>
              <m:t>i</m:t>
            </m:r>
            <m:r>
              <m:rPr>
                <m:sty m:val="p"/>
              </m:rPr>
              <m:t>n</m:t>
            </m:r>
          </m:sub>
        </m:sSub>
      </m:oMath>
      <w:r>
        <w:t xml:space="preserve">) and time-out (</w:t>
      </w:r>
      <m:oMath>
        <m:sSub>
          <m:e>
            <m:r>
              <m:t>μ</m:t>
            </m:r>
          </m:e>
          <m:sub>
            <m:r>
              <m:rPr>
                <m:sty m:val="p"/>
              </m:rPr>
              <m:t>o</m:t>
            </m:r>
            <m:r>
              <m:rPr>
                <m:sty m:val="p"/>
              </m:rPr>
              <m:t>u</m:t>
            </m:r>
            <m:r>
              <m:rPr>
                <m:sty m:val="p"/>
              </m:rPr>
              <m:t>t</m:t>
            </m:r>
          </m:sub>
        </m:sSub>
      </m:oMath>
      <w:r>
        <w:t xml:space="preserve">), female processing time (</w:t>
      </w:r>
      <m:oMath>
        <m:sSub>
          <m:e>
            <m:r>
              <m:t>T</m:t>
            </m:r>
          </m:e>
          <m:sub>
            <m:r>
              <m:rPr>
                <m:sty m:val="p"/>
              </m:rPr>
              <m:t>f</m:t>
            </m:r>
          </m:sub>
        </m:sSub>
      </m:oMath>
      <w:r>
        <w:t xml:space="preserve">), and the potential for interactions between conspecifics (</w:t>
      </w:r>
      <m:oMath>
        <m:r>
          <m:t>ψ</m:t>
        </m:r>
      </m:oMath>
      <w:r>
        <w:t xml:space="preserve">).</w:t>
      </w:r>
      <w:r>
        <w:t xml:space="preserve"> </w:t>
      </w:r>
      <w:r>
        <w:t xml:space="preserve">Across all of these simulations, there were challenges with statistical power.</w:t>
      </w:r>
      <w:r>
        <w:t xml:space="preserve"> </w:t>
      </w:r>
      <w:r>
        <w:t xml:space="preserve">Evidence for the evolution of male search (blue points in figures) and female choosiness (red points in figures) was determined by the lower 95% bootstrapped confidence interval of</w:t>
      </w:r>
      <w:r>
        <w:t xml:space="preserve"> </w:t>
      </w:r>
      <m:oMath>
        <m:sSub>
          <m:e>
            <m:r>
              <m:t>T</m:t>
            </m:r>
          </m:e>
          <m:sub>
            <m:r>
              <m:rPr>
                <m:sty m:val="p"/>
              </m:rPr>
              <m:t>m</m:t>
            </m:r>
          </m:sub>
        </m:sSub>
      </m:oMath>
      <w:r>
        <w:t xml:space="preserve"> </w:t>
      </w:r>
      <w:r>
        <w:t xml:space="preserve">and</w:t>
      </w:r>
      <w:r>
        <w:t xml:space="preserve"> </w:t>
      </w:r>
      <m:oMath>
        <m:sSub>
          <m:e>
            <m:r>
              <m:t>T</m:t>
            </m:r>
          </m:e>
          <m:sub>
            <m:r>
              <m:rPr>
                <m:sty m:val="p"/>
              </m:rPr>
              <m:t>f</m:t>
            </m:r>
          </m:sub>
        </m:sSub>
      </m:oMath>
      <w:r>
        <w:t xml:space="preserve"> </w:t>
      </w:r>
      <w:r>
        <w:t xml:space="preserve">values being greater than zero, respectively.</w:t>
      </w:r>
      <w:r>
        <w:t xml:space="preserve"> </w:t>
      </w:r>
      <w:r>
        <w:t xml:space="preserve">This required a lot of replicate simulations in the main text (Figure 3), especially for values just above predicted thresholds and for female choosiness.</w:t>
      </w:r>
      <w:r>
        <w:t xml:space="preserve"> </w:t>
      </w:r>
      <w:r>
        <w:t xml:space="preserve">Computation time was a limiting factor, even using a compiled language (C) and with access to a computing cluster.</w:t>
      </w:r>
      <w:r>
        <w:t xml:space="preserve"> </w:t>
      </w:r>
      <w:r>
        <w:t xml:space="preserve">Absence of points above threshold values are not necessarily evidence that evolution of male search or female choosiness is not predicted to evolve in these regions of parameter space, but it does indicate that evolution of these traits is not necessarily assured given the stochasticity inherent to the IBM.</w:t>
      </w:r>
      <w:r>
        <w:t xml:space="preserve"> </w:t>
      </w:r>
      <w:r>
        <w:t xml:space="preserve">Additional simulations can be conducted using the C code in the</w:t>
      </w:r>
      <w:r>
        <w:t xml:space="preserve"> </w:t>
      </w:r>
      <w:r>
        <w:t xml:space="preserve">‘</w:t>
      </w:r>
      <w:r>
        <w:t xml:space="preserve">src</w:t>
      </w:r>
      <w:r>
        <w:t xml:space="preserve">’</w:t>
      </w:r>
      <w:r>
        <w:t xml:space="preserve"> </w:t>
      </w:r>
      <w:r>
        <w:t xml:space="preserve">folder of the GitHub repository (</w:t>
      </w:r>
      <w:hyperlink r:id="rId23">
        <w:r>
          <w:rPr>
            <w:rStyle w:val="Hyperlink"/>
          </w:rPr>
          <w:t xml:space="preserve">https://github.com/bradduthie/nuptial_gift_evolution</w:t>
        </w:r>
      </w:hyperlink>
      <w:r>
        <w:t xml:space="preserve">).</w:t>
      </w:r>
      <w:r>
        <w:t xml:space="preserve"> </w:t>
      </w:r>
      <w:r>
        <w:t xml:space="preserve">Below, we explain the parameter values used in the sensitivity analysis in more detail.</w:t>
      </w:r>
    </w:p>
    <w:p>
      <w:pPr>
        <w:pStyle w:val="BodyText"/>
      </w:pPr>
      <w:r>
        <w:rPr>
          <w:iCs/>
          <w:i/>
        </w:rPr>
        <w:t xml:space="preserve">Mortality</w:t>
      </w:r>
    </w:p>
    <w:p>
      <w:pPr>
        <w:pStyle w:val="BodyText"/>
      </w:pPr>
      <w:r>
        <w:t xml:space="preserve">We conducted a sensitivity analysis of the effect of the mortality parameters</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w:t>
      </w:r>
      <w:r>
        <w:t xml:space="preserve">(the probability of mortality in time-in and time-out, respectively, which we assumed to be equal for all individuals) on the evolution of male search and female choice using the IBM.</w:t>
      </w:r>
      <w:r>
        <w:t xml:space="preserve"> </w:t>
      </w:r>
      <w:r>
        <w:t xml:space="preserve">The results revealed no correlation between the value of the mortality parameters and the evolution of male search or female choice (Fig. S2.1).</w:t>
      </w:r>
    </w:p>
    <w:p>
      <w:pPr>
        <w:pStyle w:val="BodyText"/>
      </w:pPr>
      <w:r>
        <w:rPr>
          <w:iCs/>
          <w:i/>
        </w:rPr>
        <w:t xml:space="preserve">Female processing time</w:t>
      </w:r>
    </w:p>
    <w:p>
      <w:pPr>
        <w:pStyle w:val="BodyText"/>
      </w:pPr>
      <w:r>
        <w:t xml:space="preserve">We also conducted a sensitivity analysis of female processing time</w:t>
      </w:r>
      <w:r>
        <w:t xml:space="preserve"> </w:t>
      </w:r>
      <m:oMath>
        <m:sSub>
          <m:e>
            <m:r>
              <m:t>T</m:t>
            </m:r>
          </m:e>
          <m:sub>
            <m:r>
              <m:rPr>
                <m:sty m:val="p"/>
              </m:rPr>
              <m:t>f</m:t>
            </m:r>
          </m:sub>
        </m:sSub>
      </m:oMath>
      <w:r>
        <w:t xml:space="preserve">.</w:t>
      </w:r>
      <w:r>
        <w:t xml:space="preserve"> </w:t>
      </w:r>
      <w:r>
        <w:t xml:space="preserve">To do this, we ran simulations at default values, but with</w:t>
      </w:r>
      <w:r>
        <w:t xml:space="preserve"> </w:t>
      </w:r>
      <m:oMath>
        <m:sSub>
          <m:e>
            <m:r>
              <m:t>T</m:t>
            </m:r>
          </m:e>
          <m:sub>
            <m:r>
              <m:rPr>
                <m:sty m:val="p"/>
              </m:rPr>
              <m:t>f</m:t>
            </m:r>
          </m:sub>
        </m:sSub>
        <m:r>
          <m:rPr>
            <m:sty m:val="p"/>
          </m:rPr>
          <m:t>=</m:t>
        </m:r>
        <m:r>
          <m:t>10.0</m:t>
        </m:r>
      </m:oMath>
      <w:r>
        <w:t xml:space="preserve"> </w:t>
      </w:r>
      <w:r>
        <w:t xml:space="preserve">(Figures S2.2).</w:t>
      </w:r>
    </w:p>
    <w:p>
      <w:pPr>
        <w:pStyle w:val="BodyText"/>
      </w:pPr>
      <w:r>
        <w:rPr>
          <w:iCs/>
          <w:i/>
        </w:rPr>
        <w:t xml:space="preserve">Interactions between conspecifics</w:t>
      </w:r>
    </w:p>
    <w:p>
      <w:pPr>
        <w:pStyle w:val="BodyText"/>
      </w:pPr>
      <w:r>
        <w:t xml:space="preserve">We conducted a sensitivity analysis on the encounter rate between conspecifics (</w:t>
      </w:r>
      <m:oMath>
        <m:r>
          <m:t>R</m:t>
        </m:r>
      </m:oMath>
      <w:r>
        <w:t xml:space="preserve">) by varying the value of our scaling parameter</w:t>
      </w:r>
      <w:r>
        <w:t xml:space="preserve"> </w:t>
      </w:r>
      <m:oMath>
        <m:r>
          <m:t>ψ</m:t>
        </m:r>
      </m:oMath>
      <w:r>
        <w:t xml:space="preserve">.</w:t>
      </w:r>
      <w:r>
        <w:t xml:space="preserve"> </w:t>
      </w:r>
      <w:r>
        <w:t xml:space="preserve">Under default simulations,</w:t>
      </w:r>
      <w:r>
        <w:t xml:space="preserve"> </w:t>
      </w:r>
      <m:oMath>
        <m:r>
          <m:t>ψ</m:t>
        </m:r>
        <m:r>
          <m:rPr>
            <m:sty m:val="p"/>
          </m:rPr>
          <m:t>=</m:t>
        </m:r>
        <m:r>
          <m:t>3</m:t>
        </m:r>
      </m:oMath>
      <w:r>
        <w:t xml:space="preserve">.</w:t>
      </w:r>
      <w:r>
        <w:t xml:space="preserve"> </w:t>
      </w:r>
      <w:r>
        <w:t xml:space="preserve">We also ran simulations in which</w:t>
      </w:r>
      <w:r>
        <w:t xml:space="preserve"> </w:t>
      </w:r>
      <m:oMath>
        <m:r>
          <m:t>ψ</m:t>
        </m:r>
        <m:r>
          <m:rPr>
            <m:sty m:val="p"/>
          </m:rPr>
          <m:t>=</m:t>
        </m:r>
        <m:r>
          <m:t>1</m:t>
        </m:r>
      </m:oMath>
      <w:r>
        <w:t xml:space="preserve"> </w:t>
      </w:r>
      <w:r>
        <w:t xml:space="preserve">(Figure S2.3),</w:t>
      </w:r>
      <w:r>
        <w:t xml:space="preserve"> </w:t>
      </w:r>
      <m:oMath>
        <m:r>
          <m:t>ψ</m:t>
        </m:r>
        <m:r>
          <m:rPr>
            <m:sty m:val="p"/>
          </m:rPr>
          <m:t>=</m:t>
        </m:r>
        <m:r>
          <m:t>2</m:t>
        </m:r>
      </m:oMath>
      <w:r>
        <w:t xml:space="preserve"> </w:t>
      </w:r>
      <w:r>
        <w:t xml:space="preserve">(Figure S3.4),</w:t>
      </w:r>
      <w:r>
        <w:t xml:space="preserve"> </w:t>
      </w:r>
      <m:oMath>
        <m:r>
          <m:t>ψ</m:t>
        </m:r>
        <m:r>
          <m:rPr>
            <m:sty m:val="p"/>
          </m:rPr>
          <m:t>=</m:t>
        </m:r>
        <m:r>
          <m:t>4</m:t>
        </m:r>
      </m:oMath>
      <w:r>
        <w:t xml:space="preserve"> </w:t>
      </w:r>
      <w:r>
        <w:t xml:space="preserve">(Figure S3.5), and</w:t>
      </w:r>
      <w:r>
        <w:t xml:space="preserve"> </w:t>
      </w:r>
      <m:oMath>
        <m:r>
          <m:t>ψ</m:t>
        </m:r>
        <m:r>
          <m:rPr>
            <m:sty m:val="p"/>
          </m:rPr>
          <m:t>=</m:t>
        </m:r>
        <m:r>
          <m:t>6</m:t>
        </m:r>
      </m:oMath>
      <w:r>
        <w:t xml:space="preserve"> </w:t>
      </w:r>
      <w:r>
        <w:t xml:space="preserve">(Figure S3.6), with all other parameters being set to default values.</w:t>
      </w:r>
    </w:p>
    <w:p>
      <w:pPr>
        <w:pStyle w:val="CaptionedFigure"/>
      </w:pPr>
      <w:r>
        <w:drawing>
          <wp:inline>
            <wp:extent cx="5029200" cy="5029200"/>
            <wp:effectExtent b="0" l="0" r="0" t="0"/>
            <wp:docPr descr="Figure S2.1: Evolution of both male search (blue) and female choice (red) under different combinations of the mortality rates \mu_{\mathrm{in}} and \mu_{\mathrm{out}} (mortality in time-in and out, respectively). The y-axis is the threshold fitness that leads to evolution of male search (blue) or female choice (red). The results show noise, but no correlation between the value of the mortality parameters and the propensity for male search and/or female choice to evolve. For each of the 25 \times 20 combinations of \mu_{\mathrm{in}} and \mu_{\mathrm{out}}, 1600 replicate simulations were run." title="" id="25" name="Picture"/>
            <a:graphic>
              <a:graphicData uri="http://schemas.openxmlformats.org/drawingml/2006/picture">
                <pic:pic>
                  <pic:nvPicPr>
                    <pic:cNvPr descr="SI_files/figure-docx/unnamed-chunk-3-1.png" id="26" name="Picture"/>
                    <pic:cNvPicPr>
                      <a:picLocks noChangeArrowheads="1" noChangeAspect="1"/>
                    </pic:cNvPicPr>
                  </pic:nvPicPr>
                  <pic:blipFill>
                    <a:blip r:embed="rId24"/>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S2.1: Evolution of both male search (blue) and female choice (red) under different combinations of the mortality rates</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w:t>
      </w:r>
      <w:r>
        <w:t xml:space="preserve">(mortality in time-in and out, respectively). The y-axis is the threshold fitness that leads to evolution of male search (blue) or female choice (red). The results show noise, but no correlation between the value of the mortality parameters and the propensity for male search and/or female choice to evolve. For each of the</w:t>
      </w:r>
      <w:r>
        <w:t xml:space="preserve"> </w:t>
      </w:r>
      <m:oMath>
        <m:r>
          <m:t>25</m:t>
        </m:r>
        <m:r>
          <m:rPr>
            <m:sty m:val="p"/>
          </m:rPr>
          <m:t>×</m:t>
        </m:r>
        <m:r>
          <m:t>20</m:t>
        </m:r>
      </m:oMath>
      <w:r>
        <w:t xml:space="preserve"> </w:t>
      </w:r>
      <w:r>
        <w:t xml:space="preserve">combinations of</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1600 replicate simulations were run.</w:t>
      </w:r>
    </w:p>
    <w:p>
      <w:pPr>
        <w:pStyle w:val="CaptionedFigure"/>
      </w:pPr>
      <w:r>
        <w:drawing>
          <wp:inline>
            <wp:extent cx="5029200" cy="5029200"/>
            <wp:effectExtent b="0" l="0" r="0" t="0"/>
            <wp:docPr descr="Figure S2.3 (T_{\mathrm{f}} = 10.0): The 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3000 replicate simulations with identical starting conditions. Up to 3000 interactions occur between individuals in each time step (\psi = 3), potentially resulting in a mating interaction. The number of individuals in the population remained at or near carrying capacity of K = 1000. Expected female processing time was set to T_{\mathrm{f}}=10.0 time steps, and \gamma and \alpha values in the range [0.1, 2.0] and [0.0, 2.0], respectively, were used." title="" id="28" name="Picture"/>
            <a:graphic>
              <a:graphicData uri="http://schemas.openxmlformats.org/drawingml/2006/picture">
                <pic:pic>
                  <pic:nvPicPr>
                    <pic:cNvPr descr="SI_files/figure-docx/unnamed-chunk-4-1.png" id="29" name="Picture"/>
                    <pic:cNvPicPr>
                      <a:picLocks noChangeArrowheads="1" noChangeAspect="1"/>
                    </pic:cNvPicPr>
                  </pic:nvPicPr>
                  <pic:blipFill>
                    <a:blip r:embed="rId27"/>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S2.3 (</w:t>
      </w:r>
      <m:oMath>
        <m:sSub>
          <m:e>
            <m:r>
              <m:t>T</m:t>
            </m:r>
          </m:e>
          <m:sub>
            <m:r>
              <m:rPr>
                <m:sty m:val="p"/>
              </m:rPr>
              <m:t>f</m:t>
            </m:r>
          </m:sub>
        </m:sSub>
        <m:r>
          <m:rPr>
            <m:sty m:val="p"/>
          </m:rPr>
          <m:t>=</m:t>
        </m:r>
        <m:r>
          <m:t>10.0</m:t>
        </m:r>
      </m:oMath>
      <w:r>
        <w:t xml:space="preserve">): The 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3000 replicate simulations with identical starting conditions. Up to 3000 interactions occur between individuals in each time step (</w:t>
      </w:r>
      <m:oMath>
        <m:r>
          <m:t>ψ</m:t>
        </m:r>
        <m:r>
          <m:rPr>
            <m:sty m:val="p"/>
          </m:rPr>
          <m:t>=</m:t>
        </m:r>
        <m:r>
          <m:t>3</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10.0</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[0.1, 2.0] and [0.0, 2.0], respectively, were used.</w:t>
      </w:r>
    </w:p>
    <w:p>
      <w:pPr>
        <w:pStyle w:val="CaptionedFigure"/>
      </w:pPr>
      <w:r>
        <w:drawing>
          <wp:inline>
            <wp:extent cx="5029200" cy="5029200"/>
            <wp:effectExtent b="0" l="0" r="0" t="0"/>
            <wp:docPr descr="Figure S2.4 (\psi = 1):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3000 replicate simulations with identical starting conditions. Up to 1000 interactions occur between individuals in each time step (\psi = 1), potentially resulting in a mating interaction. The number of individuals in the population remained at or near carrying capacity of K = 1000. Expected female processing time was set to T_{\mathrm{f}}=2 time steps, and \gamma and \alpha values in the range [0.0, 2.0] and [0.1, 2.0], respectively, were used." title="" id="31" name="Picture"/>
            <a:graphic>
              <a:graphicData uri="http://schemas.openxmlformats.org/drawingml/2006/picture">
                <pic:pic>
                  <pic:nvPicPr>
                    <pic:cNvPr descr="SI_files/figure-docx/unnamed-chunk-5-1.png" id="32" name="Picture"/>
                    <pic:cNvPicPr>
                      <a:picLocks noChangeArrowheads="1" noChangeAspect="1"/>
                    </pic:cNvPicPr>
                  </pic:nvPicPr>
                  <pic:blipFill>
                    <a:blip r:embed="rId30"/>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S2.4 (</w:t>
      </w:r>
      <m:oMath>
        <m:r>
          <m:t>ψ</m:t>
        </m:r>
        <m:r>
          <m:rPr>
            <m:sty m:val="p"/>
          </m:rPr>
          <m:t>=</m:t>
        </m:r>
        <m:r>
          <m:t>1</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3000 replicate simulations with identical starting conditions. Up to 1000 interactions occur between individuals in each time step (</w:t>
      </w:r>
      <m:oMath>
        <m:r>
          <m:t>ψ</m:t>
        </m:r>
        <m:r>
          <m:rPr>
            <m:sty m:val="p"/>
          </m:rPr>
          <m:t>=</m:t>
        </m:r>
        <m:r>
          <m:t>1</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CaptionedFigure"/>
      </w:pPr>
      <w:r>
        <w:drawing>
          <wp:inline>
            <wp:extent cx="5029200" cy="5029200"/>
            <wp:effectExtent b="0" l="0" r="0" t="0"/>
            <wp:docPr descr="Figure S2.5 (\psi = 2):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3000 replicate simulations with identical starting conditions. Up to 2000 interactions occur between individuals in each time step (\psi = 2), potentially resulting in a mating interaction. The number of individuals in the population remained at or near carrying capacity of K = 1000. Expected female processing time was set to T_{\mathrm{f}}=2 time steps, and \gamma and \alpha values in the range [0.0, 2.0] and [0.1, 2.0], respectively, were used." title="" id="34" name="Picture"/>
            <a:graphic>
              <a:graphicData uri="http://schemas.openxmlformats.org/drawingml/2006/picture">
                <pic:pic>
                  <pic:nvPicPr>
                    <pic:cNvPr descr="SI_files/figure-docx/unnamed-chunk-6-1.png" id="35" name="Picture"/>
                    <pic:cNvPicPr>
                      <a:picLocks noChangeArrowheads="1" noChangeAspect="1"/>
                    </pic:cNvPicPr>
                  </pic:nvPicPr>
                  <pic:blipFill>
                    <a:blip r:embed="rId33"/>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S2.5 (</w:t>
      </w:r>
      <m:oMath>
        <m:r>
          <m:t>ψ</m:t>
        </m:r>
        <m:r>
          <m:rPr>
            <m:sty m:val="p"/>
          </m:rPr>
          <m:t>=</m:t>
        </m:r>
        <m:r>
          <m:t>2</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3000 replicate simulations with identical starting conditions. Up to 2000 interactions occur between individuals in each time step (</w:t>
      </w:r>
      <m:oMath>
        <m:r>
          <m:t>ψ</m:t>
        </m:r>
        <m:r>
          <m:rPr>
            <m:sty m:val="p"/>
          </m:rPr>
          <m:t>=</m:t>
        </m:r>
        <m:r>
          <m:t>2</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CaptionedFigure"/>
      </w:pPr>
      <w:r>
        <w:drawing>
          <wp:inline>
            <wp:extent cx="5029200" cy="5029200"/>
            <wp:effectExtent b="0" l="0" r="0" t="0"/>
            <wp:docPr descr="Figure S2.6 (\psi = 4):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3000 replicate simulations with identical starting conditions. Up to 4000 interactions occur between individuals in each time step, potentially resulting in a mating interaction (\psi = 4). The number of individuals in the population remained at or near carrying capacity of K = 1000. Expected female processing time was set to T_{\mathrm{f}}=2 time steps, and \gamma and \alpha values in the range [0.0, 2.0] and [0.1, 2.0], respectively, were used." title="" id="37" name="Picture"/>
            <a:graphic>
              <a:graphicData uri="http://schemas.openxmlformats.org/drawingml/2006/picture">
                <pic:pic>
                  <pic:nvPicPr>
                    <pic:cNvPr descr="SI_files/figure-docx/unnamed-chunk-7-1.png" id="38" name="Picture"/>
                    <pic:cNvPicPr>
                      <a:picLocks noChangeArrowheads="1" noChangeAspect="1"/>
                    </pic:cNvPicPr>
                  </pic:nvPicPr>
                  <pic:blipFill>
                    <a:blip r:embed="rId36"/>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S2.6 (</w:t>
      </w:r>
      <m:oMath>
        <m:r>
          <m:t>ψ</m:t>
        </m:r>
        <m:r>
          <m:rPr>
            <m:sty m:val="p"/>
          </m:rPr>
          <m:t>=</m:t>
        </m:r>
        <m:r>
          <m:t>4</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3000 replicate simulations with identical starting conditions. Up to 4000 interactions occur between individuals in each time step, potentially resulting in a mating interaction (</w:t>
      </w:r>
      <m:oMath>
        <m:r>
          <m:t>ψ</m:t>
        </m:r>
        <m:r>
          <m:rPr>
            <m:sty m:val="p"/>
          </m:rPr>
          <m:t>=</m:t>
        </m:r>
        <m:r>
          <m:t>4</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CaptionedFigure"/>
      </w:pPr>
      <w:r>
        <w:drawing>
          <wp:inline>
            <wp:extent cx="5029200" cy="5029200"/>
            <wp:effectExtent b="0" l="0" r="0" t="0"/>
            <wp:docPr descr="Figure S2.7 (\psi = 6):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3000 replicate simulations with identical starting conditions. Up to 6000 interactions occur between individuals in each time step, potentially resulting in a mating interaction (\psi = 6). The number of individuals in the population remained at or near carrying capacity of K = 1000. Expected female processing time was set to T_{\mathrm{f}}=2 time steps, and \gamma and \alpha values in the range [0.0, 2.0] and [0.1, 2.0], respectively, were used." title="" id="40" name="Picture"/>
            <a:graphic>
              <a:graphicData uri="http://schemas.openxmlformats.org/drawingml/2006/picture">
                <pic:pic>
                  <pic:nvPicPr>
                    <pic:cNvPr descr="SI_files/figure-docx/unnamed-chunk-8-1.png" id="41" name="Picture"/>
                    <pic:cNvPicPr>
                      <a:picLocks noChangeArrowheads="1" noChangeAspect="1"/>
                    </pic:cNvPicPr>
                  </pic:nvPicPr>
                  <pic:blipFill>
                    <a:blip r:embed="rId39"/>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S2.7 (</w:t>
      </w:r>
      <m:oMath>
        <m:r>
          <m:t>ψ</m:t>
        </m:r>
        <m:r>
          <m:rPr>
            <m:sty m:val="p"/>
          </m:rPr>
          <m:t>=</m:t>
        </m:r>
        <m:r>
          <m:t>6</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3000 replicate simulations with identical starting conditions. Up to 6000 interactions occur between individuals in each time step, potentially resulting in a mating interaction (</w:t>
      </w:r>
      <m:oMath>
        <m:r>
          <m:t>ψ</m:t>
        </m:r>
        <m:r>
          <m:rPr>
            <m:sty m:val="p"/>
          </m:rPr>
          <m:t>=</m:t>
        </m:r>
        <m:r>
          <m:t>6</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bookmarkEnd w:id="42"/>
    <w:bookmarkStart w:id="46" w:name="X61ae0e9c2d4d0ae737d2fb3ab9490abc7f68ffc"/>
    <w:p>
      <w:pPr>
        <w:pStyle w:val="Heading2"/>
      </w:pPr>
      <w:r>
        <w:t xml:space="preserve">S4: Separate evolution of male search and female choice</w:t>
      </w:r>
    </w:p>
    <w:p>
      <w:pPr>
        <w:pStyle w:val="FirstParagraph"/>
      </w:pPr>
      <w:r>
        <w:t xml:space="preserve">We used the individual-based simulation model to unpack the effect of coevolution on the evolution of male search and female choice.</w:t>
      </w:r>
      <w:r>
        <w:t xml:space="preserve"> </w:t>
      </w:r>
      <w:r>
        <w:t xml:space="preserve">Here we replicated the simulations shown in the main text under the condition where only one trait at a time was allowed to evolve and studied how this affected the trait evolution.</w:t>
      </w:r>
    </w:p>
    <w:p>
      <w:pPr>
        <w:pStyle w:val="BodyText"/>
      </w:pPr>
      <w:r>
        <w:t xml:space="preserve">First, we submitted a set of simulations wherein male search did not evolve, but was fixed at different values.</w:t>
      </w:r>
      <w:r>
        <w:t xml:space="preserve"> </w:t>
      </w:r>
      <w:r>
        <w:t xml:space="preserve">Next, we ran the same set of simulations wherein male search evolved, but female choice was not possible.</w:t>
      </w:r>
      <w:r>
        <w:t xml:space="preserve"> </w:t>
      </w:r>
      <w:r>
        <w:t xml:space="preserve">The results thus show how each trait evolves in the absence of any coevolution (Fig. S4.1).</w:t>
      </w:r>
    </w:p>
    <w:p>
      <w:pPr>
        <w:pStyle w:val="CaptionedFigure"/>
      </w:pPr>
      <w:r>
        <w:drawing>
          <wp:inline>
            <wp:extent cx="5029200" cy="5029200"/>
            <wp:effectExtent b="0" l="0" r="0" t="0"/>
            <wp:docPr descr="Figure S4.1: The separate evolution of male search and female choosiness as a function of nuptial gift search time. Points show where the lower 95% confidence interval of male search (blue) and female choosiness (red) exceeds zero, indicating evolution of nuptial gift search or choosiness. Each point includes data from 2 \times 3000 replicate simulations with identical starting conditions. In the first batch, male search was constant and initialized at T_{\mathrm{m}} = \alpha, and female choice was evolving. In the second batch, male search was evolving, and there was no option for female choice. The parameters T_{\mathrm{f}}=2, and \gamma and \alpha values were set within the range [0.1, 2.0] and [0.0, 2.0], respectively." title="" id="44" name="Picture"/>
            <a:graphic>
              <a:graphicData uri="http://schemas.openxmlformats.org/drawingml/2006/picture">
                <pic:pic>
                  <pic:nvPicPr>
                    <pic:cNvPr descr="SI_files/figure-docx/unnamed-chunk-9-1.png" id="45" name="Picture"/>
                    <pic:cNvPicPr>
                      <a:picLocks noChangeArrowheads="1" noChangeAspect="1"/>
                    </pic:cNvPicPr>
                  </pic:nvPicPr>
                  <pic:blipFill>
                    <a:blip r:embed="rId43"/>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S4.1: The separate evolution of male search and female choosiness as a function of nuptial gift search time. Points show where the lower 95% confidence interval of male search (blue) and female choosiness (red) exceeds zero, indicating evolution of nuptial gift search or choosiness. Each point includes data from</w:t>
      </w:r>
      <w:r>
        <w:t xml:space="preserve"> </w:t>
      </w:r>
      <m:oMath>
        <m:r>
          <m:t>2</m:t>
        </m:r>
        <m:r>
          <m:rPr>
            <m:sty m:val="p"/>
          </m:rPr>
          <m:t>×</m:t>
        </m:r>
        <m:r>
          <m:t>3000</m:t>
        </m:r>
      </m:oMath>
      <w:r>
        <w:t xml:space="preserve"> </w:t>
      </w:r>
      <w:r>
        <w:t xml:space="preserve">replicate simulations with identical starting conditions. In the first batch, male search was constant and initialized at</w:t>
      </w:r>
      <w:r>
        <w:t xml:space="preserve"> </w:t>
      </w:r>
      <m:oMath>
        <m:sSub>
          <m:e>
            <m:r>
              <m:t>T</m:t>
            </m:r>
          </m:e>
          <m:sub>
            <m:r>
              <m:rPr>
                <m:sty m:val="p"/>
              </m:rPr>
              <m:t>m</m:t>
            </m:r>
          </m:sub>
        </m:sSub>
        <m:r>
          <m:rPr>
            <m:sty m:val="p"/>
          </m:rPr>
          <m:t>=</m:t>
        </m:r>
        <m:r>
          <m:t>α</m:t>
        </m:r>
      </m:oMath>
      <w:r>
        <w:t xml:space="preserve">, and female choice was evolving. In the second batch, male search was evolving, and there was no option for female choice. The parameters</w:t>
      </w:r>
      <w:r>
        <w:t xml:space="preserve"> </w:t>
      </w:r>
      <m:oMath>
        <m:sSub>
          <m:e>
            <m:r>
              <m:t>T</m:t>
            </m:r>
          </m:e>
          <m:sub>
            <m:r>
              <m:rPr>
                <m:sty m:val="p"/>
              </m:rPr>
              <m:t>f</m:t>
            </m:r>
          </m:sub>
        </m:sSub>
        <m:r>
          <m:rPr>
            <m:sty m:val="p"/>
          </m:rPr>
          <m:t>=</m:t>
        </m:r>
        <m:r>
          <m:t>2</m:t>
        </m:r>
      </m:oMath>
      <w:r>
        <w:t xml:space="preserve">, and</w:t>
      </w:r>
      <w:r>
        <w:t xml:space="preserve"> </w:t>
      </w:r>
      <m:oMath>
        <m:r>
          <m:t>γ</m:t>
        </m:r>
      </m:oMath>
      <w:r>
        <w:t xml:space="preserve"> </w:t>
      </w:r>
      <w:r>
        <w:t xml:space="preserve">and</w:t>
      </w:r>
      <w:r>
        <w:t xml:space="preserve"> </w:t>
      </w:r>
      <m:oMath>
        <m:r>
          <m:t>α</m:t>
        </m:r>
      </m:oMath>
      <w:r>
        <w:t xml:space="preserve"> </w:t>
      </w:r>
      <w:r>
        <w:t xml:space="preserve">values were set within the range [0.1, 2.0] and [0.0, 2.0], respectively.</w:t>
      </w:r>
    </w:p>
    <w:bookmarkEnd w:id="46"/>
    <w:bookmarkEnd w:id="47"/>
    <w:bookmarkStart w:id="51" w:name="references"/>
    <w:p>
      <w:pPr>
        <w:pStyle w:val="Heading1"/>
      </w:pPr>
      <w:r>
        <w:t xml:space="preserve">References</w:t>
      </w:r>
    </w:p>
    <w:bookmarkStart w:id="50" w:name="refs"/>
    <w:bookmarkStart w:id="49" w:name="ref-Kokko2001"/>
    <w:p>
      <w:pPr>
        <w:pStyle w:val="Bibliography"/>
      </w:pPr>
      <w:r>
        <w:t xml:space="preserve">Kokko, H. &amp; Monaghan, P. (2001)</w:t>
      </w:r>
      <w:r>
        <w:t xml:space="preserve"> </w:t>
      </w:r>
      <w:hyperlink r:id="rId48">
        <w:r>
          <w:rPr>
            <w:rStyle w:val="Hyperlink"/>
          </w:rPr>
          <w:t xml:space="preserve">Predicting the direction of sexual selection</w:t>
        </w:r>
      </w:hyperlink>
      <w:r>
        <w:t xml:space="preserve">.</w:t>
      </w:r>
      <w:r>
        <w:t xml:space="preserve"> </w:t>
      </w:r>
      <w:r>
        <w:rPr>
          <w:iCs/>
          <w:i/>
        </w:rPr>
        <w:t xml:space="preserve">Ecology Letters</w:t>
      </w:r>
      <w:r>
        <w:t xml:space="preserve">,</w:t>
      </w:r>
      <w:r>
        <w:t xml:space="preserve"> </w:t>
      </w:r>
      <w:r>
        <w:rPr>
          <w:bCs/>
          <w:b/>
        </w:rPr>
        <w:t xml:space="preserve">4</w:t>
      </w:r>
      <w:r>
        <w:t xml:space="preserve">, 159–165.</w:t>
      </w:r>
    </w:p>
    <w:bookmarkEnd w:id="49"/>
    <w:bookmarkEnd w:id="50"/>
    <w:bookmarkEnd w:id="51"/>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48" Target="https://doi.org/10.1046/j.1461-0248.2001.00212.x" TargetMode="External" /><Relationship Type="http://schemas.openxmlformats.org/officeDocument/2006/relationships/hyperlink" Id="rId23" Target="https://github.com/bradduthie/nuptial_gift_evolution" TargetMode="External" /><Relationship Type="http://schemas.openxmlformats.org/officeDocument/2006/relationships/hyperlink" Id="rId20" Target="mailto:apc@birc.au.dk"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46/j.1461-0248.2001.00212.x" TargetMode="External" /><Relationship Type="http://schemas.openxmlformats.org/officeDocument/2006/relationships/hyperlink" Id="rId23" Target="https://github.com/bradduthie/nuptial_gift_evolution" TargetMode="External" /><Relationship Type="http://schemas.openxmlformats.org/officeDocument/2006/relationships/hyperlink" Id="rId20" Target="mailto:apc@birc.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model for the evolution of nuptial gift-giving: Supporting Information</dc:title>
  <dc:creator/>
  <cp:keywords/>
  <dcterms:created xsi:type="dcterms:W3CDTF">2024-11-28T18:05:57Z</dcterms:created>
  <dcterms:modified xsi:type="dcterms:W3CDTF">2024-11-28T18:05:57Z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nuptial_refs.bib</vt:lpwstr>
  </property>
  <property fmtid="{D5CDD505-2E9C-101B-9397-08002B2CF9AE}" pid="4" name="csl">
    <vt:lpwstr>evolution-letters.csl</vt:lpwstr>
  </property>
  <property fmtid="{D5CDD505-2E9C-101B-9397-08002B2CF9AE}" pid="5" name="date">
    <vt:lpwstr>[1] School of Biological Sciences, University of Aberdeen, UK. [2] Department of Biology, Aarhus University, Denmark. [3] Biological and Environmental Sciences, University of Stirling, UK. [4] Bioinformatics Research Centre Aarhus University, University City 81, building 1872, 3rd floor, DK-8000 Aarhus C, Denmark [5] Email: apc@birc.au.dk</vt:lpwstr>
  </property>
  <property fmtid="{D5CDD505-2E9C-101B-9397-08002B2CF9AE}" pid="6" name="header-includes">
    <vt:lpwstr/>
  </property>
  <property fmtid="{D5CDD505-2E9C-101B-9397-08002B2CF9AE}" pid="7" name="linestretch">
    <vt:lpwstr>1</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