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SCIU3FB Wildlife sampling mini-project: </w:t>
      </w:r>
      <w:r>
        <w:rPr/>
        <w:t>sampling</w:t>
      </w:r>
    </w:p>
    <w:p>
      <w:pPr>
        <w:pStyle w:val="Author"/>
        <w:rPr>
          <w:rFonts w:ascii="Arial" w:hAnsi="Arial"/>
        </w:rPr>
      </w:pPr>
      <w:r>
        <w:rPr>
          <w:rFonts w:ascii="Arial" w:hAnsi="Arial"/>
        </w:rPr>
        <w:t>Brad Duthie</w:t>
      </w:r>
    </w:p>
    <w:p>
      <w:pPr>
        <w:pStyle w:val="Author"/>
        <w:rPr>
          <w:rFonts w:ascii="Arial" w:hAnsi="Arial"/>
        </w:rPr>
      </w:pPr>
      <w:r>
        <w:rPr>
          <w:rFonts w:ascii="Arial" w:hAnsi="Arial"/>
        </w:rPr>
      </w:r>
    </w:p>
    <w:p>
      <w:pPr>
        <w:pStyle w:val="Normal"/>
        <w:rPr/>
      </w:pPr>
      <w:r>
        <w:rPr>
          <w:rFonts w:ascii="Arial" w:hAnsi="Arial"/>
          <w:b/>
          <w:sz w:val="28"/>
          <w:szCs w:val="28"/>
        </w:rPr>
        <w:t xml:space="preserve">Please note that is document can be observed in </w:t>
      </w:r>
      <w:hyperlink r:id="rId2">
        <w:r>
          <w:rPr>
            <w:rStyle w:val="ListLabel2"/>
            <w:rFonts w:ascii="Arial" w:hAnsi="Arial"/>
            <w:b/>
            <w:color w:val="00599D"/>
            <w:sz w:val="28"/>
            <w:szCs w:val="28"/>
            <w:u w:val="single"/>
          </w:rPr>
          <w:t>HTML</w:t>
        </w:r>
      </w:hyperlink>
      <w:r>
        <w:rPr>
          <w:rFonts w:ascii="Arial" w:hAnsi="Arial"/>
          <w:b/>
          <w:sz w:val="28"/>
          <w:szCs w:val="28"/>
        </w:rPr>
        <w:t xml:space="preserve">, </w:t>
      </w:r>
      <w:hyperlink r:id="rId3">
        <w:r>
          <w:rPr>
            <w:rStyle w:val="ListLabel2"/>
            <w:rFonts w:ascii="Arial" w:hAnsi="Arial"/>
            <w:b/>
            <w:color w:val="00599D"/>
            <w:sz w:val="28"/>
            <w:szCs w:val="28"/>
            <w:u w:val="single"/>
          </w:rPr>
          <w:t>PDF</w:t>
        </w:r>
      </w:hyperlink>
      <w:r>
        <w:rPr>
          <w:rFonts w:ascii="Arial" w:hAnsi="Arial"/>
          <w:b/>
          <w:sz w:val="28"/>
          <w:szCs w:val="28"/>
        </w:rPr>
        <w:t xml:space="preserve">, and </w:t>
      </w:r>
      <w:hyperlink r:id="rId4">
        <w:r>
          <w:rPr>
            <w:rStyle w:val="ListLabel2"/>
            <w:rFonts w:ascii="Arial" w:hAnsi="Arial"/>
            <w:b/>
            <w:color w:val="00599D"/>
            <w:sz w:val="28"/>
            <w:szCs w:val="28"/>
            <w:u w:val="single"/>
          </w:rPr>
          <w:t>DOCX</w:t>
        </w:r>
      </w:hyperlink>
      <w:r>
        <w:rPr>
          <w:rFonts w:ascii="Arial" w:hAnsi="Arial"/>
          <w:b/>
          <w:sz w:val="28"/>
          <w:szCs w:val="28"/>
        </w:rPr>
        <w:t xml:space="preserve"> form. All of the documents in these links are identical.</w:t>
      </w:r>
    </w:p>
    <w:p>
      <w:pPr>
        <w:pStyle w:val="Heading1"/>
        <w:rPr/>
      </w:pPr>
      <w:bookmarkStart w:id="0" w:name="objective-of-wildlife-sampling-mini-proj"/>
      <w:r>
        <w:rPr/>
        <w:t>Objective of wildlife sampling mini-project</w:t>
      </w:r>
      <w:bookmarkEnd w:id="0"/>
    </w:p>
    <w:p>
      <w:pPr>
        <w:pStyle w:val="Normal"/>
        <w:spacing w:lineRule="auto" w:line="276"/>
        <w:rPr>
          <w:rFonts w:ascii="Arial" w:hAnsi="Arial"/>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The sampling method, statistical techniques, and software that you use here have been recently applied in the conservation of species including birds (Dawrueng et al. 2017) and </w:t>
      </w:r>
      <w:hyperlink r:id="rId5">
        <w:r>
          <w:rPr>
            <w:rStyle w:val="ListLabel3"/>
            <w:rFonts w:ascii="Arial" w:hAnsi="Arial"/>
            <w:color w:val="00599D"/>
            <w:u w:val="single"/>
          </w:rPr>
          <w:t>amphibians</w:t>
        </w:r>
      </w:hyperlink>
      <w:r>
        <w:rPr>
          <w:rFonts w:ascii="Arial" w:hAnsi="Arial"/>
        </w:rPr>
        <w:t xml:space="preserve"> (Petitot et al. 2014), and mammals such as </w:t>
      </w:r>
      <w:hyperlink r:id="rId6">
        <w:r>
          <w:rPr>
            <w:rStyle w:val="ListLabel3"/>
            <w:rFonts w:ascii="Arial" w:hAnsi="Arial"/>
            <w:color w:val="00599D"/>
            <w:u w:val="single"/>
          </w:rPr>
          <w:t>elephants</w:t>
        </w:r>
      </w:hyperlink>
      <w:r>
        <w:rPr>
          <w:rFonts w:ascii="Arial" w:hAnsi="Arial"/>
        </w:rPr>
        <w:t xml:space="preserve"> (Maisels et al. 2013), </w:t>
      </w:r>
      <w:hyperlink r:id="rId7">
        <w:r>
          <w:rPr>
            <w:rStyle w:val="ListLabel3"/>
            <w:rFonts w:ascii="Arial" w:hAnsi="Arial"/>
            <w:color w:val="00599D"/>
            <w:u w:val="single"/>
          </w:rPr>
          <w:t>grizzly bears</w:t>
        </w:r>
      </w:hyperlink>
      <w:r>
        <w:rPr>
          <w:rFonts w:ascii="Arial" w:hAnsi="Arial"/>
        </w:rPr>
        <w:t xml:space="preserve"> (Steenweg et al. 2016), and </w:t>
      </w:r>
      <w:hyperlink r:id="rId8">
        <w:r>
          <w:rPr>
            <w:rStyle w:val="ListLabel3"/>
            <w:rFonts w:ascii="Arial" w:hAnsi="Arial"/>
            <w:color w:val="00599D"/>
            <w:u w:val="single"/>
          </w:rPr>
          <w:t>gibbons</w:t>
        </w:r>
      </w:hyperlink>
      <w:r>
        <w:rPr>
          <w:rFonts w:ascii="Arial" w:hAnsi="Arial"/>
        </w:rPr>
        <w:t xml:space="preserve"> (Hallam et al. 2016). To make it easier to sample and explain the key methods, here we will use a fictional species.</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i w:val="false"/>
          <w:iCs w:val="false"/>
        </w:rPr>
        <w:t>. The image below shows a large sample of them; in their natural habitat on the University of Stirling campus, they typically stand vertically out of the ground.</w:t>
      </w:r>
    </w:p>
    <w:p>
      <w:pPr>
        <w:pStyle w:val="TextBody"/>
        <w:spacing w:lineRule="auto" w:line="276"/>
        <w:rPr>
          <w:rFonts w:ascii="Arial" w:hAnsi="Arial"/>
          <w:i/>
          <w:i/>
        </w:rPr>
      </w:pPr>
      <w:r>
        <w:rPr>
          <w:rFonts w:ascii="Arial" w:hAnsi="Arial"/>
          <w:i/>
        </w:rPr>
      </w:r>
    </w:p>
    <w:p>
      <w:pPr>
        <w:pStyle w:val="TextBody"/>
        <w:spacing w:lineRule="auto" w:line="276"/>
        <w:rPr/>
      </w:pPr>
      <w:r>
        <w:rPr/>
        <w:drawing>
          <wp:inline distT="0" distB="0" distL="0" distR="0">
            <wp:extent cx="5727700" cy="1365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727700" cy="1365250"/>
                    </a:xfrm>
                    <a:prstGeom prst="rect">
                      <a:avLst/>
                    </a:prstGeom>
                  </pic:spPr>
                </pic:pic>
              </a:graphicData>
            </a:graphic>
          </wp:inline>
        </w:drawing>
      </w:r>
    </w:p>
    <w:p>
      <w:pPr>
        <w:pStyle w:val="TextBody"/>
        <w:spacing w:lineRule="auto" w:line="276"/>
        <w:rPr/>
      </w:pPr>
      <w:r>
        <w:rPr>
          <w:rFonts w:ascii="Arial" w:hAnsi="Arial"/>
        </w:rPr>
        <w:t xml:space="preserve">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pPr>
      <w:r>
        <w:rPr/>
        <w:drawing>
          <wp:inline distT="0" distB="0" distL="0" distR="0">
            <wp:extent cx="4620260" cy="27717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val="clear" w:fill="F8F8F8"/>
        <w:rPr>
          <w:rFonts w:ascii="Arial" w:hAnsi="Arial"/>
        </w:rPr>
      </w:pPr>
      <w:r>
        <w:rPr>
          <w:rFonts w:ascii="Arial" w:hAnsi="Arial"/>
        </w:rPr>
        <w:t>Transect, Distance</w:t>
        <w:br/>
        <w:t>A, 0.10</w:t>
        <w:br/>
        <w:t>A, 1.47</w:t>
        <w:br/>
        <w:t>A, 1.61</w:t>
        <w:br/>
        <w:t>A, 0.22</w:t>
        <w:br/>
        <w:t>A, 0.59</w:t>
      </w:r>
    </w:p>
    <w:p>
      <w:pPr>
        <w:pStyle w:val="Normal"/>
        <w:rPr/>
      </w:pPr>
      <w:r>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Continue on if you are doing your sampling </w:t>
      </w:r>
      <w:hyperlink w:anchor="online">
        <w:r>
          <w:rPr>
            <w:rStyle w:val="ListLabel3"/>
            <w:rFonts w:ascii="Arial" w:hAnsi="Arial"/>
            <w:color w:val="00599D"/>
            <w:u w:val="single"/>
          </w:rPr>
          <w:t>online</w:t>
        </w:r>
      </w:hyperlink>
      <w:r>
        <w:rPr>
          <w:rFonts w:ascii="Arial" w:hAnsi="Arial"/>
        </w:rPr>
        <w:t xml:space="preserve">, or skip ahead if you are doing your sampling </w:t>
      </w:r>
      <w:hyperlink w:anchor="campus">
        <w:r>
          <w:rPr>
            <w:rStyle w:val="ListLabel3"/>
            <w:rFonts w:ascii="Arial" w:hAnsi="Arial"/>
            <w:color w:val="00599D"/>
            <w:u w:val="single"/>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11">
        <w:r>
          <w:rPr>
            <w:rStyle w:val="ListLabel3"/>
            <w:rFonts w:ascii="Arial" w:hAnsi="Arial"/>
            <w:color w:val="00599D"/>
            <w:u w:val="single"/>
          </w:rPr>
          <w:t>data analysis instructions</w:t>
        </w:r>
      </w:hyperlink>
      <w:r>
        <w:rPr>
          <w:rFonts w:ascii="Arial" w:hAnsi="Arial"/>
        </w:rPr>
        <w:t>.</w:t>
      </w:r>
    </w:p>
    <w:p>
      <w:pPr>
        <w:pStyle w:val="Heading1"/>
        <w:rPr/>
      </w:pPr>
      <w:r>
        <w:rPr/>
      </w:r>
    </w:p>
    <w:p>
      <w:pPr>
        <w:pStyle w:val="Heading1"/>
        <w:rPr/>
      </w:pPr>
      <w:bookmarkStart w:id="1" w:name="online"/>
      <w:r>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12">
        <w:r>
          <w:rPr>
            <w:rStyle w:val="ListLabel3"/>
            <w:rFonts w:ascii="Arial" w:hAnsi="Arial"/>
            <w:color w:val="00599D"/>
            <w:u w:val="single"/>
          </w:rPr>
          <w:t>an online application</w:t>
        </w:r>
      </w:hyperlink>
      <w:r>
        <w:rPr>
          <w:rFonts w:ascii="Arial" w:hAnsi="Arial"/>
        </w:rPr>
        <w:t xml:space="preserve"> (</w:t>
      </w:r>
      <w:r>
        <w:rPr>
          <w:rFonts w:ascii="Arial" w:hAnsi="Arial"/>
          <w:b/>
        </w:rPr>
        <w:t>please read these instructions before you start using it.</w:t>
      </w:r>
      <w:r>
        <w:rPr>
          <w:rFonts w:ascii="Arial" w:hAnsi="Arial"/>
        </w:rPr>
        <w:t>). When click the link to this application, you will see a brown box representing a virtual field, and some instructions:X</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 xml:space="preserve">You are in field location number: [YOUR FIELD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 (you can always click ‘Reset’ to start over’) Click to start.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 xml:space="preserve">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diamond in the location where you clicked; this is the start of your transect. You can select anywhere else inside the dotted box to set the end of your transect. </w:t>
      </w:r>
      <w:r>
        <w:rPr>
          <w:rFonts w:ascii="Arial" w:hAnsi="Arial"/>
          <w:b/>
        </w:rPr>
        <w:t>Make sure that the transect you make is not too small;</w:t>
      </w:r>
      <w:r>
        <w:rPr>
          <w:rFonts w:ascii="Arial" w:hAnsi="Arial"/>
        </w:rPr>
        <w:t xml:space="preserve"> it should take up at least half the length of the box. If you do not like the transect you have made, you can click ‘Reset’ and start over.</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(your position is represented by the blue dot on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Note that the reason you are being asked to write these distances down manually (rather than having the program simply give you the data at the end) is that one of the learning objectives of this mini-project is recording field data observations. Since this might not be possible campus, this online simulation attempts to replicate the process of real data collection in the field as much as possible with the technology available.</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Once you have come to the end of your transect, you should see some more instructions.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13">
        <w:r>
          <w:rPr>
            <w:rStyle w:val="ListLabel3"/>
            <w:rFonts w:ascii="Arial" w:hAnsi="Arial"/>
            <w:color w:val="00599D"/>
            <w:u w:val="single"/>
          </w:rPr>
          <w:t>data analysis instructions</w:t>
        </w:r>
      </w:hyperlink>
      <w:r>
        <w:rPr>
          <w:rFonts w:ascii="Arial" w:hAnsi="Arial"/>
        </w:rPr>
        <w:t>.</w:t>
      </w:r>
    </w:p>
    <w:p>
      <w:pPr>
        <w:pStyle w:val="Heading1"/>
        <w:rPr/>
      </w:pPr>
      <w:bookmarkStart w:id="2" w:name="campus"/>
      <w:r>
        <w:rPr/>
        <w:t>Protocol for sampling along a physical transect (on campus)</w:t>
      </w:r>
      <w:bookmarkEnd w:id="2"/>
    </w:p>
    <w:p>
      <w:pPr>
        <w:pStyle w:val="Normal"/>
        <w:spacing w:lineRule="auto" w:line="276"/>
        <w:rPr>
          <w:rFonts w:ascii="Arial" w:hAnsi="Arial"/>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14">
        <w:r>
          <w:rPr>
            <w:rStyle w:val="ListLabel3"/>
            <w:rFonts w:ascii="Arial" w:hAnsi="Arial"/>
            <w:color w:val="00599D"/>
            <w:u w:val="single"/>
          </w:rPr>
          <w:t>data analysis instructions</w:t>
        </w:r>
      </w:hyperlink>
      <w:r>
        <w:rPr>
          <w:rFonts w:ascii="Arial" w:hAnsi="Arial"/>
        </w:rPr>
        <w:t>.</w:t>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r>
    </w:p>
    <w:p>
      <w:pPr>
        <w:pStyle w:val="Heading1"/>
        <w:rPr/>
      </w:pPr>
      <w:bookmarkStart w:id="3" w:name="literature-cited"/>
      <w:r>
        <w:rPr/>
        <w:t>Literature Cited</w:t>
      </w:r>
      <w:bookmarkEnd w:id="3"/>
    </w:p>
    <w:p>
      <w:pPr>
        <w:pStyle w:val="Normal"/>
        <w:spacing w:lineRule="auto" w:line="276"/>
        <w:rPr/>
      </w:pPr>
      <w:r>
        <w:rPr>
          <w:rFonts w:ascii="Arial" w:hAnsi="Arial"/>
        </w:rPr>
        <w:t xml:space="preserve">Dawrueng, Thanee, Dusit Ngoprasert, George A Gale, Stephen Browne, and </w:t>
        <w:tab/>
        <w:t xml:space="preserve">Tommaso Savini. 2017. “Effect of landscape variables on the long-term </w:t>
        <w:tab/>
        <w:t xml:space="preserve">decline of Great Argus in the rainforest of Southern Thailand.” </w:t>
      </w:r>
      <w:r>
        <w:rPr>
          <w:rFonts w:ascii="Arial" w:hAnsi="Arial"/>
          <w:i/>
        </w:rPr>
        <w:t xml:space="preserve">Bird </w:t>
        <w:tab/>
        <w:t>Conservation International</w:t>
      </w:r>
      <w:r>
        <w:rPr>
          <w:rFonts w:ascii="Arial" w:hAnsi="Arial"/>
        </w:rPr>
        <w:t xml:space="preserve"> 27 (2): 282–93. </w:t>
        <w:tab/>
      </w:r>
      <w:hyperlink r:id="rId15">
        <w:r>
          <w:rPr>
            <w:rStyle w:val="ListLabel3"/>
            <w:rFonts w:ascii="Arial" w:hAnsi="Arial"/>
          </w:rPr>
          <w:t>https://doi.org/10.1017/S0959270916000277</w:t>
        </w:r>
      </w:hyperlink>
      <w:r>
        <w:rPr>
          <w:rFonts w:ascii="Arial" w:hAnsi="Arial"/>
        </w:rPr>
        <w:t>.</w:t>
      </w:r>
    </w:p>
    <w:p>
      <w:pPr>
        <w:pStyle w:val="Normal"/>
        <w:spacing w:lineRule="auto" w:line="276"/>
        <w:rPr/>
      </w:pPr>
      <w:r>
        <w:rPr>
          <w:rFonts w:ascii="Arial" w:hAnsi="Arial"/>
        </w:rPr>
        <w:t xml:space="preserve">Hallam, Christopher D, Arlyne Johnson, Hannah O’Kelly, Sengvilai Seateun, Thongla </w:t>
        <w:tab/>
        <w:t xml:space="preserve">Thamsatith, Timothy G O’Brien, and Samantha Strindberg. 2016. “Using </w:t>
        <w:tab/>
        <w:t xml:space="preserve">occupancy-based surveys and multi-model inference to estimate abundance </w:t>
        <w:tab/>
        <w:t xml:space="preserve">and distribution of crested gibbons (Nomascus spp.) in central Laos.” </w:t>
        <w:tab/>
      </w:r>
      <w:r>
        <w:rPr>
          <w:rFonts w:ascii="Arial" w:hAnsi="Arial"/>
          <w:i/>
        </w:rPr>
        <w:t>American Journal of Primatology</w:t>
      </w:r>
      <w:r>
        <w:rPr>
          <w:rFonts w:ascii="Arial" w:hAnsi="Arial"/>
        </w:rPr>
        <w:t xml:space="preserve"> 78 (4): 462–72. </w:t>
        <w:tab/>
        <w:tab/>
      </w:r>
      <w:hyperlink r:id="rId16">
        <w:r>
          <w:rPr>
            <w:rStyle w:val="ListLabel3"/>
            <w:rFonts w:ascii="Arial" w:hAnsi="Arial"/>
          </w:rPr>
          <w:t>https://doi.org/10.1002/ajp.22508</w:t>
        </w:r>
      </w:hyperlink>
      <w:r>
        <w:rPr>
          <w:rFonts w:ascii="Arial" w:hAnsi="Arial"/>
        </w:rPr>
        <w:t>.</w:t>
      </w:r>
    </w:p>
    <w:p>
      <w:pPr>
        <w:pStyle w:val="Normal"/>
        <w:spacing w:lineRule="auto" w:line="276"/>
        <w:rPr/>
      </w:pPr>
      <w:r>
        <w:rPr>
          <w:rFonts w:ascii="Arial" w:hAnsi="Arial"/>
        </w:rPr>
        <w:t xml:space="preserve">Maisels, Fiona, Samantha Strindberg, Stephen Blake, George Wittemyer, John Hart, </w:t>
        <w:tab/>
        <w:t xml:space="preserve">Elizabeth A. Williamson, Rostand Aba’a, et al. 2013. “Devastating decline of </w:t>
        <w:tab/>
        <w:t xml:space="preserve">forest elephants in Central Africa.” </w:t>
      </w:r>
      <w:r>
        <w:rPr>
          <w:rFonts w:ascii="Arial" w:hAnsi="Arial"/>
          <w:i/>
        </w:rPr>
        <w:t>PLoS ONE</w:t>
      </w:r>
      <w:r>
        <w:rPr>
          <w:rFonts w:ascii="Arial" w:hAnsi="Arial"/>
        </w:rPr>
        <w:t xml:space="preserve"> 8 (3). </w:t>
        <w:tab/>
      </w:r>
      <w:hyperlink r:id="rId17">
        <w:r>
          <w:rPr>
            <w:rStyle w:val="ListLabel3"/>
            <w:rFonts w:ascii="Arial" w:hAnsi="Arial"/>
          </w:rPr>
          <w:t>https://doi.org/10.1371/journal.pone.0059469</w:t>
        </w:r>
      </w:hyperlink>
      <w:r>
        <w:rPr>
          <w:rFonts w:ascii="Arial" w:hAnsi="Arial"/>
        </w:rPr>
        <w:t>.</w:t>
      </w:r>
    </w:p>
    <w:p>
      <w:pPr>
        <w:pStyle w:val="Normal"/>
        <w:spacing w:lineRule="auto" w:line="276"/>
        <w:rPr/>
      </w:pPr>
      <w:r>
        <w:rPr>
          <w:rFonts w:ascii="Arial" w:hAnsi="Arial"/>
        </w:rPr>
        <w:t xml:space="preserve">Petitot, Maud, Nicolas Manceau, Philippe Geniez, and Aurélien Besnard. 2014. </w:t>
        <w:tab/>
        <w:t xml:space="preserve">“Optimizing occupancy surveys by maximizing detection probability: </w:t>
        <w:tab/>
        <w:t xml:space="preserve">Application to amphibian monitoring in the Mediterranean region.” </w:t>
      </w:r>
      <w:r>
        <w:rPr>
          <w:rFonts w:ascii="Arial" w:hAnsi="Arial"/>
          <w:i/>
        </w:rPr>
        <w:t xml:space="preserve">Ecology </w:t>
        <w:tab/>
        <w:t>and Evolution</w:t>
      </w:r>
      <w:r>
        <w:rPr>
          <w:rFonts w:ascii="Arial" w:hAnsi="Arial"/>
        </w:rPr>
        <w:t xml:space="preserve"> 4 (18): 3538–49. </w:t>
      </w:r>
      <w:hyperlink r:id="rId18">
        <w:r>
          <w:rPr>
            <w:rStyle w:val="ListLabel3"/>
            <w:rFonts w:ascii="Arial" w:hAnsi="Arial"/>
          </w:rPr>
          <w:t>https://doi.org/10.1002/ece3.1207</w:t>
        </w:r>
      </w:hyperlink>
      <w:r>
        <w:rPr>
          <w:rFonts w:ascii="Arial" w:hAnsi="Arial"/>
        </w:rPr>
        <w:t>.</w:t>
      </w:r>
    </w:p>
    <w:p>
      <w:pPr>
        <w:pStyle w:val="Normal"/>
        <w:widowControl/>
        <w:overflowPunct w:val="true"/>
        <w:bidi w:val="0"/>
        <w:spacing w:lineRule="auto" w:line="276"/>
        <w:ind w:left="0" w:right="0" w:hanging="0"/>
        <w:jc w:val="left"/>
        <w:textAlignment w:val="baseline"/>
        <w:rPr/>
      </w:pPr>
      <w:r>
        <w:rPr>
          <w:rFonts w:ascii="Arial" w:hAnsi="Arial"/>
        </w:rPr>
        <w:t xml:space="preserve">Steenweg, Robin, Jesse Whittington, Mark Hebblewhite, Anne Forshner, Barb </w:t>
        <w:tab/>
        <w:t xml:space="preserve">Johnston, Derek Petersen, Brenda Shepherd, and Paul M. Lukacs. 2016. </w:t>
        <w:tab/>
        <w:t xml:space="preserve">“Camera-based occupancy monitoring at large scales: Power to detect trends </w:t>
        <w:tab/>
        <w:t xml:space="preserve">in grizzly bears across the Canadian Rockies.” </w:t>
      </w:r>
      <w:r>
        <w:rPr>
          <w:rFonts w:ascii="Arial" w:hAnsi="Arial"/>
          <w:i/>
        </w:rPr>
        <w:t>Biological Conservation</w:t>
      </w:r>
      <w:r>
        <w:rPr>
          <w:rFonts w:ascii="Arial" w:hAnsi="Arial"/>
        </w:rPr>
        <w:t xml:space="preserve"> 201. </w:t>
        <w:tab/>
        <w:t xml:space="preserve">Elsevier Ltd.: 192–200. </w:t>
      </w:r>
      <w:hyperlink r:id="rId19">
        <w:r>
          <w:rPr>
            <w:rStyle w:val="ListLabel3"/>
            <w:rFonts w:ascii="Arial" w:hAnsi="Arial"/>
          </w:rPr>
          <w:t>https://doi.org/10.1016/j.biocon.2016.06.020</w:t>
        </w:r>
      </w:hyperlink>
      <w:r>
        <w:rPr>
          <w:rFonts w:ascii="Arial" w:hAnsi="Arial"/>
        </w:rPr>
        <w:t>.</w:t>
      </w:r>
    </w:p>
    <w:sectPr>
      <w:headerReference w:type="default" r:id="rId20"/>
      <w:footerReference w:type="default" r:id="rId21"/>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b/>
    </w:rPr>
  </w:style>
  <w:style w:type="character" w:styleId="ListLabel3">
    <w:name w:val="ListLabel 3"/>
    <w:qFormat/>
    <w:rPr/>
  </w:style>
  <w:style w:type="character" w:styleId="ListLabel4">
    <w:name w:val="ListLabel 4"/>
    <w:qFormat/>
    <w:rPr>
      <w:rFonts w:ascii="Arial" w:hAnsi="Arial"/>
      <w:b/>
      <w:color w:val="00599D"/>
      <w:sz w:val="28"/>
      <w:szCs w:val="28"/>
      <w:u w:val="single"/>
    </w:rPr>
  </w:style>
  <w:style w:type="character" w:styleId="ListLabel5">
    <w:name w:val="ListLabel 5"/>
    <w:qFormat/>
    <w:rPr>
      <w:rFonts w:ascii="Arial" w:hAnsi="Arial"/>
      <w:color w:val="00599D"/>
      <w:u w:val="single"/>
    </w:rPr>
  </w:style>
  <w:style w:type="character" w:styleId="ListLabel6">
    <w:name w:val="ListLabel 6"/>
    <w:qFormat/>
    <w:rPr>
      <w:rFonts w:ascii="Arial" w:hAnsi="Arial"/>
      <w:b/>
      <w:color w:val="00599D"/>
      <w:sz w:val="28"/>
      <w:szCs w:val="28"/>
      <w:u w:val="single"/>
    </w:rPr>
  </w:style>
  <w:style w:type="character" w:styleId="ListLabel7">
    <w:name w:val="ListLabel 7"/>
    <w:qFormat/>
    <w:rPr>
      <w:rFonts w:ascii="Arial" w:hAnsi="Arial"/>
      <w:color w:val="00599D"/>
      <w:u w:val="single"/>
    </w:rPr>
  </w:style>
  <w:style w:type="character" w:styleId="ListLabel8">
    <w:name w:val="ListLabel 8"/>
    <w:qFormat/>
    <w:rPr>
      <w:rFonts w:ascii="Arial" w:hAnsi="Arial"/>
      <w:b/>
      <w:color w:val="00599D"/>
      <w:sz w:val="28"/>
      <w:szCs w:val="28"/>
      <w:u w:val="single"/>
    </w:rPr>
  </w:style>
  <w:style w:type="character" w:styleId="ListLabel9">
    <w:name w:val="ListLabel 9"/>
    <w:qFormat/>
    <w:rPr>
      <w:rFonts w:ascii="Arial" w:hAnsi="Arial"/>
      <w:color w:val="00599D"/>
      <w:u w:val="single"/>
    </w:rPr>
  </w:style>
  <w:style w:type="character" w:styleId="ListLabel10">
    <w:name w:val="ListLabel 10"/>
    <w:qFormat/>
    <w:rPr>
      <w:rFonts w:ascii="Arial" w:hAnsi="Arial"/>
    </w:rPr>
  </w:style>
  <w:style w:type="character" w:styleId="ListLabel11">
    <w:name w:val="ListLabel 11"/>
    <w:qFormat/>
    <w:rPr>
      <w:rFonts w:ascii="Arial" w:hAnsi="Arial"/>
      <w:b/>
      <w:color w:val="00599D"/>
      <w:sz w:val="28"/>
      <w:szCs w:val="28"/>
      <w:u w:val="single"/>
    </w:rPr>
  </w:style>
  <w:style w:type="character" w:styleId="ListLabel12">
    <w:name w:val="ListLabel 12"/>
    <w:qFormat/>
    <w:rPr>
      <w:rFonts w:ascii="Arial" w:hAnsi="Arial"/>
      <w:color w:val="00599D"/>
      <w:u w:val="single"/>
    </w:rPr>
  </w:style>
  <w:style w:type="character" w:styleId="ListLabel13">
    <w:name w:val="ListLabel 13"/>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index" TargetMode="External"/><Relationship Id="rId3" Type="http://schemas.openxmlformats.org/officeDocument/2006/relationships/hyperlink" Target="https://bradduthie.github.io/wildlife_sampling_mini-project/sampling.pdf" TargetMode="External"/><Relationship Id="rId4" Type="http://schemas.openxmlformats.org/officeDocument/2006/relationships/hyperlink" Target="https://bradduthie.github.io/wildlife_sampling_mini-project/sampling.docx" TargetMode="External"/><Relationship Id="rId5" Type="http://schemas.openxmlformats.org/officeDocument/2006/relationships/hyperlink" Target="https://www.ncbi.nlm.nih.gov/pmc/articles/PMC4224529/pdf/ece30004-3538.pdf" TargetMode="External"/><Relationship Id="rId6" Type="http://schemas.openxmlformats.org/officeDocument/2006/relationships/hyperlink" Target="https://journals.plos.org/plosone/article/file?id=10.1371/journal.pone.0059469&amp;type=printable" TargetMode="External"/><Relationship Id="rId7" Type="http://schemas.openxmlformats.org/officeDocument/2006/relationships/hyperlink" Target="https://www.sciencedirect.com/science/article/abs/pii/S0006320716302440" TargetMode="External"/><Relationship Id="rId8" Type="http://schemas.openxmlformats.org/officeDocument/2006/relationships/hyperlink" Target="https://onlinelibrary.wiley.com/doi/pdf/10.1002/ajp.22508?casa_token=9owuBS_YYN0AAAAA:Sce_5asS5CxbjTTEE8f1a0Gz9ec2cEGx_-skUMrSKD-ejba1-GqO2kLO1W1Ms_D3CM-2J-cHcCU7cQ"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hyperlink" Target="https://bradduthie.github.io/wildlife_sampling_mini-project/analysis.html" TargetMode="External"/><Relationship Id="rId12" Type="http://schemas.openxmlformats.org/officeDocument/2006/relationships/hyperlink" Target="https://bradduthie.shinyapps.io/wildlife_sampling_mini-project/" TargetMode="External"/><Relationship Id="rId13" Type="http://schemas.openxmlformats.org/officeDocument/2006/relationships/hyperlink" Target="https://bradduthie.github.io/wildlife_sampling_mini-project/analysis.html" TargetMode="External"/><Relationship Id="rId14" Type="http://schemas.openxmlformats.org/officeDocument/2006/relationships/hyperlink" Target="https://bradduthie.github.io/wildlife_sampling_mini-project/analysis.html" TargetMode="External"/><Relationship Id="rId15" Type="http://schemas.openxmlformats.org/officeDocument/2006/relationships/hyperlink" Target="https://doi.org/10.1017/S0959270916000277" TargetMode="External"/><Relationship Id="rId16" Type="http://schemas.openxmlformats.org/officeDocument/2006/relationships/hyperlink" Target="https://doi.org/10.1002/ajp.22508" TargetMode="External"/><Relationship Id="rId17" Type="http://schemas.openxmlformats.org/officeDocument/2006/relationships/hyperlink" Target="https://doi.org/10.1371/journal.pone.0059469" TargetMode="External"/><Relationship Id="rId18" Type="http://schemas.openxmlformats.org/officeDocument/2006/relationships/hyperlink" Target="https://doi.org/10.1002/ece3.1207" TargetMode="External"/><Relationship Id="rId19" Type="http://schemas.openxmlformats.org/officeDocument/2006/relationships/hyperlink" Target="https://doi.org/10.1016/j.biocon.2016.06.02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6</Pages>
  <Words>1644</Words>
  <Characters>8321</Characters>
  <CharactersWithSpaces>9949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2020-07-22T17:20:56Z</dcterms:created>
  <dc:creator>Brad Duthie</dc:creator>
  <dc:description/>
  <dc:language>en-GB</dc:language>
  <cp:lastModifiedBy>Brad Duthie</cp:lastModifiedBy>
  <dcterms:modified xsi:type="dcterms:W3CDTF">2020-07-22T23:10:08Z</dcterms:modified>
  <cp:revision>8</cp:revision>
  <dc:subject/>
  <dc:title>SCIU3FB Wildlife sampling mini-project</dc:title>
</cp:coreProperties>
</file>