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8A"/>
          <w:sz w:val="40"/>
          <w:szCs w:val="40"/>
        </w:rPr>
        <w:t xml:space="preserve">Phase 10: Inline Evaluation and Forward-Looking Retrieval</w:t>
      </w:r>
    </w:p>
    <w:p>
      <w:pPr>
        <w:spacing w:after="40"/>
      </w:pPr>
      <w:r>
        <w:rPr>
          <w:color w:val="555555"/>
          <w:sz w:val="24"/>
          <w:szCs w:val="24"/>
        </w:rPr>
        <w:t xml:space="preserve">Government Regulation Query — Project Plan Addendum</w:t>
      </w:r>
    </w:p>
    <w:p>
      <w:pPr>
        <w:spacing w:after="240"/>
      </w:pPr>
      <w:r>
        <w:rPr>
          <w:color w:val="555555"/>
          <w:sz w:val="22"/>
          <w:szCs w:val="22"/>
        </w:rPr>
        <w:t xml:space="preserve">Brad Hinkel | July 2026</w:t>
      </w:r>
    </w:p>
    <w:p>
      <w:pPr>
        <w:pBdr>
          <w:bottom w:val="single" w:color="2E5B8A" w:sz="6" w:space="1"/>
        </w:pBdr>
        <w:spacing w:after="240"/>
      </w:pPr>
    </w:p>
    <w:p>
      <w:pPr>
        <w:pStyle w:val="Heading1"/>
      </w:pPr>
      <w:r>
        <w:t xml:space="preserve">0. Context and Origin</w:t>
      </w:r>
    </w:p>
    <w:p>
      <w:pPr>
        <w:spacing w:after="160" w:line="276"/>
      </w:pPr>
      <w:r>
        <w:t xml:space="preserve">This phase adds two capabilities that emerged from comparing the production Government Regulation Query engine against a no-code (n8n) agentic regulatory assistant built independently in a class setting. The comparison confirmed that the production engine is architecturally ahead of the no-code build on ingestion, corpus authority (direct eCFR API), the three-output contract, and corpus freshness (Phase 9). It also surfaced two components the no-code build had that the production engine did not: </w:t>
      </w:r>
      <w:r>
        <w:rPr>
          <w:b/>
          <w:bCs/>
        </w:rPr>
        <w:t xml:space="preserve">an independent LLM-as-a-judge evaluation layer running inline in the answer path</w:t>
      </w:r>
      <w:r>
        <w:t xml:space="preserve">, and </w:t>
      </w:r>
      <w:r>
        <w:rPr>
          <w:b/>
          <w:bCs/>
        </w:rPr>
        <w:t xml:space="preserve">description-driven routing between an authoritative corpus and a live source</w:t>
      </w:r>
      <w:r>
        <w:t xml:space="preserve">. This phase ports both — not by copying the no-code design, but by integrating each into the more mature architecture already in place.</w:t>
      </w:r>
    </w:p>
    <w:p>
      <w:pPr>
        <w:spacing w:after="160" w:line="276"/>
      </w:pPr>
      <w:r>
        <w:t xml:space="preserve">The phase has two coupled parts. </w:t>
      </w:r>
      <w:r>
        <w:rPr>
          <w:b/>
          <w:bCs/>
        </w:rPr>
        <w:t xml:space="preserve">Part A</w:t>
      </w:r>
      <w:r>
        <w:t xml:space="preserve"> upgrades the existing deterministic confidence scorer with a selective semantic-grounding judge and a calibration loop. </w:t>
      </w:r>
      <w:r>
        <w:rPr>
          <w:b/>
          <w:bCs/>
        </w:rPr>
        <w:t xml:space="preserve">Part B</w:t>
      </w:r>
      <w:r>
        <w:t xml:space="preserve"> adds a Federal Register / regulations.gov retrieval path and a new user-facing intent — forward-looking regulatory change — that pairs with the Phase 9 temporal capability to complete the system's time axis.</w:t>
      </w:r>
    </w:p>
    <w:p>
      <w:pPr>
        <w:pStyle w:val="Heading1"/>
      </w:pPr>
      <w:r>
        <w:t xml:space="preserve">Part A — Inline Evaluation and Confidence Calibration</w:t>
      </w:r>
    </w:p>
    <w:p>
      <w:pPr>
        <w:pStyle w:val="Heading2"/>
      </w:pPr>
      <w:r>
        <w:t xml:space="preserve">A.1 Motivation</w:t>
      </w:r>
    </w:p>
    <w:p>
      <w:pPr>
        <w:spacing w:after="160" w:line="276"/>
      </w:pPr>
      <w:r>
        <w:t xml:space="preserve">The engine already ships a confidence score. It is a weighted composite of three cheap, deterministic signals computed on every query: </w:t>
      </w:r>
      <w:r>
        <w:rPr>
          <w:b/>
          <w:bCs/>
        </w:rPr>
        <w:t xml:space="preserve">retrieval_score</w:t>
      </w:r>
      <w:r>
        <w:t xml:space="preserve"> (average cosine similarity of the top-k chunks), </w:t>
      </w:r>
      <w:r>
        <w:rPr>
          <w:b/>
          <w:bCs/>
        </w:rPr>
        <w:t xml:space="preserve">citation_coverage</w:t>
      </w:r>
      <w:r>
        <w:t xml:space="preserve"> (a regex measure of how many CFR references in the generated answer appear in retrieved chunk metadata), and </w:t>
      </w:r>
      <w:r>
        <w:rPr>
          <w:b/>
          <w:bCs/>
        </w:rPr>
        <w:t xml:space="preserve">retrieval_concentration</w:t>
      </w:r>
      <w:r>
        <w:t xml:space="preserve"> (how tightly clustered the top-k similarities are). The weights are tuned offline by grid search (</w:t>
      </w:r>
      <w:r>
        <w:rPr>
          <w:rFonts w:ascii="Consolas" w:cs="Consolas" w:eastAsia="Consolas" w:hAnsi="Consolas"/>
          <w:sz w:val="20"/>
          <w:szCs w:val="20"/>
        </w:rPr>
        <w:t xml:space="preserve">optimize_confidence.py</w:t>
      </w:r>
      <w:r>
        <w:t xml:space="preserve">) to maximize Spearman correlation between the composite and LLM-judge faithfulness scores, and answers are bucketed into high / medium / low tiers.</w:t>
      </w:r>
    </w:p>
    <w:p>
      <w:pPr>
        <w:spacing w:after="160" w:line="276"/>
      </w:pPr>
      <w:r>
        <w:t xml:space="preserve">That design has a known, self-documented weakness. The optimizer's own guidance states that if no weight combination produces correct tier ordering, </w:t>
      </w:r>
      <w:r>
        <w:rPr>
          <w:b/>
          <w:bCs/>
        </w:rPr>
        <w:t xml:space="preserve">“the citation_coverage regex is the bottleneck”</w:t>
      </w:r>
      <w:r>
        <w:t xml:space="preserve"> and the prescribed fix is to “replace citation_coverage with a semantic grounding check.” The regex is a proxy for grounding: it rewards a CFR number appearing verbatim and penalizes grounded paraphrase that does not restate the citation. It is fast but brittle in exactly the region — decent retrieval, low citation coverage — where regulatory answers are most likely to be confidently wrong. Part A closes that gap.</w:t>
      </w:r>
    </w:p>
    <w:p>
      <w:pPr>
        <w:pStyle w:val="Heading2"/>
      </w:pPr>
      <w:r>
        <w:t xml:space="preserve">A.2 Design: Tiered Escalation, Not an Always-On Gate</w:t>
      </w:r>
    </w:p>
    <w:p>
      <w:pPr>
        <w:spacing w:after="160" w:line="276"/>
      </w:pPr>
      <w:r>
        <w:t xml:space="preserve">Running a full LLM judge on every query would blow the latency and cost budget the deterministic scorer was built to protect. The correct integration is a </w:t>
      </w:r>
      <w:r>
        <w:rPr>
          <w:b/>
          <w:bCs/>
        </w:rPr>
        <w:t xml:space="preserve">selective escalation</w:t>
      </w:r>
      <w:r>
        <w:t xml:space="preserve"> that reuses the tiers the system already computes:</w:t>
      </w:r>
    </w:p>
    <w:p>
      <w:pPr>
        <w:pStyle w:val="ListParagraph"/>
        <w:numPr>
          <w:ilvl w:val="0"/>
          <w:numId w:val="2"/>
        </w:numPr>
        <w:spacing w:after="80" w:line="276"/>
      </w:pPr>
      <w:r>
        <w:rPr>
          <w:b/>
          <w:bCs/>
        </w:rPr>
        <w:t xml:space="preserve">Deterministic pass (every query). </w:t>
      </w:r>
      <w:r>
        <w:t xml:space="preserve">Compute the composite score exactly as today. No change to the hot path for confident answers.</w:t>
      </w:r>
    </w:p>
    <w:p>
      <w:pPr>
        <w:pStyle w:val="ListParagraph"/>
        <w:numPr>
          <w:ilvl w:val="0"/>
          <w:numId w:val="2"/>
        </w:numPr>
        <w:spacing w:after="80" w:line="276"/>
      </w:pPr>
      <w:r>
        <w:rPr>
          <w:b/>
          <w:bCs/>
        </w:rPr>
        <w:t xml:space="preserve">Confident band → return. </w:t>
      </w:r>
      <w:r>
        <w:t xml:space="preserve">If the composite lands cleanly in the high tier (grounding signals agree), return without a judge call. This is the majority of traffic and stays fast.</w:t>
      </w:r>
    </w:p>
    <w:p>
      <w:pPr>
        <w:pStyle w:val="ListParagraph"/>
        <w:numPr>
          <w:ilvl w:val="0"/>
          <w:numId w:val="2"/>
        </w:numPr>
        <w:spacing w:after="80" w:line="276"/>
      </w:pPr>
      <w:r>
        <w:rPr>
          <w:b/>
          <w:bCs/>
        </w:rPr>
        <w:t xml:space="preserve">Ambiguous band → escalate. </w:t>
      </w:r>
      <w:r>
        <w:t xml:space="preserve">If the composite lands in the middle band — high retrieval_score but low citation_coverage, or a tier boundary within a configurable margin — call an independent semantic-grounding judge. This is the region where the regex is least trustworthy, so judge spend is concentrated where it buys the most.</w:t>
      </w:r>
    </w:p>
    <w:p>
      <w:pPr>
        <w:pStyle w:val="ListParagraph"/>
        <w:numPr>
          <w:ilvl w:val="0"/>
          <w:numId w:val="2"/>
        </w:numPr>
        <w:spacing w:after="80" w:line="276"/>
      </w:pPr>
      <w:r>
        <w:rPr>
          <w:b/>
          <w:bCs/>
        </w:rPr>
        <w:t xml:space="preserve">Judge confirms or overrides. </w:t>
      </w:r>
      <w:r>
        <w:t xml:space="preserve">The judge returns a grounding score (1–5) with a justification. It either confirms the tier or overrides it (downgrade on unsupported claims; upgrade a grounded paraphrase the regex under-scored). The final tier and the judge's justification are surfaced to the user.</w:t>
      </w:r>
    </w:p>
    <w:p>
      <w:pPr>
        <w:pStyle w:val="ListParagraph"/>
        <w:numPr>
          <w:ilvl w:val="0"/>
          <w:numId w:val="2"/>
        </w:numPr>
        <w:spacing w:after="80" w:line="276"/>
      </w:pPr>
      <w:r>
        <w:rPr>
          <w:b/>
          <w:bCs/>
        </w:rPr>
        <w:t xml:space="preserve">Log the disagreement. </w:t>
      </w:r>
      <w:r>
        <w:t xml:space="preserve">Every escalation logs the deterministic composite, the judge score, and whether they agreed. These disagreements are the training signal for A.4.</w:t>
      </w:r>
    </w:p>
    <w:p>
      <w:pPr>
        <w:spacing w:after="160" w:line="276"/>
      </w:pPr>
      <w:r>
        <w:t xml:space="preserve">The judge must be a </w:t>
      </w:r>
      <w:r>
        <w:rPr>
          <w:b/>
          <w:bCs/>
        </w:rPr>
        <w:t xml:space="preserve">different, stronger model than the generator</w:t>
      </w:r>
      <w:r>
        <w:t xml:space="preserve"> — a model grading its own output is biased toward it — and its rubric is scoped to grounding and completeness against retrieved chunks, mirroring the four-dimension rubric the no-code build validated (relevance, grounding, completeness, clarity) but focused on the two dimensions that matter for a hallucination gate.</w:t>
      </w:r>
    </w:p>
    <w:p>
      <w:pPr>
        <w:pStyle w:val="Heading2"/>
      </w:pPr>
      <w:r>
        <w:t xml:space="preserve">A.3 How This Improves the Confidence Score</w:t>
      </w:r>
    </w:p>
    <w:p>
      <w:pPr>
        <w:spacing w:after="160" w:line="276"/>
      </w:pPr>
      <w:r>
        <w:t xml:space="preserve">The judge is not a parallel system bolted alongside the composite — it feeds back into it. Two mechanisms:</w:t>
      </w:r>
    </w:p>
    <w:p>
      <w:pPr>
        <w:pStyle w:val="ListParagraph"/>
        <w:numPr>
          <w:ilvl w:val="0"/>
          <w:numId w:val="3"/>
        </w:numPr>
        <w:spacing w:after="80" w:line="276"/>
      </w:pPr>
      <w:r>
        <w:rPr>
          <w:b/>
          <w:bCs/>
        </w:rPr>
        <w:t xml:space="preserve">Runtime override. </w:t>
      </w:r>
      <w:r>
        <w:t xml:space="preserve">For escalated queries, the judge's grounding score replaces the regex proxy in the tier decision, so the tier the user sees reflects semantic grounding rather than surface citation matching.</w:t>
      </w:r>
    </w:p>
    <w:p>
      <w:pPr>
        <w:pStyle w:val="ListParagraph"/>
        <w:numPr>
          <w:ilvl w:val="0"/>
          <w:numId w:val="3"/>
        </w:numPr>
        <w:spacing w:after="80" w:line="276"/>
      </w:pPr>
      <w:r>
        <w:rPr>
          <w:b/>
          <w:bCs/>
        </w:rPr>
        <w:t xml:space="preserve">Feature replacement over time. </w:t>
      </w:r>
      <w:r>
        <w:t xml:space="preserve">Logged judge scores become an improved ground-truth column. Re-run </w:t>
      </w:r>
      <w:r>
        <w:rPr>
          <w:rFonts w:ascii="Consolas" w:cs="Consolas" w:eastAsia="Consolas" w:hAnsi="Consolas"/>
          <w:sz w:val="20"/>
          <w:szCs w:val="20"/>
        </w:rPr>
        <w:t xml:space="preserve">optimize_confidence.py</w:t>
      </w:r>
      <w:r>
        <w:t xml:space="preserve"> against judge-grounding instead of the offline faithfulness set, or replace </w:t>
      </w:r>
      <w:r>
        <w:rPr>
          <w:rFonts w:ascii="Consolas" w:cs="Consolas" w:eastAsia="Consolas" w:hAnsi="Consolas"/>
          <w:sz w:val="20"/>
          <w:szCs w:val="20"/>
        </w:rPr>
        <w:t xml:space="preserve">citation_coverage</w:t>
      </w:r>
      <w:r>
        <w:t xml:space="preserve"> outright with a distilled </w:t>
      </w:r>
      <w:r>
        <w:rPr>
          <w:rFonts w:ascii="Consolas" w:cs="Consolas" w:eastAsia="Consolas" w:hAnsi="Consolas"/>
          <w:sz w:val="20"/>
          <w:szCs w:val="20"/>
        </w:rPr>
        <w:t xml:space="preserve">semantic_grounding</w:t>
      </w:r>
      <w:r>
        <w:t xml:space="preserve"> feature and re-fit the weights. The optimizer already anticipates this substitution; Part A supplies the data it needs to execute it.</w:t>
      </w:r>
    </w:p>
    <w:p>
      <w:pPr>
        <w:pStyle w:val="Heading2"/>
      </w:pPr>
      <w:r>
        <w:t xml:space="preserve">A.4 Evaluation Metrics (Part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Metric</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Definition and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Tier ordering holds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high &gt; medium &gt; low on judge-grounding after feature substitution. Binary pass/fail. This is the criterion the optimizer already checks; the goal is to move it from FAIL to PASS by replacing the regex proxy.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Composite–judge agreement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Percentage of escalated queries where the deterministic tier matched the judge tier. Rising agreement over time means the calibrated composite is absorbing the judge's signal. Target: trend upward.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Escalation 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Percentage of queries that trigger a judge call. Governs added cost/latency. Target: bounded (e.g., &lt;25%) so the fast path dominates.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Grounding gate catch 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Of answers the judge scores as ungrounded, the percentage caught (downgraded or flagged) before delivery. This is the hallucination-detector metric. Target: high; measured against a held-out set of seeded ungrounded answers.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Spearman rho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Correlation between the calibrated composite and judge-grounding. Reuses the optimizer's existing objective; target &gt;= 0.60 as before, now against a stronger ground truth.</w:t>
            </w:r>
          </w:p>
        </w:tc>
      </w:tr>
    </w:tbl>
    <w:p>
      <w:pPr>
        <w:pStyle w:val="Heading2"/>
      </w:pPr>
      <w:r>
        <w:t xml:space="preserve">A.5 Implementation Tasks (Part A)</w:t>
      </w:r>
    </w:p>
    <w:p>
      <w:pPr>
        <w:pStyle w:val="ListParagraph"/>
        <w:numPr>
          <w:ilvl w:val="0"/>
          <w:numId w:val="2"/>
        </w:numPr>
        <w:spacing w:after="80" w:line="276"/>
      </w:pPr>
      <w:r>
        <w:t xml:space="preserve">Add a semantic-grounding judge module: independent model, grounding + completeness rubric, structured JSON output with justification. Scope input to the generated answer plus the retrieved chunks.</w:t>
      </w:r>
    </w:p>
    <w:p>
      <w:pPr>
        <w:pStyle w:val="ListParagraph"/>
        <w:numPr>
          <w:ilvl w:val="0"/>
          <w:numId w:val="2"/>
        </w:numPr>
        <w:spacing w:after="80" w:line="276"/>
      </w:pPr>
      <w:r>
        <w:t xml:space="preserve">Add escalation logic to the query path: define the ambiguous band (tier-boundary margin + low-citation_coverage rule), call the judge only within it, apply confirm/override to the tier.</w:t>
      </w:r>
    </w:p>
    <w:p>
      <w:pPr>
        <w:pStyle w:val="ListParagraph"/>
        <w:numPr>
          <w:ilvl w:val="0"/>
          <w:numId w:val="2"/>
        </w:numPr>
        <w:spacing w:after="80" w:line="276"/>
      </w:pPr>
      <w:r>
        <w:t xml:space="preserve">Log every escalation: composite components, judge score, agreement flag, timestamp. Store for calibration and audit.</w:t>
      </w:r>
    </w:p>
    <w:p>
      <w:pPr>
        <w:pStyle w:val="ListParagraph"/>
        <w:numPr>
          <w:ilvl w:val="0"/>
          <w:numId w:val="2"/>
        </w:numPr>
        <w:spacing w:after="80" w:line="276"/>
      </w:pPr>
      <w:r>
        <w:t xml:space="preserve">Surface the judge justification in the API response and UI for escalated answers (defensible “why this confidence” text).</w:t>
      </w:r>
    </w:p>
    <w:p>
      <w:pPr>
        <w:pStyle w:val="ListParagraph"/>
        <w:numPr>
          <w:ilvl w:val="0"/>
          <w:numId w:val="2"/>
        </w:numPr>
        <w:spacing w:after="80" w:line="276"/>
      </w:pPr>
      <w:r>
        <w:t xml:space="preserve">Extend </w:t>
      </w:r>
      <w:r>
        <w:rPr>
          <w:rFonts w:ascii="Consolas" w:cs="Consolas" w:eastAsia="Consolas" w:hAnsi="Consolas"/>
          <w:sz w:val="20"/>
          <w:szCs w:val="20"/>
        </w:rPr>
        <w:t xml:space="preserve">optimize_confidence.py</w:t>
      </w:r>
      <w:r>
        <w:t xml:space="preserve"> to accept judge-grounding as the ground-truth column and to fit a </w:t>
      </w:r>
      <w:r>
        <w:rPr>
          <w:rFonts w:ascii="Consolas" w:cs="Consolas" w:eastAsia="Consolas" w:hAnsi="Consolas"/>
          <w:sz w:val="20"/>
          <w:szCs w:val="20"/>
        </w:rPr>
        <w:t xml:space="preserve">semantic_grounding</w:t>
      </w:r>
      <w:r>
        <w:t xml:space="preserve"> feature in place of </w:t>
      </w:r>
      <w:r>
        <w:rPr>
          <w:rFonts w:ascii="Consolas" w:cs="Consolas" w:eastAsia="Consolas" w:hAnsi="Consolas"/>
          <w:sz w:val="20"/>
          <w:szCs w:val="20"/>
        </w:rPr>
        <w:t xml:space="preserve">citation_coverage</w:t>
      </w:r>
      <w:r>
        <w:t xml:space="preserve">. Re-run the grid search; update weights in </w:t>
      </w:r>
      <w:r>
        <w:rPr>
          <w:rFonts w:ascii="Consolas" w:cs="Consolas" w:eastAsia="Consolas" w:hAnsi="Consolas"/>
          <w:sz w:val="20"/>
          <w:szCs w:val="20"/>
        </w:rPr>
        <w:t xml:space="preserve">backend/confidence.py</w:t>
      </w:r>
      <w:r>
        <w:t xml:space="preserve"> if tier ordering now holds.</w:t>
      </w:r>
    </w:p>
    <w:p>
      <w:pPr>
        <w:pStyle w:val="ListParagraph"/>
        <w:numPr>
          <w:ilvl w:val="0"/>
          <w:numId w:val="2"/>
        </w:numPr>
        <w:spacing w:after="80" w:line="276"/>
      </w:pPr>
      <w:r>
        <w:t xml:space="preserve">Add escalation-rate and gate-catch-rate to the /health or metrics endpoint for ongoing monitoring.</w:t>
      </w:r>
    </w:p>
    <w:p>
      <w:pPr>
        <w:pageBreakBefore/>
      </w:pPr>
    </w:p>
    <w:p>
      <w:pPr>
        <w:pStyle w:val="Heading1"/>
      </w:pPr>
      <w:r>
        <w:t xml:space="preserve">Part B — Forward-Looking Retrieval (Federal Register / regulations.gov)</w:t>
      </w:r>
    </w:p>
    <w:p>
      <w:pPr>
        <w:pStyle w:val="Heading2"/>
      </w:pPr>
      <w:r>
        <w:t xml:space="preserve">B.1 The API Distinction This Rests On</w:t>
      </w:r>
    </w:p>
    <w:p>
      <w:pPr>
        <w:spacing w:after="160" w:line="276"/>
      </w:pPr>
      <w:r>
        <w:t xml:space="preserve">The engine currently ingests from the </w:t>
      </w:r>
      <w:r>
        <w:rPr>
          <w:b/>
          <w:bCs/>
        </w:rPr>
        <w:t xml:space="preserve">eCFR API</w:t>
      </w:r>
      <w:r>
        <w:t xml:space="preserve">, which is the codified regulation — rules already finalized and incorporated into the Code of Federal Regulations. Phase 9 versioning tracks the effective_date of codified sections and swaps them when eCFR publishes an update. That keeps the corpus current with what the law </w:t>
      </w:r>
      <w:r>
        <w:rPr>
          <w:b/>
          <w:bCs/>
        </w:rPr>
        <w:t xml:space="preserve">is</w:t>
      </w:r>
      <w:r>
        <w:t xml:space="preserve">. It says nothing about what the law is </w:t>
      </w:r>
      <w:r>
        <w:rPr>
          <w:b/>
          <w:bCs/>
        </w:rPr>
        <w:t xml:space="preserve">becoming</w:t>
      </w:r>
      <w:r>
        <w:t xml:space="preserve">.</w:t>
      </w:r>
    </w:p>
    <w:p>
      <w:pPr>
        <w:spacing w:after="160" w:line="276"/>
      </w:pPr>
      <w:r>
        <w:t xml:space="preserve">The </w:t>
      </w:r>
      <w:r>
        <w:rPr>
          <w:b/>
          <w:bCs/>
        </w:rPr>
        <w:t xml:space="preserve">Federal Register API</w:t>
      </w:r>
      <w:r>
        <w:t xml:space="preserve"> (federalregister.gov/developers) is a different corpus answering a different question. The Federal Register is the daily journal of proposed rules, notices of proposed rulemaking (NPRMs), and final rules before codification. A proposed rule sits there for months collecting public comment before it either dies or is finalized and flows into the eCFR. That gap is the forward-looking window. The </w:t>
      </w:r>
      <w:r>
        <w:rPr>
          <w:b/>
          <w:bCs/>
        </w:rPr>
        <w:t xml:space="preserve">regulations.gov API</w:t>
      </w:r>
      <w:r>
        <w:t xml:space="preserve"> (v4) adds the docket and comment layer on top — comment-period status, docket documents, and the RIN (retrieved via the </w:t>
      </w:r>
      <w:r>
        <w:rPr>
          <w:rFonts w:ascii="Consolas" w:cs="Consolas" w:eastAsia="Consolas" w:hAnsi="Consolas"/>
          <w:sz w:val="20"/>
          <w:szCs w:val="20"/>
        </w:rPr>
        <w:t xml:space="preserve">/v4/dockets/{docketId}</w:t>
      </w:r>
      <w:r>
        <w:t xml:space="preserve"> endpoint) that lets a single rule be tracked across its lifecycle.</w:t>
      </w:r>
    </w:p>
    <w:p>
      <w:pPr>
        <w:spacing w:after="160" w:line="276"/>
      </w:pPr>
      <w:r>
        <w:rPr>
          <w:b/>
          <w:bCs/>
        </w:rPr>
        <w:t xml:space="preserve">To state it plainly: </w:t>
      </w:r>
      <w:r>
        <w:t xml:space="preserve">eCFR answers “what does the rule say today.” Federal Register answers “what rule is coming, when does comment close, and what is the proposed effective date.” This is not the same API that keeps the corpus fresh, and that distinction is the entire point of the phase.</w:t>
      </w:r>
    </w:p>
    <w:p>
      <w:pPr>
        <w:pStyle w:val="Heading2"/>
      </w:pPr>
      <w:r>
        <w:t xml:space="preserve">B.2 What Content the New Path Retrieves</w:t>
      </w:r>
    </w:p>
    <w:p>
      <w:pPr>
        <w:spacing w:after="160" w:line="276"/>
      </w:pPr>
      <w:r>
        <w:t xml:space="preserve">For the “what’s proposed / what’s pending” intent, the retrieval path queries the Federal Register documents endpoint filtered to proposed rules and NPRMs by CFR title/part, and pulls:</w:t>
      </w:r>
    </w:p>
    <w:p>
      <w:pPr>
        <w:pStyle w:val="ListParagraph"/>
        <w:numPr>
          <w:ilvl w:val="0"/>
          <w:numId w:val="3"/>
        </w:numPr>
        <w:spacing w:after="80" w:line="276"/>
      </w:pPr>
      <w:r>
        <w:rPr>
          <w:b/>
          <w:bCs/>
        </w:rPr>
        <w:t xml:space="preserve">Document type </w:t>
      </w:r>
      <w:r>
        <w:t xml:space="preserve">(Proposed Rule / NPRM / Final Rule not yet codified) — the primary routing filter.</w:t>
      </w:r>
    </w:p>
    <w:p>
      <w:pPr>
        <w:pStyle w:val="ListParagraph"/>
        <w:numPr>
          <w:ilvl w:val="0"/>
          <w:numId w:val="3"/>
        </w:numPr>
        <w:spacing w:after="80" w:line="276"/>
      </w:pPr>
      <w:r>
        <w:rPr>
          <w:b/>
          <w:bCs/>
        </w:rPr>
        <w:t xml:space="preserve">Affected CFR title and part </w:t>
      </w:r>
      <w:r>
        <w:t xml:space="preserve">— to align a forward-looking result with the same citation space as the codified corpus.</w:t>
      </w:r>
    </w:p>
    <w:p>
      <w:pPr>
        <w:pStyle w:val="ListParagraph"/>
        <w:numPr>
          <w:ilvl w:val="0"/>
          <w:numId w:val="3"/>
        </w:numPr>
        <w:spacing w:after="80" w:line="276"/>
      </w:pPr>
      <w:r>
        <w:rPr>
          <w:b/>
          <w:bCs/>
        </w:rPr>
        <w:t xml:space="preserve">RIN and docket ID </w:t>
      </w:r>
      <w:r>
        <w:t xml:space="preserve">— to track a rule across its lifecycle and link through to regulations.gov.</w:t>
      </w:r>
    </w:p>
    <w:p>
      <w:pPr>
        <w:pStyle w:val="ListParagraph"/>
        <w:numPr>
          <w:ilvl w:val="0"/>
          <w:numId w:val="3"/>
        </w:numPr>
        <w:spacing w:after="80" w:line="276"/>
      </w:pPr>
      <w:r>
        <w:rPr>
          <w:b/>
          <w:bCs/>
        </w:rPr>
        <w:t xml:space="preserve">Comment-period open and close dates </w:t>
      </w:r>
      <w:r>
        <w:t xml:space="preserve">— the actionable “when can I weigh in / when does this lock” signal.</w:t>
      </w:r>
    </w:p>
    <w:p>
      <w:pPr>
        <w:pStyle w:val="ListParagraph"/>
        <w:numPr>
          <w:ilvl w:val="0"/>
          <w:numId w:val="3"/>
        </w:numPr>
        <w:spacing w:after="80" w:line="276"/>
      </w:pPr>
      <w:r>
        <w:rPr>
          <w:b/>
          <w:bCs/>
        </w:rPr>
        <w:t xml:space="preserve">Proposed effective date </w:t>
      </w:r>
      <w:r>
        <w:t xml:space="preserve">(where stated) and publication date — the timeline for planning.</w:t>
      </w:r>
    </w:p>
    <w:p>
      <w:pPr>
        <w:pStyle w:val="ListParagraph"/>
        <w:numPr>
          <w:ilvl w:val="0"/>
          <w:numId w:val="3"/>
        </w:numPr>
        <w:spacing w:after="80" w:line="276"/>
      </w:pPr>
      <w:r>
        <w:rPr>
          <w:b/>
          <w:bCs/>
        </w:rPr>
        <w:t xml:space="preserve">Agency </w:t>
      </w:r>
      <w:r>
        <w:t xml:space="preserve">— FDA, USDA, HHS, etc., matching the starter titles (7, 21, 42).</w:t>
      </w:r>
    </w:p>
    <w:p>
      <w:pPr>
        <w:pStyle w:val="Heading2"/>
      </w:pPr>
      <w:r>
        <w:t xml:space="preserve">B.3 Routing: Description-Driven, Corpus-Authoritative</w:t>
      </w:r>
    </w:p>
    <w:p>
      <w:pPr>
        <w:spacing w:after="160" w:line="276"/>
      </w:pPr>
      <w:r>
        <w:t xml:space="preserve">Following the no-code build's description-driven routing — but constrained so it never dilutes corpus authority — the agent selects the Federal Register path </w:t>
      </w:r>
      <w:r>
        <w:rPr>
          <w:b/>
          <w:bCs/>
        </w:rPr>
        <w:t xml:space="preserve">only for forward-looking intent</w:t>
      </w:r>
      <w:r>
        <w:t xml:space="preserve">. A question about current requirements routes to the eCFR corpus (authoritative, high-precision) as today. A question about proposed, pending, or upcoming changes routes to the Federal Register path. A blended question hits both and synthesizes, with each claim tagged by source and status. Default remains the codified corpus; the live path is additive, not a replacement.</w:t>
      </w:r>
    </w:p>
    <w:p>
      <w:pPr>
        <w:pStyle w:val="Heading2"/>
      </w:pPr>
      <w:r>
        <w:t xml:space="preserve">B.4 New User-Facing Intent: “How are these regulations changing?”</w:t>
      </w:r>
    </w:p>
    <w:p>
      <w:pPr>
        <w:spacing w:after="160" w:line="276"/>
      </w:pPr>
      <w:r>
        <w:t xml:space="preserve">This is a genuinely distinct use case with a distinct user. The three current outputs serve someone who must </w:t>
      </w:r>
      <w:r>
        <w:rPr>
          <w:b/>
          <w:bCs/>
        </w:rPr>
        <w:t xml:space="preserve">comply now</w:t>
      </w:r>
      <w:r>
        <w:t xml:space="preserve">. The forward-looking output serves someone who must </w:t>
      </w:r>
      <w:r>
        <w:rPr>
          <w:b/>
          <w:bCs/>
        </w:rPr>
        <w:t xml:space="preserve">plan</w:t>
      </w:r>
      <w:r>
        <w:t xml:space="preserve"> — a compliance officer forecasting workload, a policy analyst tracking a rule, a business assessing regulatory risk before entering a market. The canonical query: </w:t>
      </w:r>
      <w:r>
        <w:rPr>
          <w:i/>
          <w:iCs/>
        </w:rPr>
        <w:t xml:space="preserve">“How might these regulations change over the next year?”</w:t>
      </w:r>
    </w:p>
    <w:p>
      <w:pPr>
        <w:spacing w:after="160" w:line="276"/>
      </w:pPr>
      <w:r>
        <w:t xml:space="preserve">It completes the system's time axis alongside Phase 9. Together the three intents give a full temporal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Past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Present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Future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“What changed?” — archived eCFR versions (Phase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“What does the rule say?” — active eCFR corpus (current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“What’s proposed?” — Federal Register / regulations.gov (Phase 10)</w:t>
            </w:r>
          </w:p>
        </w:tc>
      </w:tr>
    </w:tbl>
    <w:p>
      <w:pPr>
        <w:pStyle w:val="Heading2"/>
      </w:pPr>
      <w:r>
        <w:t xml:space="preserve">B.5 The Dominant Risk and Its Mitigation</w:t>
      </w:r>
    </w:p>
    <w:p>
      <w:pPr>
        <w:spacing w:after="160" w:line="276"/>
      </w:pPr>
      <w:r>
        <w:t xml:space="preserve">A proposed rule is not law. The single most dangerous failure mode is a user acting on a proposal as if it were binding. The forward-looking output therefore requires a </w:t>
      </w:r>
      <w:r>
        <w:rPr>
          <w:b/>
          <w:bCs/>
        </w:rPr>
        <w:t xml:space="preserve">hard, unmissable provenance label</w:t>
      </w:r>
      <w:r>
        <w:t xml:space="preserve"> distinguishing proposed from codified content — which is exactly what the engine’s grounding discipline and structured-output contract already enforce. Every forward-looking claim carries its status (proposed / pending / comment-open) and its Federal Register citation, and the semantic-grounding judge from Part A is instructed to penalize any answer that presents proposed content without that status label.</w:t>
      </w:r>
    </w:p>
    <w:p>
      <w:pPr>
        <w:pStyle w:val="Heading2"/>
      </w:pPr>
      <w:r>
        <w:t xml:space="preserve">B.6 Evaluation Metrics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Metric</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0"/>
            </w:pPr>
            <w:r>
              <w:rPr>
                <w:b/>
                <w:bCs/>
                <w:sz w:val="20"/>
                <w:szCs w:val="20"/>
              </w:rPr>
              <w:t xml:space="preserve">Definition and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Status-label correctness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Percentage of forward-looking answers that correctly label proposed/pending content as non-binding. Target: 100% (binary pass/fail; a mislabel is a critical failure).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Routing accuracy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Percentage of queries routed to the correct path (codified vs. forward-looking vs. blended). Scored against a hand-labeled intent set. Target: &gt;90%.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Forward-looking grounding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Judge-scored grounding of forward-looking claims against retrieved Federal Register documents. Target: same bar as codified answers.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Comment-window accuracy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b w:val="false"/>
                <w:bCs w:val="false"/>
                <w:sz w:val="20"/>
                <w:szCs w:val="20"/>
              </w:rPr>
              <w:t xml:space="preserve">Percentage of answers that report the correct comment-period close date for a cited proposed rule. Target: high; a wrong date defeats the planning use case.</w:t>
            </w:r>
          </w:p>
        </w:tc>
      </w:tr>
    </w:tbl>
    <w:p>
      <w:pPr>
        <w:pStyle w:val="Heading2"/>
      </w:pPr>
      <w:r>
        <w:t xml:space="preserve">B.7 Implementation Tasks (Part B)</w:t>
      </w:r>
    </w:p>
    <w:p>
      <w:pPr>
        <w:pStyle w:val="ListParagraph"/>
        <w:numPr>
          <w:ilvl w:val="0"/>
          <w:numId w:val="4"/>
        </w:numPr>
        <w:spacing w:after="80" w:line="276"/>
      </w:pPr>
      <w:r>
        <w:t xml:space="preserve">Add a Federal Register client: query the documents endpoint filtered to proposed rules / NPRMs by CFR title/part; parse type, RIN, docket ID, comment dates, effective date, agency.</w:t>
      </w:r>
    </w:p>
    <w:p>
      <w:pPr>
        <w:pStyle w:val="ListParagraph"/>
        <w:numPr>
          <w:ilvl w:val="0"/>
          <w:numId w:val="4"/>
        </w:numPr>
        <w:spacing w:after="80" w:line="276"/>
      </w:pPr>
      <w:r>
        <w:t xml:space="preserve">Add a regulations.gov v4 client for docket/comment enrichment (RIN via /dockets, comment-period status). Register for an api.data.gov key; respect rate limits.</w:t>
      </w:r>
    </w:p>
    <w:p>
      <w:pPr>
        <w:pStyle w:val="ListParagraph"/>
        <w:numPr>
          <w:ilvl w:val="0"/>
          <w:numId w:val="4"/>
        </w:numPr>
        <w:spacing w:after="80" w:line="276"/>
      </w:pPr>
      <w:r>
        <w:t xml:space="preserve">Add intent detection for forward-looking queries and a description-driven router that selects codified / forward-looking / blended. Default to codified.</w:t>
      </w:r>
    </w:p>
    <w:p>
      <w:pPr>
        <w:pStyle w:val="ListParagraph"/>
        <w:numPr>
          <w:ilvl w:val="0"/>
          <w:numId w:val="4"/>
        </w:numPr>
        <w:spacing w:after="80" w:line="276"/>
      </w:pPr>
      <w:r>
        <w:t xml:space="preserve">Add a forward-looking output template: proposed change, affected CFR citation, comment-period status and dates, proposed effective date, and a mandatory non-binding status label.</w:t>
      </w:r>
    </w:p>
    <w:p>
      <w:pPr>
        <w:pStyle w:val="ListParagraph"/>
        <w:numPr>
          <w:ilvl w:val="0"/>
          <w:numId w:val="4"/>
        </w:numPr>
        <w:spacing w:after="80" w:line="276"/>
      </w:pPr>
      <w:r>
        <w:t xml:space="preserve">Wire the Part A grounding judge to enforce the status label on forward-looking answers.</w:t>
      </w:r>
    </w:p>
    <w:p>
      <w:pPr>
        <w:pStyle w:val="ListParagraph"/>
        <w:numPr>
          <w:ilvl w:val="0"/>
          <w:numId w:val="4"/>
        </w:numPr>
        <w:spacing w:after="80" w:line="276"/>
      </w:pPr>
      <w:r>
        <w:t xml:space="preserve">Write forward-looking and routing evaluation cases; extend the test suite and report the Part B metrics.</w:t>
      </w:r>
    </w:p>
    <w:p>
      <w:pPr>
        <w:pStyle w:val="ListParagraph"/>
        <w:numPr>
          <w:ilvl w:val="0"/>
          <w:numId w:val="4"/>
        </w:numPr>
        <w:spacing w:after="80" w:line="276"/>
      </w:pPr>
      <w:r>
        <w:t xml:space="preserve">Add a caching/refresh policy for Federal Register results (proposed-rule state changes daily; do not treat as static).</w:t>
      </w:r>
    </w:p>
    <w:p>
      <w:pPr>
        <w:pStyle w:val="Heading1"/>
      </w:pPr>
      <w:r>
        <w:t xml:space="preserve">Sequencing and Dependencies</w:t>
      </w:r>
    </w:p>
    <w:p>
      <w:pPr>
        <w:spacing w:after="160" w:line="276"/>
      </w:pPr>
      <w:r>
        <w:rPr>
          <w:b/>
          <w:bCs/>
        </w:rPr>
        <w:t xml:space="preserve">Build Part A first. </w:t>
      </w:r>
      <w:r>
        <w:t xml:space="preserve">It is the highest value per unit of effort: it attacks the failure mode that makes regulatory answers dangerous when wrong, it reuses infrastructure already built (retrieval, structured output, the confidence optimizer), and it produces a live quality metric stronger than static eval-set numbers. Part A depends only on Phase 1–4 and the existing confidence scorer.</w:t>
      </w:r>
    </w:p>
    <w:p>
      <w:pPr>
        <w:spacing w:after="160" w:line="276"/>
      </w:pPr>
      <w:r>
        <w:rPr>
          <w:b/>
          <w:bCs/>
        </w:rPr>
        <w:t xml:space="preserve">Part B second. </w:t>
      </w:r>
      <w:r>
        <w:t xml:space="preserve">It is a capability expansion rather than a safety upgrade, so it ranks below the judge — but it depends on Part A, because the grounding judge is what enforces the proposed-vs-codified status label that keeps the forward-looking feature safe. Part B otherwise depends on the Phase 1 ingestion patterns (for CFR title/part alignment) and is independent of Phase 9.</w:t>
      </w:r>
    </w:p>
    <w:p>
      <w:pPr>
        <w:pStyle w:val="Heading1"/>
      </w:pPr>
      <w:r>
        <w:t xml:space="preserve">Success Criteria</w:t>
      </w:r>
    </w:p>
    <w:p>
      <w:pPr>
        <w:pStyle w:val="ListParagraph"/>
        <w:numPr>
          <w:ilvl w:val="0"/>
          <w:numId w:val="3"/>
        </w:numPr>
        <w:spacing w:after="80" w:line="276"/>
      </w:pPr>
      <w:r>
        <w:t xml:space="preserve">Part A: tier ordering holds on judge-grounding after feature substitution; grounding gate catches seeded ungrounded answers; escalation rate bounded so the fast path dominates.</w:t>
      </w:r>
    </w:p>
    <w:p>
      <w:pPr>
        <w:pStyle w:val="ListParagraph"/>
        <w:numPr>
          <w:ilvl w:val="0"/>
          <w:numId w:val="3"/>
        </w:numPr>
        <w:spacing w:after="80" w:line="276"/>
      </w:pPr>
      <w:r>
        <w:t xml:space="preserve">Part A: confidence tiers shown to users reflect semantic grounding, with a defensible justification surfaced on escalated answers.</w:t>
      </w:r>
    </w:p>
    <w:p>
      <w:pPr>
        <w:pStyle w:val="ListParagraph"/>
        <w:numPr>
          <w:ilvl w:val="0"/>
          <w:numId w:val="3"/>
        </w:numPr>
        <w:spacing w:after="80" w:line="276"/>
      </w:pPr>
      <w:r>
        <w:t xml:space="preserve">Part B: 100% status-label correctness on forward-looking answers; routing accuracy &gt;90%; forward-looking claims grounded to the same bar as codified answers.</w:t>
      </w:r>
    </w:p>
    <w:p>
      <w:pPr>
        <w:pStyle w:val="ListParagraph"/>
        <w:numPr>
          <w:ilvl w:val="0"/>
          <w:numId w:val="3"/>
        </w:numPr>
        <w:spacing w:after="80" w:line="276"/>
      </w:pPr>
      <w:r>
        <w:t xml:space="preserve">Combined: the system answers across the full time axis — what changed (Phase 9), what the rule says (current), and what’s proposed (Phase 10) — with source and status on every claim.</w:t>
      </w:r>
    </w:p>
    <w:p>
      <w:pPr>
        <w:pStyle w:val="ListParagraph"/>
        <w:numPr>
          <w:ilvl w:val="0"/>
          <w:numId w:val="3"/>
        </w:numPr>
        <w:spacing w:after="80" w:line="276"/>
      </w:pPr>
      <w:r>
        <w:t xml:space="preserve">Case study updated: the inline-evaluation calibration loop and the forward-looking lifecycle capability documented and structured for interview walkthrough.</w:t>
      </w:r>
    </w:p>
    <w:p>
      <w:pPr>
        <w:pStyle w:val="Heading1"/>
      </w:pPr>
      <w:r>
        <w:t xml:space="preserve">Alternatives Considered</w:t>
      </w:r>
    </w:p>
    <w:p>
      <w:pPr>
        <w:spacing w:after="160" w:line="276"/>
      </w:pPr>
      <w:r>
        <w:rPr>
          <w:b/>
          <w:bCs/>
        </w:rPr>
        <w:t xml:space="preserve">Always-on judge (Part A). </w:t>
      </w:r>
      <w:r>
        <w:t xml:space="preserve">Run the semantic judge on every query and gate on it, as the no-code build does. Rejected: blows the latency and cost budget the deterministic scorer exists to protect, and wastes judge spend on the confident majority of traffic where the composite is already reliable. Selective escalation concentrates spend where the regex proxy is least trustworthy.</w:t>
      </w:r>
    </w:p>
    <w:p>
      <w:pPr>
        <w:spacing w:after="160" w:line="276"/>
      </w:pPr>
      <w:r>
        <w:rPr>
          <w:b/>
          <w:bCs/>
        </w:rPr>
        <w:t xml:space="preserve">Replace the deterministic scorer entirely (Part A). </w:t>
      </w:r>
      <w:r>
        <w:t xml:space="preserve">Drop the composite and use the judge as the sole confidence signal. Rejected: loses the fast, cheap, per-query signal and the calibration history; the composite plus selective escalation keeps the hot path fast while still capturing semantic grounding where it matters.</w:t>
      </w:r>
    </w:p>
    <w:p>
      <w:pPr>
        <w:spacing w:after="160" w:line="276"/>
      </w:pPr>
      <w:r>
        <w:rPr>
          <w:b/>
          <w:bCs/>
        </w:rPr>
        <w:t xml:space="preserve">Ingest the Federal Register into the corpus (Part B). </w:t>
      </w:r>
      <w:r>
        <w:t xml:space="preserve">Treat proposed rules as just more chunks in pgvector. Rejected: proposed content changes daily and is non-binding; mixing it into the codified corpus risks exactly the proposed-as-law failure mode. A separate, clearly-labeled retrieval path with its own refresh policy keeps the authoritative corpus clean.</w:t>
      </w:r>
    </w:p>
    <w:p>
      <w:pPr>
        <w:spacing w:after="160" w:line="276"/>
      </w:pPr>
      <w:r>
        <w:rPr>
          <w:b/>
          <w:bCs/>
        </w:rPr>
        <w:t xml:space="preserve">Web search for pending rules (Part B). </w:t>
      </w:r>
      <w:r>
        <w:t xml:space="preserve">Use a general web-search tool, as the no-code build did. Rejected: the no-code brief itself flags this as its weakest point. The Federal Register and regulations.gov APIs are the authoritative, structured, rate-stable sources for exactly this data.</w:t>
      </w:r>
    </w:p>
    <w:p>
      <w:pPr>
        <w:pStyle w:val="Heading1"/>
      </w:pPr>
      <w:r>
        <w:t xml:space="preserve">Sources</w:t>
      </w:r>
    </w:p>
    <w:p>
      <w:pPr>
        <w:spacing w:after="160" w:line="276"/>
      </w:pPr>
      <w:hyperlink w:history="1" r:id="rIdpzsknruclkbiedgon0cqj">
        <w:r>
          <w:rPr>
            <w:rStyle w:val="Hyperlink"/>
          </w:rPr>
          <w:t xml:space="preserve">Federal Register API v1 documentation</w:t>
        </w:r>
      </w:hyperlink>
    </w:p>
    <w:p>
      <w:pPr>
        <w:spacing w:after="160" w:line="276"/>
      </w:pPr>
      <w:hyperlink w:history="1" r:id="rIduud5mdzpkfwhxul7uwh00">
        <w:r>
          <w:rPr>
            <w:rStyle w:val="Hyperlink"/>
          </w:rPr>
          <w:t xml:space="preserve">Regulations.gov API v4 documentation</w:t>
        </w:r>
      </w:hyperlink>
    </w:p>
    <w:p>
      <w:pPr>
        <w:spacing w:after="160" w:line="276"/>
      </w:pPr>
      <w:hyperlink w:history="1" r:id="rIdpooiah4vwpj7lob6dubss">
        <w:r>
          <w:rPr>
            <w:rStyle w:val="Hyperlink"/>
          </w:rPr>
          <w:t xml:space="preserve">eCFR Developer Resources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Government Regulation Query — Phase 10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5B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zsknruclkbiedgon0cqj" Type="http://schemas.openxmlformats.org/officeDocument/2006/relationships/hyperlink" Target="https://www.federalregister.gov/developers/documentation/api/v1" TargetMode="External"/><Relationship Id="rIduud5mdzpkfwhxul7uwh00" Type="http://schemas.openxmlformats.org/officeDocument/2006/relationships/hyperlink" Target="https://open.gsa.gov/api/regulationsgov/" TargetMode="External"/><Relationship Id="rIdpooiah4vwpj7lob6dubss" Type="http://schemas.openxmlformats.org/officeDocument/2006/relationships/hyperlink" Target="https://www.ecfr.gov/developer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2026-07-10T17:10:52.338Z</dcterms:created>
  <dcterms:modified xsi:type="dcterms:W3CDTF">2026-07-10T17:10:52.338Z</dcterms:modified>
</cp:coreProperties>
</file>

<file path=docProps/custom.xml><?xml version="1.0" encoding="utf-8"?>
<Properties xmlns="http://schemas.openxmlformats.org/officeDocument/2006/custom-properties" xmlns:vt="http://schemas.openxmlformats.org/officeDocument/2006/docPropsVTypes"/>
</file>