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Government Regulation Query</w:t>
      </w:r>
    </w:p>
    <w:p>
      <w:pPr>
        <w:spacing w:after="80"/>
        <w:jc w:val="center"/>
      </w:pPr>
      <w:r>
        <w:rPr>
          <w:sz w:val="28"/>
          <w:szCs w:val="28"/>
        </w:rPr>
        <w:t xml:space="preserve">RAG System Project Plan</w:t>
      </w:r>
    </w:p>
    <w:p>
      <w:pPr>
        <w:spacing w:after="240"/>
        <w:jc w:val="center"/>
      </w:pPr>
      <w:r>
        <w:rPr>
          <w:i/>
          <w:iCs/>
          <w:sz w:val="22"/>
          <w:szCs w:val="22"/>
        </w:rPr>
        <w:t xml:space="preserve">Brad Hinkel | April 2026</w:t>
      </w:r>
    </w:p>
    <w:p>
      <w:pPr>
        <w:pStyle w:val="Heading1"/>
      </w:pPr>
      <w:r>
        <w:t xml:space="preserve">1. Project Vision</w:t>
      </w:r>
    </w:p>
    <w:p>
      <w:pPr>
        <w:spacing w:after="120"/>
      </w:pPr>
      <w:r>
        <w:t xml:space="preserve">The Government Regulation Query system is a Retrieval-Augmented Generation (RAG) application that enables users to ask natural language questions about U.S. federal regulations (eCFR) and receive three distinct outputs:</w:t>
      </w:r>
    </w:p>
    <w:p>
      <w:pPr>
        <w:pStyle w:val="ListParagraph"/>
        <w:numPr>
          <w:ilvl w:val="0"/>
          <w:numId w:val="2"/>
        </w:numPr>
        <w:spacing w:after="80"/>
      </w:pPr>
      <w:r>
        <w:rPr>
          <w:b/>
          <w:bCs/>
        </w:rPr>
        <w:t xml:space="preserve">Plain English Explanation </w:t>
      </w:r>
      <w:r>
        <w:t xml:space="preserve">— accessible summary of regulatory requirements</w:t>
      </w:r>
    </w:p>
    <w:p>
      <w:pPr>
        <w:pStyle w:val="ListParagraph"/>
        <w:numPr>
          <w:ilvl w:val="0"/>
          <w:numId w:val="2"/>
        </w:numPr>
        <w:spacing w:after="80"/>
      </w:pPr>
      <w:r>
        <w:rPr>
          <w:b/>
          <w:bCs/>
        </w:rPr>
        <w:t xml:space="preserve">Legal/Regulatory Language </w:t>
      </w:r>
      <w:r>
        <w:t xml:space="preserve">— authoritative answer grounded in regulatory text</w:t>
      </w:r>
    </w:p>
    <w:p>
      <w:pPr>
        <w:pStyle w:val="ListParagraph"/>
        <w:numPr>
          <w:ilvl w:val="0"/>
          <w:numId w:val="2"/>
        </w:numPr>
        <w:spacing w:after="240"/>
      </w:pPr>
      <w:r>
        <w:rPr>
          <w:b/>
          <w:bCs/>
        </w:rPr>
        <w:t xml:space="preserve">Specific CFR Citations </w:t>
      </w:r>
      <w:r>
        <w:t xml:space="preserve">— precise Title/Part/Section references (e.g., 7 CFR § 205.301)</w:t>
      </w:r>
    </w:p>
    <w:p>
      <w:pPr>
        <w:spacing w:after="120"/>
      </w:pPr>
      <w:r>
        <w:t xml:space="preserve">This project represents the third milestone in a deliberate progression:</w:t>
      </w:r>
    </w:p>
    <w:p>
      <w:pPr>
        <w:pStyle w:val="ListParagraph"/>
        <w:numPr>
          <w:ilvl w:val="0"/>
          <w:numId w:val="3"/>
        </w:numPr>
        <w:spacing w:after="80"/>
      </w:pPr>
      <w:r>
        <w:rPr>
          <w:b/>
          <w:bCs/>
        </w:rPr>
        <w:t xml:space="preserve">D&amp;D RAG (completed) </w:t>
      </w:r>
      <w:r>
        <w:t xml:space="preserve">— initial proof of concept with open-domain Q&amp;A</w:t>
      </w:r>
    </w:p>
    <w:p>
      <w:pPr>
        <w:pStyle w:val="ListParagraph"/>
        <w:numPr>
          <w:ilvl w:val="0"/>
          <w:numId w:val="3"/>
        </w:numPr>
        <w:spacing w:after="80"/>
      </w:pPr>
      <w:r>
        <w:rPr>
          <w:b/>
          <w:bCs/>
        </w:rPr>
        <w:t xml:space="preserve">Sword Coast RAG (in progress) </w:t>
      </w:r>
      <w:r>
        <w:t xml:space="preserve">— architectural prototype with three-output pattern</w:t>
      </w:r>
    </w:p>
    <w:p>
      <w:pPr>
        <w:pStyle w:val="ListParagraph"/>
        <w:numPr>
          <w:ilvl w:val="0"/>
          <w:numId w:val="3"/>
        </w:numPr>
        <w:spacing w:after="240"/>
      </w:pPr>
      <w:r>
        <w:rPr>
          <w:b/>
          <w:bCs/>
        </w:rPr>
        <w:t xml:space="preserve">Government Regulation Query (this project) </w:t>
      </w:r>
      <w:r>
        <w:t xml:space="preserve">— production-ready specialized domain with legal requirements</w:t>
      </w:r>
    </w:p>
    <w:p>
      <w:pPr>
        <w:spacing w:after="240"/>
      </w:pPr>
      <w:r>
        <w:t xml:space="preserve">By reusing the architectural patterns and evaluation framework from Sword Coast, this project validates the generalizability of the three-output RAG approach while introducing domain-specific adaptations for regulatory content. It demonstrates deep familiarity with production RAG systems at scale.</w:t>
      </w:r>
    </w:p>
    <w:p>
      <w:pPr>
        <w:pStyle w:val="Heading1"/>
      </w:pPr>
      <w:r>
        <w:t xml:space="preserve">2. Key Differences from Sword Coast RAG</w:t>
      </w:r>
    </w:p>
    <w:p>
      <w:pPr>
        <w:spacing w:after="200"/>
      </w:pPr>
      <w:r>
        <w:t xml:space="preserve">While Government Regulation Query inherits the core three-output pattern and pgvector architecture from Sword Coast, it introduces several critical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Dimension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Sword Coast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Government Regulation Query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Fantasy novels (D&amp;D Sword Coast)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 federal regulations (eCFR)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Ingestion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 parser via pluggable interface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eCFR XML API with regulatory-aware chunking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Citation Format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Page/chapter references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CFR Title/Part/Section (e.g., 7 CFR § 205.301)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Copyright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Restricted — paraphrase only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domain — verbatim text allowed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Disclaimer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 not legal advice</w:t>
            </w:r>
          </w:p>
        </w:tc>
      </w:tr>
    </w:tbl>
    <w:p>
      <w:pPr>
        <w:spacing w:after="240"/>
      </w:pPr>
      <w:r>
        <w:t xml:space="preserve"/>
      </w:r>
    </w:p>
    <w:p>
      <w:pPr>
        <w:pStyle w:val="Heading1"/>
      </w:pPr>
      <w:r>
        <w:t xml:space="preserve">3. Project Phases (0–7)</w:t>
      </w:r>
    </w:p>
    <w:p>
      <w:pPr>
        <w:pStyle w:val="Heading2"/>
      </w:pPr>
      <w:r>
        <w:t xml:space="preserve">Phase 0: Repository Setup &amp; Component Reuse</w:t>
      </w:r>
    </w:p>
    <w:p>
      <w:pPr>
        <w:spacing w:after="120"/>
      </w:pPr>
      <w:r>
        <w:t xml:space="preserve">Create a new Git repository that inherits foundational components from Sword Coast without coupling deployments.</w:t>
      </w:r>
    </w:p>
    <w:p>
      <w:pPr>
        <w:pStyle w:val="ListParagraph"/>
        <w:numPr>
          <w:ilvl w:val="0"/>
          <w:numId w:val="2"/>
        </w:numPr>
        <w:spacing w:after="80"/>
      </w:pPr>
      <w:r>
        <w:t xml:space="preserve">Initialize project structure: </w:t>
      </w:r>
      <w:r>
        <w:rPr>
          <w:i/>
          <w:iCs/>
        </w:rPr>
        <w:t xml:space="preserve">/ingestion</w:t>
      </w:r>
      <w:r>
        <w:t xml:space="preserve">, </w:t>
      </w:r>
      <w:r>
        <w:rPr>
          <w:i/>
          <w:iCs/>
        </w:rPr>
        <w:t xml:space="preserve">/retrieval</w:t>
      </w:r>
      <w:r>
        <w:t xml:space="preserve">, </w:t>
      </w:r>
      <w:r>
        <w:rPr>
          <w:i/>
          <w:iCs/>
        </w:rPr>
        <w:t xml:space="preserve">/generation</w:t>
      </w:r>
      <w:r>
        <w:t xml:space="preserve">, </w:t>
      </w:r>
      <w:r>
        <w:rPr>
          <w:i/>
          <w:iCs/>
        </w:rPr>
        <w:t xml:space="preserve">/api</w:t>
      </w:r>
      <w:r>
        <w:t xml:space="preserve">, </w:t>
      </w:r>
      <w:r>
        <w:rPr>
          <w:i/>
          <w:iCs/>
        </w:rPr>
        <w:t xml:space="preserve">/frontend</w:t>
      </w:r>
    </w:p>
    <w:p>
      <w:pPr>
        <w:pStyle w:val="ListParagraph"/>
        <w:numPr>
          <w:ilvl w:val="0"/>
          <w:numId w:val="2"/>
        </w:numPr>
        <w:spacing w:after="80"/>
      </w:pPr>
      <w:r>
        <w:t xml:space="preserve">Set up PostgreSQL/pgvector on shared DigitalOcean droplet</w:t>
      </w:r>
    </w:p>
    <w:p>
      <w:pPr>
        <w:pStyle w:val="ListParagraph"/>
        <w:numPr>
          <w:ilvl w:val="0"/>
          <w:numId w:val="2"/>
        </w:numPr>
        <w:spacing w:after="80"/>
      </w:pPr>
      <w:r>
        <w:t xml:space="preserve">Import evaluation framework from Sword Coast (same faithfulness, retrieval, and output quality metrics)</w:t>
      </w:r>
    </w:p>
    <w:p>
      <w:pPr>
        <w:pStyle w:val="ListParagraph"/>
        <w:numPr>
          <w:ilvl w:val="0"/>
          <w:numId w:val="2"/>
        </w:numPr>
        <w:spacing w:after="240"/>
      </w:pPr>
      <w:r>
        <w:t xml:space="preserve">Document inherited architecture (pluggable parser interface, three-output generation pattern)</w:t>
      </w:r>
    </w:p>
    <w:p>
      <w:pPr>
        <w:pStyle w:val="Heading2"/>
      </w:pPr>
      <w:r>
        <w:t xml:space="preserve">Phase 1: Corpus Ingestion &amp; Parsing</w:t>
      </w:r>
    </w:p>
    <w:p>
      <w:pPr>
        <w:spacing w:after="120"/>
      </w:pPr>
      <w:r>
        <w:t xml:space="preserve">Ingest U.S. federal regulations from the eCFR API and parse into semantically meaningful chunks.</w:t>
      </w:r>
    </w:p>
    <w:p>
      <w:pPr>
        <w:spacing w:after="120"/>
      </w:pPr>
      <w:r>
        <w:rPr>
          <w:b/>
          <w:bCs/>
        </w:rPr>
        <w:t xml:space="preserve">Data source: </w:t>
      </w:r>
      <w:r>
        <w:t xml:space="preserve">eCFR API (https://www.ecfr.gov/api/versioner/v1/titles) — free, no authentication, returns structured XML</w:t>
      </w:r>
    </w:p>
    <w:p>
      <w:pPr>
        <w:pStyle w:val="ListParagraph"/>
        <w:numPr>
          <w:ilvl w:val="0"/>
          <w:numId w:val="2"/>
        </w:numPr>
        <w:spacing w:after="80"/>
      </w:pPr>
      <w:r>
        <w:t xml:space="preserve">Implement XML parser (pluggable interface, same pattern as Sword Coast PDF parser)</w:t>
      </w:r>
    </w:p>
    <w:p>
      <w:pPr>
        <w:pStyle w:val="ListParagraph"/>
        <w:numPr>
          <w:ilvl w:val="0"/>
          <w:numId w:val="2"/>
        </w:numPr>
        <w:spacing w:after="80"/>
      </w:pPr>
      <w:r>
        <w:t xml:space="preserve">Regulatory-aware chunking at § (section) boundaries to preserve semantic integrity</w:t>
      </w:r>
    </w:p>
    <w:p>
      <w:pPr>
        <w:pStyle w:val="ListParagraph"/>
        <w:numPr>
          <w:ilvl w:val="0"/>
          <w:numId w:val="2"/>
        </w:numPr>
        <w:spacing w:after="80"/>
      </w:pPr>
      <w:r>
        <w:t xml:space="preserve">Capture hierarchical context: Title (e.g., Title 7) → Part (e.g., 100) → Subpart (if applicable) → Section (e.g., 205.301)</w:t>
      </w:r>
    </w:p>
    <w:p>
      <w:pPr>
        <w:pStyle w:val="ListParagraph"/>
        <w:numPr>
          <w:ilvl w:val="0"/>
          <w:numId w:val="2"/>
        </w:numPr>
        <w:spacing w:after="80"/>
      </w:pPr>
      <w:r>
        <w:t xml:space="preserve">Metadata extraction per chunk: </w:t>
      </w:r>
      <w:r>
        <w:rPr>
          <w:i/>
          <w:iCs/>
        </w:rPr>
        <w:t xml:space="preserve">title_number, part_number, section_number, section_heading, agency, effective_date, cfr_reference_string</w:t>
      </w:r>
    </w:p>
    <w:p>
      <w:pPr>
        <w:pStyle w:val="ListParagraph"/>
        <w:numPr>
          <w:ilvl w:val="0"/>
          <w:numId w:val="2"/>
        </w:numPr>
        <w:spacing w:after="80"/>
      </w:pPr>
      <w:r>
        <w:rPr>
          <w:b/>
          <w:bCs/>
        </w:rPr>
        <w:t xml:space="preserve">Version-aware schema from day one (required compatibility with Phase 8): </w:t>
      </w:r>
      <w:r>
        <w:t xml:space="preserve">the pgvector chunk table must include a </w:t>
      </w:r>
      <w:r>
        <w:rPr>
          <w:i/>
          <w:iCs/>
        </w:rPr>
        <w:t xml:space="preserve">status</w:t>
      </w:r>
      <w:r>
        <w:t xml:space="preserve"> column (values: </w:t>
      </w:r>
      <w:r>
        <w:rPr>
          <w:i/>
          <w:iCs/>
        </w:rPr>
        <w:t xml:space="preserve">active</w:t>
      </w:r>
      <w:r>
        <w:t xml:space="preserve"> / </w:t>
      </w:r>
      <w:r>
        <w:rPr>
          <w:i/>
          <w:iCs/>
        </w:rPr>
        <w:t xml:space="preserve">staged</w:t>
      </w:r>
      <w:r>
        <w:t xml:space="preserve"> / </w:t>
      </w:r>
      <w:r>
        <w:rPr>
          <w:i/>
          <w:iCs/>
        </w:rPr>
        <w:t xml:space="preserve">archived</w:t>
      </w:r>
      <w:r>
        <w:t xml:space="preserve">) and a </w:t>
      </w:r>
      <w:r>
        <w:rPr>
          <w:i/>
          <w:iCs/>
        </w:rPr>
        <w:t xml:space="preserve">version_id</w:t>
      </w:r>
      <w:r>
        <w:t xml:space="preserve"> column grouping chunks ingested together. Add a composite index on </w:t>
      </w:r>
      <w:r>
        <w:rPr>
          <w:i/>
          <w:iCs/>
        </w:rPr>
        <w:t xml:space="preserve">(cfr_reference_string, status)</w:t>
      </w:r>
      <w:r>
        <w:t xml:space="preserve"> for atomic-swap queries. Initial ingest writes all rows as </w:t>
      </w:r>
      <w:r>
        <w:rPr>
          <w:i/>
          <w:iCs/>
        </w:rPr>
        <w:t xml:space="preserve">status = 'active', version_id = 'v1'</w:t>
      </w:r>
      <w:r>
        <w:t xml:space="preserve">. Phase 8 will consume staged content without schema changes. This is a deliberate change from the Sword Coast schema — audit Sword Coast’s chunk table against this definition and reconcile any drift before ingesting the starter corpus to avoid a costly re-ingest later.</w:t>
      </w:r>
    </w:p>
    <w:p>
      <w:pPr>
        <w:pStyle w:val="ListParagraph"/>
        <w:numPr>
          <w:ilvl w:val="0"/>
          <w:numId w:val="2"/>
        </w:numPr>
        <w:spacing w:after="80"/>
      </w:pPr>
      <w:r>
        <w:rPr>
          <w:b/>
          <w:bCs/>
        </w:rPr>
        <w:t xml:space="preserve">Retrieval filter (Phase 2 constraint): </w:t>
      </w:r>
      <w:r>
        <w:t xml:space="preserve">every retrieval query must include </w:t>
      </w:r>
      <w:r>
        <w:rPr>
          <w:i/>
          <w:iCs/>
        </w:rPr>
        <w:t xml:space="preserve">WHERE status = 'active'</w:t>
      </w:r>
      <w:r>
        <w:t xml:space="preserve"> by default. Implement this once in the shared retrieval layer, not per call site, so the atomic-swap guarantee holds across every query path.</w:t>
      </w:r>
    </w:p>
    <w:p>
      <w:pPr>
        <w:pStyle w:val="ListParagraph"/>
        <w:numPr>
          <w:ilvl w:val="0"/>
          <w:numId w:val="2"/>
        </w:numPr>
        <w:spacing w:after="80"/>
      </w:pPr>
      <w:r>
        <w:t xml:space="preserve">Initial scope: Ingest 2–3 starter titles for demonstration and evaluation — Title 7 (Agriculture, for organic labeling scenarios), Title 21 (Food and Drugs, for FDA food safety), and Title 42 (Public Health). These provide strong demo use cases while keeping ingestion manageable. Full corpus expansion to all 50 titles is a separate phase after the system is proven.</w:t>
      </w:r>
    </w:p>
    <w:p>
      <w:pPr>
        <w:pStyle w:val="Heading3"/>
      </w:pPr>
      <w:r>
        <w:t xml:space="preserve">Starter Corpus Sizing</w:t>
      </w:r>
    </w:p>
    <w:p>
      <w:pPr>
        <w:spacing w:after="120"/>
      </w:pPr>
      <w:r>
        <w:t xml:space="preserve">The three starter titles add up to roughly 22,000 pages of regulatory text. Sized per title from the eCFR structure:</w:t>
      </w:r>
    </w:p>
    <w:p>
      <w:pPr>
        <w:pStyle w:val="ListParagraph"/>
        <w:numPr>
          <w:ilvl w:val="0"/>
          <w:numId w:val="2"/>
        </w:numPr>
        <w:spacing w:after="80"/>
      </w:pPr>
      <w:r>
        <w:rPr>
          <w:b/>
          <w:bCs/>
        </w:rPr>
        <w:t xml:space="preserve">Title 7 (Agriculture): </w:t>
      </w:r>
      <w:r>
        <w:t xml:space="preserve">15 volumes, ~11,500 pages, ~4,500–5,500 sections, ~20,000–25,000 chunks after parsing.</w:t>
      </w:r>
    </w:p>
    <w:p>
      <w:pPr>
        <w:pStyle w:val="ListParagraph"/>
        <w:numPr>
          <w:ilvl w:val="0"/>
          <w:numId w:val="2"/>
        </w:numPr>
        <w:spacing w:after="80"/>
      </w:pPr>
      <w:r>
        <w:rPr>
          <w:b/>
          <w:bCs/>
        </w:rPr>
        <w:t xml:space="preserve">Title 21 (Food and Drugs): </w:t>
      </w:r>
      <w:r>
        <w:t xml:space="preserve">9 volumes, ~7,000 pages, ~2,500–3,500 sections, ~12,000–15,000 chunks.</w:t>
      </w:r>
    </w:p>
    <w:p>
      <w:pPr>
        <w:pStyle w:val="ListParagraph"/>
        <w:numPr>
          <w:ilvl w:val="0"/>
          <w:numId w:val="2"/>
        </w:numPr>
        <w:spacing w:after="80"/>
      </w:pPr>
      <w:r>
        <w:rPr>
          <w:b/>
          <w:bCs/>
        </w:rPr>
        <w:t xml:space="preserve">Title 42 (Public Health): </w:t>
      </w:r>
      <w:r>
        <w:t xml:space="preserve">5 volumes, ~3,900 pages, ~1,500–2,000 sections, ~7,000–8,500 chunks.</w:t>
      </w:r>
    </w:p>
    <w:p>
      <w:pPr>
        <w:pStyle w:val="ListParagraph"/>
        <w:numPr>
          <w:ilvl w:val="0"/>
          <w:numId w:val="2"/>
        </w:numPr>
        <w:spacing w:after="240"/>
      </w:pPr>
      <w:r>
        <w:rPr>
          <w:b/>
          <w:bCs/>
        </w:rPr>
        <w:t xml:space="preserve">Starter total: </w:t>
      </w:r>
      <w:r>
        <w:t xml:space="preserve">29 volumes, ~22,000 pages, ~8,500–11,000 sections, ~39,000–48,000 chunks.</w:t>
      </w:r>
    </w:p>
    <w:p>
      <w:pPr>
        <w:pStyle w:val="Heading3"/>
      </w:pPr>
      <w:r>
        <w:t xml:space="preserve">Ingestion Time &amp; Cost (Starter)</w:t>
      </w:r>
    </w:p>
    <w:p>
      <w:pPr>
        <w:pStyle w:val="ListParagraph"/>
        <w:numPr>
          <w:ilvl w:val="0"/>
          <w:numId w:val="2"/>
        </w:numPr>
        <w:spacing w:after="80"/>
      </w:pPr>
      <w:r>
        <w:rPr>
          <w:b/>
          <w:bCs/>
        </w:rPr>
        <w:t xml:space="preserve">Download + parse: </w:t>
      </w:r>
      <w:r>
        <w:t xml:space="preserve">~10–30 minutes (eCFR API is fast; XML parsing is cheap relative to embedding).</w:t>
      </w:r>
    </w:p>
    <w:p>
      <w:pPr>
        <w:pStyle w:val="ListParagraph"/>
        <w:numPr>
          <w:ilvl w:val="0"/>
          <w:numId w:val="2"/>
        </w:numPr>
        <w:spacing w:after="80"/>
      </w:pPr>
      <w:r>
        <w:rPr>
          <w:b/>
          <w:bCs/>
        </w:rPr>
        <w:t xml:space="preserve">Embedding: </w:t>
      </w:r>
      <w:r>
        <w:t xml:space="preserve">~30–60 minutes for ~40K chunks with OpenAI text-embedding-3-small at standard rate limits (dominant cost driver).</w:t>
      </w:r>
    </w:p>
    <w:p>
      <w:pPr>
        <w:pStyle w:val="ListParagraph"/>
        <w:numPr>
          <w:ilvl w:val="0"/>
          <w:numId w:val="2"/>
        </w:numPr>
        <w:spacing w:after="80"/>
      </w:pPr>
      <w:r>
        <w:rPr>
          <w:b/>
          <w:bCs/>
        </w:rPr>
        <w:t xml:space="preserve">Total wall time: </w:t>
      </w:r>
      <w:r>
        <w:t xml:space="preserve">~1 hour end-to-end for the starter corpus.</w:t>
      </w:r>
    </w:p>
    <w:p>
      <w:pPr>
        <w:pStyle w:val="ListParagraph"/>
        <w:numPr>
          <w:ilvl w:val="0"/>
          <w:numId w:val="2"/>
        </w:numPr>
        <w:spacing w:after="80"/>
      </w:pPr>
      <w:r>
        <w:rPr>
          <w:b/>
          <w:bCs/>
        </w:rPr>
        <w:t xml:space="preserve">Embedding API cost: </w:t>
      </w:r>
      <w:r>
        <w:t xml:space="preserve">~$1–3 for the starter corpus (text-embedding-3-small pricing).</w:t>
      </w:r>
    </w:p>
    <w:p>
      <w:pPr>
        <w:pStyle w:val="ListParagraph"/>
        <w:numPr>
          <w:ilvl w:val="0"/>
          <w:numId w:val="2"/>
        </w:numPr>
        <w:spacing w:after="80"/>
      </w:pPr>
      <w:r>
        <w:rPr>
          <w:b/>
          <w:bCs/>
        </w:rPr>
        <w:t xml:space="preserve">Storage: </w:t>
      </w:r>
      <w:r>
        <w:t xml:space="preserve">raw XML ~200–400 MB; pgvector index ~250–300 MB at 1536 dimensions. Fits comfortably on the existing DigitalOcean droplet.</w:t>
      </w:r>
    </w:p>
    <w:p>
      <w:pPr>
        <w:pStyle w:val="ListParagraph"/>
        <w:numPr>
          <w:ilvl w:val="0"/>
          <w:numId w:val="2"/>
        </w:numPr>
        <w:spacing w:after="240"/>
      </w:pPr>
      <w:r>
        <w:rPr>
          <w:b/>
          <w:bCs/>
        </w:rPr>
        <w:t xml:space="preserve">Local copy: </w:t>
      </w:r>
      <w:r>
        <w:t xml:space="preserve">not required — the eCFR API is re-fetchable on demand, and the weekly refresh pipeline will re-pull authoritative content. Keep a snapshot of the parsed/chunked intermediate form under version control for reproducibility of ingestion runs.</w:t>
      </w:r>
    </w:p>
    <w:p>
      <w:pPr>
        <w:pStyle w:val="ListParagraph"/>
        <w:numPr>
          <w:ilvl w:val="0"/>
          <w:numId w:val="2"/>
        </w:numPr>
        <w:spacing w:after="240"/>
      </w:pPr>
      <w:r>
        <w:t xml:space="preserve">Implement refresh pipeline to handle eCFR updates (run weekly to catch regulatory changes)</w:t>
      </w:r>
    </w:p>
    <w:p>
      <w:pPr>
        <w:pStyle w:val="Heading2"/>
      </w:pPr>
      <w:r>
        <w:t xml:space="preserve">Phase 2: Retrieval Engine &amp; Metadata Filtering</w:t>
      </w:r>
    </w:p>
    <w:p>
      <w:pPr>
        <w:spacing w:after="120"/>
      </w:pPr>
      <w:r>
        <w:t xml:space="preserve">Build vector retrieval layer with regulatory-specific filtering.</w:t>
      </w:r>
    </w:p>
    <w:p>
      <w:pPr>
        <w:pStyle w:val="ListParagraph"/>
        <w:numPr>
          <w:ilvl w:val="0"/>
          <w:numId w:val="2"/>
        </w:numPr>
        <w:spacing w:after="80"/>
      </w:pPr>
      <w:r>
        <w:t xml:space="preserve">Embed chunks using OpenAI </w:t>
      </w:r>
      <w:r>
        <w:rPr>
          <w:i/>
          <w:iCs/>
        </w:rPr>
        <w:t xml:space="preserve">text-embedding-3-small</w:t>
      </w:r>
      <w:r>
        <w:t xml:space="preserve"> or similar</w:t>
      </w:r>
    </w:p>
    <w:p>
      <w:pPr>
        <w:pStyle w:val="ListParagraph"/>
        <w:numPr>
          <w:ilvl w:val="0"/>
          <w:numId w:val="2"/>
        </w:numPr>
        <w:spacing w:after="80"/>
      </w:pPr>
      <w:r>
        <w:t xml:space="preserve">Store embeddings + metadata in pgvector (same table schema as Sword Coast)</w:t>
      </w:r>
    </w:p>
    <w:p>
      <w:pPr>
        <w:pStyle w:val="ListParagraph"/>
        <w:numPr>
          <w:ilvl w:val="0"/>
          <w:numId w:val="2"/>
        </w:numPr>
        <w:spacing w:after="80"/>
      </w:pPr>
      <w:r>
        <w:t xml:space="preserve">Implement source filtering: retrieve by CFR Title and/or agency (equivalent to book filter in Sword Coast)</w:t>
      </w:r>
    </w:p>
    <w:p>
      <w:pPr>
        <w:pStyle w:val="ListParagraph"/>
        <w:numPr>
          <w:ilvl w:val="0"/>
          <w:numId w:val="2"/>
        </w:numPr>
        <w:spacing w:after="80"/>
      </w:pPr>
      <w:r>
        <w:t xml:space="preserve">Top-k retrieval with relevance thresholding to minimize off-topic results</w:t>
      </w:r>
    </w:p>
    <w:p>
      <w:pPr>
        <w:pStyle w:val="ListParagraph"/>
        <w:numPr>
          <w:ilvl w:val="0"/>
          <w:numId w:val="2"/>
        </w:numPr>
        <w:spacing w:after="240"/>
      </w:pPr>
      <w:r>
        <w:t xml:space="preserve">Latency target: &lt;500ms per query (including embedding inference)</w:t>
      </w:r>
    </w:p>
    <w:p>
      <w:pPr>
        <w:pStyle w:val="Heading2"/>
      </w:pPr>
      <w:r>
        <w:t xml:space="preserve">Phase 3: Three-Output Generation</w:t>
      </w:r>
    </w:p>
    <w:p>
      <w:pPr>
        <w:spacing w:after="120"/>
      </w:pPr>
      <w:r>
        <w:t xml:space="preserve">Implement the three-output pattern with regulatory-specific constraints.</w:t>
      </w:r>
    </w:p>
    <w:p>
      <w:pPr>
        <w:pStyle w:val="ListParagraph"/>
        <w:numPr>
          <w:ilvl w:val="0"/>
          <w:numId w:val="2"/>
        </w:numPr>
        <w:spacing w:after="80"/>
      </w:pPr>
      <w:r>
        <w:t xml:space="preserve">Evaluate two LLM call strategies (evaluation experiment from Sword Coast):</w:t>
      </w:r>
    </w:p>
    <w:p>
      <w:pPr>
        <w:pStyle w:val="ListParagraph"/>
        <w:numPr>
          <w:ilvl w:val="0"/>
          <w:numId w:val="2"/>
        </w:numPr>
        <w:spacing w:after="80"/>
        <w:ind w:left="360"/>
      </w:pPr>
      <w:r>
        <w:rPr>
          <w:b/>
          <w:bCs/>
        </w:rPr>
        <w:t xml:space="preserve">(a) </w:t>
      </w:r>
      <w:r>
        <w:t xml:space="preserve">Single call: one prompt yields all three outputs (faster, riskier)</w:t>
      </w:r>
    </w:p>
    <w:p>
      <w:pPr>
        <w:pStyle w:val="ListParagraph"/>
        <w:numPr>
          <w:ilvl w:val="0"/>
          <w:numId w:val="2"/>
        </w:numPr>
        <w:spacing w:after="80"/>
        <w:ind w:left="360"/>
      </w:pPr>
      <w:r>
        <w:rPr>
          <w:b/>
          <w:bCs/>
        </w:rPr>
        <w:t xml:space="preserve">(b) </w:t>
      </w:r>
      <w:r>
        <w:t xml:space="preserve">Sequential calls: first plain English, then legal language, then citations (slower, higher fidelity)</w:t>
      </w:r>
    </w:p>
    <w:p>
      <w:pPr>
        <w:pStyle w:val="ListParagraph"/>
        <w:numPr>
          <w:ilvl w:val="0"/>
          <w:numId w:val="2"/>
        </w:numPr>
        <w:spacing w:after="80"/>
      </w:pPr>
      <w:r>
        <w:t xml:space="preserve">Plain English: clear, jargon-free summary of regulatory requirement</w:t>
      </w:r>
    </w:p>
    <w:p>
      <w:pPr>
        <w:pStyle w:val="ListParagraph"/>
        <w:numPr>
          <w:ilvl w:val="0"/>
          <w:numId w:val="2"/>
        </w:numPr>
        <w:spacing w:after="80"/>
      </w:pPr>
      <w:r>
        <w:t xml:space="preserve">Legal Language: domain-voice synthesis of retrieved regulations with verbatim quotes (CFR is public domain; see </w:t>
      </w:r>
      <w:r>
        <w:rPr>
          <w:i/>
          <w:iCs/>
        </w:rPr>
        <w:t xml:space="preserve">Verbatim Quote Configuration</w:t>
      </w:r>
      <w:r>
        <w:t xml:space="preserve"> below)</w:t>
      </w:r>
    </w:p>
    <w:p>
      <w:pPr>
        <w:pStyle w:val="ListParagraph"/>
        <w:numPr>
          <w:ilvl w:val="0"/>
          <w:numId w:val="2"/>
        </w:numPr>
        <w:spacing w:after="80"/>
      </w:pPr>
      <w:r>
        <w:t xml:space="preserve">CFR Citations: exact </w:t>
      </w:r>
      <w:r>
        <w:rPr>
          <w:i/>
          <w:iCs/>
        </w:rPr>
        <w:t xml:space="preserve">Title / Part / Section</w:t>
      </w:r>
      <w:r>
        <w:t xml:space="preserve"> with </w:t>
      </w:r>
      <w:r>
        <w:rPr>
          <w:i/>
          <w:iCs/>
        </w:rPr>
        <w:t xml:space="preserve">§</w:t>
      </w:r>
      <w:r>
        <w:t xml:space="preserve"> symbol (e.g., </w:t>
      </w:r>
      <w:r>
        <w:rPr>
          <w:i/>
          <w:iCs/>
        </w:rPr>
        <w:t xml:space="preserve">7 CFR § 205.301</w:t>
      </w:r>
      <w:r>
        <w:t xml:space="preserve">)</w:t>
      </w:r>
    </w:p>
    <w:p>
      <w:pPr>
        <w:pStyle w:val="ListParagraph"/>
        <w:numPr>
          <w:ilvl w:val="0"/>
          <w:numId w:val="2"/>
        </w:numPr>
        <w:spacing w:after="240"/>
      </w:pPr>
      <w:r>
        <w:t xml:space="preserve">Constraint: Legal output weaves verbatim quotations (clearly marked with </w:t>
      </w:r>
      <w:r>
        <w:rPr>
          <w:i/>
          <w:iCs/>
        </w:rPr>
        <w:t xml:space="preserve">§</w:t>
      </w:r>
      <w:r>
        <w:t xml:space="preserve"> citations) with synthesized paraphrase; federal regulations are public domain</w:t>
      </w:r>
    </w:p>
    <w:p>
      <w:pPr>
        <w:pStyle w:val="Heading2"/>
      </w:pPr>
      <w:r>
        <w:t xml:space="preserve">Verbatim Quote Configuration Flag</w:t>
      </w:r>
    </w:p>
    <w:p>
      <w:pPr>
        <w:spacing w:after="120"/>
      </w:pPr>
      <w:r>
        <w:t xml:space="preserve">The three-output RAG system is configurable for different deployment contexts via the </w:t>
      </w:r>
      <w:r>
        <w:rPr>
          <w:b/>
          <w:bCs/>
        </w:rPr>
        <w:t xml:space="preserve">ENABLE_VERBATIM_QUOTES</w:t>
      </w:r>
      <w:r>
        <w:t xml:space="preserve"> environment flag:</w:t>
      </w:r>
    </w:p>
    <w:p>
      <w:pPr>
        <w:pStyle w:val="ListParagraph"/>
        <w:numPr>
          <w:ilvl w:val="0"/>
          <w:numId w:val="2"/>
        </w:numPr>
        <w:spacing w:after="80"/>
      </w:pPr>
      <w:r>
        <w:rPr>
          <w:b/>
          <w:bCs/>
        </w:rPr>
        <w:t xml:space="preserve">When </w:t>
      </w:r>
      <w:r>
        <w:rPr>
          <w:b/>
          <w:bCs/>
          <w:i/>
          <w:iCs/>
        </w:rPr>
        <w:t xml:space="preserve">true</w:t>
      </w:r>
      <w:r>
        <w:t xml:space="preserve">: The legal/regulatory language output (Output #2) weaves in direct quotations from retrieved chunks, clearly marked with source citations (e.g., block quotes or inline quotation marks with CFR references). This is essential for regulatory domain where end users need the exact statutory or regulatory language alongside domain-voice synthesis.</w:t>
      </w:r>
    </w:p>
    <w:p>
      <w:pPr>
        <w:pStyle w:val="ListParagraph"/>
        <w:numPr>
          <w:ilvl w:val="0"/>
          <w:numId w:val="2"/>
        </w:numPr>
        <w:spacing w:after="80"/>
      </w:pPr>
      <w:r>
        <w:rPr>
          <w:b/>
          <w:bCs/>
        </w:rPr>
        <w:t xml:space="preserve">When </w:t>
      </w:r>
      <w:r>
        <w:rPr>
          <w:b/>
          <w:bCs/>
          <w:i/>
          <w:iCs/>
        </w:rPr>
        <w:t xml:space="preserve">false</w:t>
      </w:r>
      <w:r>
        <w:t xml:space="preserve">: The domain-voice output synthesizes and paraphrases the retrieved content exclusively, never including direct quotations. This mode protects copyright when dealing with proprietary or copyrighted source material (e.g., Sword Coast fantasy novels).</w:t>
      </w:r>
    </w:p>
    <w:p>
      <w:pPr>
        <w:pStyle w:val="ListParagraph"/>
        <w:numPr>
          <w:ilvl w:val="0"/>
          <w:numId w:val="2"/>
        </w:numPr>
        <w:spacing w:after="80"/>
      </w:pPr>
      <w:r>
        <w:t xml:space="preserve">Configuration: Set in deployment environment (.env file), not per-query. All generation calls respect the corpus-level setting during that deployment.</w:t>
      </w:r>
    </w:p>
    <w:p>
      <w:pPr>
        <w:pStyle w:val="ListParagraph"/>
        <w:numPr>
          <w:ilvl w:val="0"/>
          <w:numId w:val="2"/>
        </w:numPr>
        <w:spacing w:after="80"/>
      </w:pPr>
      <w:r>
        <w:rPr>
          <w:b/>
          <w:bCs/>
        </w:rPr>
        <w:t xml:space="preserve">For this project (Government Regulation Query): </w:t>
      </w:r>
      <w:r>
        <w:t xml:space="preserve">ENABLE_VERBATIM_QUOTES is always </w:t>
      </w:r>
      <w:r>
        <w:rPr>
          <w:b/>
          <w:bCs/>
          <w:i/>
          <w:iCs/>
        </w:rPr>
        <w:t xml:space="preserve">true</w:t>
      </w:r>
      <w:r>
        <w:t xml:space="preserve">. Federal regulations (eCFR, CFR) are public domain, and verbatim citations are the entire value proposition of the legal-language output.</w:t>
      </w:r>
    </w:p>
    <w:p>
      <w:pPr>
        <w:pStyle w:val="ListParagraph"/>
        <w:numPr>
          <w:ilvl w:val="0"/>
          <w:numId w:val="2"/>
        </w:numPr>
        <w:spacing w:after="240"/>
      </w:pPr>
      <w:r>
        <w:rPr>
          <w:b/>
          <w:bCs/>
        </w:rPr>
        <w:t xml:space="preserve">For the Sword Coast RAG project: </w:t>
      </w:r>
      <w:r>
        <w:t xml:space="preserve">ENABLE_VERBATIM_QUOTES is </w:t>
      </w:r>
      <w:r>
        <w:rPr>
          <w:b/>
          <w:bCs/>
          <w:i/>
          <w:iCs/>
        </w:rPr>
        <w:t xml:space="preserve">true</w:t>
      </w:r>
      <w:r>
        <w:t xml:space="preserve"> during development and evaluation, but set to </w:t>
      </w:r>
      <w:r>
        <w:rPr>
          <w:b/>
          <w:bCs/>
          <w:i/>
          <w:iCs/>
        </w:rPr>
        <w:t xml:space="preserve">false</w:t>
      </w:r>
      <w:r>
        <w:t xml:space="preserve"> for public deployment to respect copyright in the source novels.</w:t>
      </w:r>
    </w:p>
    <w:p>
      <w:pPr>
        <w:pStyle w:val="Heading2"/>
      </w:pPr>
      <w:r>
        <w:t xml:space="preserve">Phase 4: Evaluation &amp; Quality Assurance</w:t>
      </w:r>
    </w:p>
    <w:p>
      <w:pPr>
        <w:spacing w:after="120"/>
      </w:pPr>
      <w:r>
        <w:t xml:space="preserve">Extend the Sword Coast evaluation framework with legal-specific metrics.</w:t>
      </w:r>
    </w:p>
    <w:p>
      <w:pPr>
        <w:pStyle w:val="ListParagraph"/>
        <w:numPr>
          <w:ilvl w:val="0"/>
          <w:numId w:val="2"/>
        </w:numPr>
        <w:spacing w:after="80"/>
      </w:pPr>
      <w:r>
        <w:rPr>
          <w:b/>
          <w:bCs/>
        </w:rPr>
        <w:t xml:space="preserve">Faithfulness: </w:t>
      </w:r>
      <w:r>
        <w:t xml:space="preserve">plain English explanation accurately reflects retrieved regulation</w:t>
      </w:r>
    </w:p>
    <w:p>
      <w:pPr>
        <w:pStyle w:val="ListParagraph"/>
        <w:numPr>
          <w:ilvl w:val="0"/>
          <w:numId w:val="2"/>
        </w:numPr>
        <w:spacing w:after="80"/>
      </w:pPr>
      <w:r>
        <w:rPr>
          <w:b/>
          <w:bCs/>
        </w:rPr>
        <w:t xml:space="preserve">Citation accuracy: </w:t>
      </w:r>
      <w:r>
        <w:t xml:space="preserve">cited CFR Title/Part/Section exists and is relevant</w:t>
      </w:r>
    </w:p>
    <w:p>
      <w:pPr>
        <w:pStyle w:val="ListParagraph"/>
        <w:numPr>
          <w:ilvl w:val="0"/>
          <w:numId w:val="2"/>
        </w:numPr>
        <w:spacing w:after="80"/>
      </w:pPr>
      <w:r>
        <w:rPr>
          <w:b/>
          <w:bCs/>
        </w:rPr>
        <w:t xml:space="preserve">Legal accuracy: </w:t>
      </w:r>
      <w:r>
        <w:t xml:space="preserve">cited regulation actually says what plain English answer claims (critical for this domain)</w:t>
      </w:r>
    </w:p>
    <w:p>
      <w:pPr>
        <w:pStyle w:val="ListParagraph"/>
        <w:numPr>
          <w:ilvl w:val="0"/>
          <w:numId w:val="2"/>
        </w:numPr>
        <w:spacing w:after="80"/>
      </w:pPr>
      <w:r>
        <w:rPr>
          <w:b/>
          <w:bCs/>
        </w:rPr>
        <w:t xml:space="preserve">Retrieval quality: </w:t>
      </w:r>
      <w:r>
        <w:t xml:space="preserve">top-k results are genuinely relevant to query</w:t>
      </w:r>
    </w:p>
    <w:p>
      <w:pPr>
        <w:pStyle w:val="ListParagraph"/>
        <w:numPr>
          <w:ilvl w:val="0"/>
          <w:numId w:val="2"/>
        </w:numPr>
        <w:spacing w:after="80"/>
      </w:pPr>
      <w:r>
        <w:rPr>
          <w:b/>
          <w:bCs/>
        </w:rPr>
        <w:t xml:space="preserve">Quote accuracy: </w:t>
      </w:r>
      <w:r>
        <w:t xml:space="preserve">when ENABLE_VERBATIM_QUOTES is true, extracted verbatim quotations are exact matches to source text (word-for-word, no edits)</w:t>
      </w:r>
    </w:p>
    <w:p>
      <w:pPr>
        <w:pStyle w:val="ListParagraph"/>
        <w:numPr>
          <w:ilvl w:val="0"/>
          <w:numId w:val="2"/>
        </w:numPr>
        <w:spacing w:after="80"/>
      </w:pPr>
      <w:r>
        <w:t xml:space="preserve">Create hand-curated eval set: ~50–100 queries with reference answers</w:t>
      </w:r>
    </w:p>
    <w:p>
      <w:pPr>
        <w:pStyle w:val="ListParagraph"/>
        <w:numPr>
          <w:ilvl w:val="0"/>
          <w:numId w:val="2"/>
        </w:numPr>
        <w:spacing w:after="240"/>
      </w:pPr>
      <w:r>
        <w:t xml:space="preserve">Automated scoring: LLM-as-judge for faithfulness and legal accuracy; regex for citation format and quote accuracy (exact-match string comparison to source)</w:t>
      </w:r>
    </w:p>
    <w:p>
      <w:pPr>
        <w:pStyle w:val="Heading3"/>
      </w:pPr>
      <w:r>
        <w:t xml:space="preserve">Evaluation Re-run on the Regulations Starter Corpus</w:t>
      </w:r>
    </w:p>
    <w:p>
      <w:pPr>
        <w:spacing w:after="120"/>
      </w:pPr>
      <w:r>
        <w:t xml:space="preserve">The Sword Coast evaluation surfaced a set of winning configurations for chunking, embedding, retrieval, and reranking. Re-run the evaluation on the Gov Reg starter corpus (Titles 7, 21, 42) rather than trusting those winners blindly — the domains differ in ways that can move the optimum:</w:t>
      </w:r>
    </w:p>
    <w:p>
      <w:pPr>
        <w:pStyle w:val="ListParagraph"/>
        <w:numPr>
          <w:ilvl w:val="0"/>
          <w:numId w:val="2"/>
        </w:numPr>
        <w:spacing w:after="80"/>
      </w:pPr>
      <w:r>
        <w:t xml:space="preserve">Chunk boundaries are structural (§ / paragraph) rather than narrative — likely to favor different chunk sizes and overlap than Sword Coast.</w:t>
      </w:r>
    </w:p>
    <w:p>
      <w:pPr>
        <w:pStyle w:val="ListParagraph"/>
        <w:numPr>
          <w:ilvl w:val="0"/>
          <w:numId w:val="2"/>
        </w:numPr>
        <w:spacing w:after="80"/>
      </w:pPr>
      <w:r>
        <w:t xml:space="preserve">Vocabulary is dense, legalistic, and repetitive across sections — reranking behavior and top-k tuning may need adjustment to cut near-duplicate hits.</w:t>
      </w:r>
    </w:p>
    <w:p>
      <w:pPr>
        <w:pStyle w:val="ListParagraph"/>
        <w:numPr>
          <w:ilvl w:val="0"/>
          <w:numId w:val="2"/>
        </w:numPr>
        <w:spacing w:after="240"/>
      </w:pPr>
      <w:r>
        <w:t xml:space="preserve">Queries skew toward lookup/definition style ("what is the rule for X?") rather than exploratory — may change the optimal retrieval depth and the cost of false positives.</w:t>
      </w:r>
    </w:p>
    <w:p>
      <w:pPr>
        <w:spacing w:after="120"/>
      </w:pPr>
      <w:r>
        <w:rPr>
          <w:b/>
          <w:bCs/>
        </w:rPr>
        <w:t xml:space="preserve">Approach: </w:t>
      </w:r>
      <w:r>
        <w:t xml:space="preserve">use the Sword Coast winners as the starting configuration instead of sweeping from scratch. Focus the sweep on chunking and reranking (highest likelihood of needing adjustment). A ~1-hour run on the ~40K-chunk starter corpus is tractable and keeps the eval honest for the interview narrative. Lock in the resulting settings as the configuration of record — Phase 9 (Corpus Expansion) should validate these settings at full corpus scale, not re-sweep them.</w:t>
      </w:r>
    </w:p>
    <w:p>
      <w:pPr>
        <w:pStyle w:val="Heading2"/>
      </w:pPr>
      <w:r>
        <w:t xml:space="preserve">Phase 5: Backend API</w:t>
      </w:r>
    </w:p>
    <w:p>
      <w:pPr>
        <w:spacing w:after="120"/>
      </w:pPr>
      <w:r>
        <w:t xml:space="preserve">Implement FastAPI service (same pattern as Sword Coast).</w:t>
      </w:r>
    </w:p>
    <w:p>
      <w:pPr>
        <w:pStyle w:val="ListParagraph"/>
        <w:numPr>
          <w:ilvl w:val="0"/>
          <w:numId w:val="2"/>
        </w:numPr>
        <w:spacing w:after="80"/>
      </w:pPr>
      <w:r>
        <w:t xml:space="preserve">POST </w:t>
      </w:r>
      <w:r>
        <w:rPr>
          <w:i/>
          <w:iCs/>
        </w:rPr>
        <w:t xml:space="preserve">/query</w:t>
      </w:r>
      <w:r>
        <w:t xml:space="preserve"> endpoint: accepts query string, optional CFR title filter</w:t>
      </w:r>
    </w:p>
    <w:p>
      <w:pPr>
        <w:pStyle w:val="ListParagraph"/>
        <w:numPr>
          <w:ilvl w:val="0"/>
          <w:numId w:val="2"/>
        </w:numPr>
        <w:spacing w:after="80"/>
      </w:pPr>
      <w:r>
        <w:t xml:space="preserve">Response schema (JSON): </w:t>
      </w:r>
      <w:r>
        <w:rPr>
          <w:i/>
          <w:iCs/>
        </w:rPr>
        <w:t xml:space="preserve">plain_english</w:t>
      </w:r>
      <w:r>
        <w:t xml:space="preserve"> (string), </w:t>
      </w:r>
      <w:r>
        <w:rPr>
          <w:i/>
          <w:iCs/>
        </w:rPr>
        <w:t xml:space="preserve">legal_language</w:t>
      </w:r>
      <w:r>
        <w:t xml:space="preserve"> (string with verbatim quotes when flag enabled), </w:t>
      </w:r>
      <w:r>
        <w:rPr>
          <w:i/>
          <w:iCs/>
        </w:rPr>
        <w:t xml:space="preserve">verbatim_quotes</w:t>
      </w:r>
      <w:r>
        <w:t xml:space="preserve"> (array of {text, cfr_reference}), </w:t>
      </w:r>
      <w:r>
        <w:rPr>
          <w:i/>
          <w:iCs/>
        </w:rPr>
        <w:t xml:space="preserve">cfr_citations</w:t>
      </w:r>
      <w:r>
        <w:t xml:space="preserve"> (array of </w:t>
      </w:r>
      <w:r>
        <w:rPr>
          <w:i/>
          <w:iCs/>
        </w:rPr>
        <w:t xml:space="preserve">§</w:t>
      </w:r>
      <w:r>
        <w:t xml:space="preserve">-formatted titles)</w:t>
      </w:r>
    </w:p>
    <w:p>
      <w:pPr>
        <w:pStyle w:val="ListParagraph"/>
        <w:numPr>
          <w:ilvl w:val="0"/>
          <w:numId w:val="2"/>
        </w:numPr>
        <w:spacing w:after="80"/>
      </w:pPr>
      <w:r>
        <w:t xml:space="preserve">GET </w:t>
      </w:r>
      <w:r>
        <w:rPr>
          <w:i/>
          <w:iCs/>
        </w:rPr>
        <w:t xml:space="preserve">/titles</w:t>
      </w:r>
      <w:r>
        <w:t xml:space="preserve"> endpoint: list available CFR titles for filtering UI</w:t>
      </w:r>
    </w:p>
    <w:p>
      <w:pPr>
        <w:pStyle w:val="ListParagraph"/>
        <w:numPr>
          <w:ilvl w:val="0"/>
          <w:numId w:val="2"/>
        </w:numPr>
        <w:spacing w:after="80"/>
      </w:pPr>
      <w:r>
        <w:t xml:space="preserve">Health check + rate limiting (1 req/second for anonymous users)</w:t>
      </w:r>
    </w:p>
    <w:p>
      <w:pPr>
        <w:pStyle w:val="ListParagraph"/>
        <w:numPr>
          <w:ilvl w:val="0"/>
          <w:numId w:val="2"/>
        </w:numPr>
        <w:spacing w:after="240"/>
      </w:pPr>
      <w:r>
        <w:t xml:space="preserve">Logging: query, latency, retrieval hit rate</w:t>
      </w:r>
    </w:p>
    <w:p>
      <w:pPr>
        <w:pStyle w:val="Heading2"/>
      </w:pPr>
      <w:r>
        <w:t xml:space="preserve">Phase 6: Frontend UI</w:t>
      </w:r>
    </w:p>
    <w:p>
      <w:pPr>
        <w:spacing w:after="120"/>
      </w:pPr>
      <w:r>
        <w:t xml:space="preserve">Build lightweight query interface.</w:t>
      </w:r>
    </w:p>
    <w:p>
      <w:pPr>
        <w:pStyle w:val="ListParagraph"/>
        <w:numPr>
          <w:ilvl w:val="0"/>
          <w:numId w:val="2"/>
        </w:numPr>
        <w:spacing w:after="80"/>
      </w:pPr>
      <w:r>
        <w:t xml:space="preserve">Query input box with placeholder text: </w:t>
      </w:r>
      <w:r>
        <w:rPr>
          <w:i/>
          <w:iCs/>
        </w:rPr>
        <w:t xml:space="preserve">"e.g., What are the labeling requirements for organic produce?"</w:t>
      </w:r>
    </w:p>
    <w:p>
      <w:pPr>
        <w:pStyle w:val="ListParagraph"/>
        <w:numPr>
          <w:ilvl w:val="0"/>
          <w:numId w:val="2"/>
        </w:numPr>
        <w:spacing w:after="80"/>
      </w:pPr>
      <w:r>
        <w:t xml:space="preserve">Optional dropdown to filter by CFR title/agency (e.g., </w:t>
      </w:r>
      <w:r>
        <w:rPr>
          <w:i/>
          <w:iCs/>
        </w:rPr>
        <w:t xml:space="preserve">Title 7: Agriculture</w:t>
      </w:r>
      <w:r>
        <w:t xml:space="preserve">)</w:t>
      </w:r>
    </w:p>
    <w:p>
      <w:pPr>
        <w:pStyle w:val="ListParagraph"/>
        <w:numPr>
          <w:ilvl w:val="0"/>
          <w:numId w:val="2"/>
        </w:numPr>
        <w:spacing w:after="80"/>
      </w:pPr>
      <w:r>
        <w:t xml:space="preserve">Three-panel output display: Plain English | Legal Language | CFR Citations</w:t>
      </w:r>
    </w:p>
    <w:p>
      <w:pPr>
        <w:pStyle w:val="ListParagraph"/>
        <w:numPr>
          <w:ilvl w:val="0"/>
          <w:numId w:val="2"/>
        </w:numPr>
        <w:spacing w:after="80"/>
      </w:pPr>
      <w:r>
        <w:t xml:space="preserve">Prominent disclaimer: </w:t>
      </w:r>
      <w:r>
        <w:rPr>
          <w:i/>
          <w:iCs/>
        </w:rPr>
        <w:t xml:space="preserve">"This tool provides information about federal regulations for educational purposes. It is not legal advice. Consult a qualified attorney for legal guidance."</w:t>
      </w:r>
    </w:p>
    <w:p>
      <w:pPr>
        <w:pStyle w:val="ListParagraph"/>
        <w:numPr>
          <w:ilvl w:val="0"/>
          <w:numId w:val="2"/>
        </w:numPr>
        <w:spacing w:after="80"/>
      </w:pPr>
      <w:r>
        <w:t xml:space="preserve">Copy-to-clipboard buttons for each output panel</w:t>
      </w:r>
    </w:p>
    <w:p>
      <w:pPr>
        <w:pStyle w:val="ListParagraph"/>
        <w:numPr>
          <w:ilvl w:val="0"/>
          <w:numId w:val="2"/>
        </w:numPr>
        <w:spacing w:after="240"/>
      </w:pPr>
      <w:r>
        <w:t xml:space="preserve">Responsive design (mobile-friendly)</w:t>
      </w:r>
    </w:p>
    <w:p>
      <w:pPr>
        <w:pStyle w:val="Heading2"/>
      </w:pPr>
      <w:r>
        <w:t xml:space="preserve">Phase 7: Deployment</w:t>
      </w:r>
    </w:p>
    <w:p>
      <w:pPr>
        <w:spacing w:after="120"/>
      </w:pPr>
      <w:r>
        <w:t xml:space="preserve">Deploy to production environment.</w:t>
      </w:r>
    </w:p>
    <w:p>
      <w:pPr>
        <w:pStyle w:val="ListParagraph"/>
        <w:numPr>
          <w:ilvl w:val="0"/>
          <w:numId w:val="2"/>
        </w:numPr>
        <w:spacing w:after="80"/>
      </w:pPr>
      <w:r>
        <w:t xml:space="preserve">Domain: </w:t>
      </w:r>
      <w:r>
        <w:rPr>
          <w:i/>
          <w:iCs/>
        </w:rPr>
        <w:t xml:space="preserve">regs.bradhinkel.com</w:t>
      </w:r>
    </w:p>
    <w:p>
      <w:pPr>
        <w:pStyle w:val="ListParagraph"/>
        <w:numPr>
          <w:ilvl w:val="0"/>
          <w:numId w:val="2"/>
        </w:numPr>
        <w:spacing w:after="80"/>
      </w:pPr>
      <w:r>
        <w:t xml:space="preserve">Hosting: DigitalOcean droplet (shared with Sword Coast project)</w:t>
      </w:r>
    </w:p>
    <w:p>
      <w:pPr>
        <w:pStyle w:val="ListParagraph"/>
        <w:numPr>
          <w:ilvl w:val="0"/>
          <w:numId w:val="2"/>
        </w:numPr>
        <w:spacing w:after="80"/>
      </w:pPr>
      <w:r>
        <w:t xml:space="preserve">CI/CD: GitHub Actions (auto-deploy on main branch push)</w:t>
      </w:r>
    </w:p>
    <w:p>
      <w:pPr>
        <w:pStyle w:val="ListParagraph"/>
        <w:numPr>
          <w:ilvl w:val="0"/>
          <w:numId w:val="2"/>
        </w:numPr>
        <w:spacing w:after="80"/>
      </w:pPr>
      <w:r>
        <w:t xml:space="preserve">Monitoring: Sentry for error tracking, DataDog for query latency</w:t>
      </w:r>
    </w:p>
    <w:p>
      <w:pPr>
        <w:pStyle w:val="ListParagraph"/>
        <w:numPr>
          <w:ilvl w:val="0"/>
          <w:numId w:val="2"/>
        </w:numPr>
        <w:spacing w:after="240"/>
      </w:pPr>
      <w:r>
        <w:t xml:space="preserve">HTTPS only; set HSTS header</w:t>
      </w:r>
    </w:p>
    <w:p>
      <w:pPr>
        <w:spacing w:after="240"/>
      </w:pPr>
      <w:r>
        <w:t xml:space="preserve"/>
      </w:r>
    </w:p>
    <w:p>
      <w:pPr>
        <w:pStyle w:val="Heading1"/>
      </w:pPr>
      <w:r>
        <w:t xml:space="preserve">4. What Carries Over from Sword Coast</w:t>
      </w:r>
    </w:p>
    <w:p>
      <w:pPr>
        <w:spacing w:after="120"/>
      </w:pPr>
      <w:r>
        <w:t xml:space="preserve">The following components are reused directly, with minimal adaptation:</w:t>
      </w:r>
    </w:p>
    <w:p>
      <w:pPr>
        <w:pStyle w:val="ListParagraph"/>
        <w:numPr>
          <w:ilvl w:val="0"/>
          <w:numId w:val="2"/>
        </w:numPr>
        <w:spacing w:after="80"/>
      </w:pPr>
      <w:r>
        <w:rPr>
          <w:b/>
          <w:bCs/>
        </w:rPr>
        <w:t xml:space="preserve">Vector store architecture: </w:t>
      </w:r>
      <w:r>
        <w:t xml:space="preserve">pgvector schema, similarity search, metadata filtering</w:t>
      </w:r>
    </w:p>
    <w:p>
      <w:pPr>
        <w:pStyle w:val="ListParagraph"/>
        <w:numPr>
          <w:ilvl w:val="0"/>
          <w:numId w:val="2"/>
        </w:numPr>
        <w:spacing w:after="80"/>
      </w:pPr>
      <w:r>
        <w:rPr>
          <w:b/>
          <w:bCs/>
        </w:rPr>
        <w:t xml:space="preserve">Pluggable parser interface: </w:t>
      </w:r>
      <w:r>
        <w:t xml:space="preserve">abstract base class for corpus parsers (PDF in Sword Coast → XML here)</w:t>
      </w:r>
    </w:p>
    <w:p>
      <w:pPr>
        <w:pStyle w:val="ListParagraph"/>
        <w:numPr>
          <w:ilvl w:val="0"/>
          <w:numId w:val="2"/>
        </w:numPr>
        <w:spacing w:after="80"/>
      </w:pPr>
      <w:r>
        <w:rPr>
          <w:b/>
          <w:bCs/>
        </w:rPr>
        <w:t xml:space="preserve">Three-output generation pattern: </w:t>
      </w:r>
      <w:r>
        <w:t xml:space="preserve">prompt templates, LLM call strategy experiments</w:t>
      </w:r>
    </w:p>
    <w:p>
      <w:pPr>
        <w:pStyle w:val="ListParagraph"/>
        <w:numPr>
          <w:ilvl w:val="0"/>
          <w:numId w:val="2"/>
        </w:numPr>
        <w:spacing w:after="80"/>
      </w:pPr>
      <w:r>
        <w:rPr>
          <w:b/>
          <w:bCs/>
        </w:rPr>
        <w:t xml:space="preserve">Evaluation framework: </w:t>
      </w:r>
      <w:r>
        <w:t xml:space="preserve">faithfulness, retrieval, output quality metrics; hand-curated test sets</w:t>
      </w:r>
    </w:p>
    <w:p>
      <w:pPr>
        <w:pStyle w:val="ListParagraph"/>
        <w:numPr>
          <w:ilvl w:val="0"/>
          <w:numId w:val="2"/>
        </w:numPr>
        <w:spacing w:after="80"/>
      </w:pPr>
      <w:r>
        <w:rPr>
          <w:b/>
          <w:bCs/>
        </w:rPr>
        <w:t xml:space="preserve">FastAPI service scaffold: </w:t>
      </w:r>
      <w:r>
        <w:t xml:space="preserve">endpoint structure, middleware, error handling</w:t>
      </w:r>
    </w:p>
    <w:p>
      <w:pPr>
        <w:pStyle w:val="ListParagraph"/>
        <w:numPr>
          <w:ilvl w:val="0"/>
          <w:numId w:val="2"/>
        </w:numPr>
        <w:spacing w:after="80"/>
      </w:pPr>
      <w:r>
        <w:rPr>
          <w:b/>
          <w:bCs/>
        </w:rPr>
        <w:t xml:space="preserve">Deployment infrastructure: </w:t>
      </w:r>
      <w:r>
        <w:t xml:space="preserve">Docker image, DigitalOcean droplet, GitHub Actions workflow</w:t>
      </w:r>
    </w:p>
    <w:p>
      <w:pPr>
        <w:pStyle w:val="ListParagraph"/>
        <w:numPr>
          <w:ilvl w:val="0"/>
          <w:numId w:val="2"/>
        </w:numPr>
        <w:spacing w:after="240"/>
      </w:pPr>
      <w:r>
        <w:rPr>
          <w:b/>
          <w:bCs/>
        </w:rPr>
        <w:t xml:space="preserve">Frontend scaffolding: </w:t>
      </w:r>
      <w:r>
        <w:t xml:space="preserve">React components for query input, panel layout, settings</w:t>
      </w:r>
    </w:p>
    <w:p>
      <w:pPr>
        <w:pStyle w:val="Heading1"/>
      </w:pPr>
      <w:r>
        <w:t xml:space="preserve">5. What's New / Different</w:t>
      </w:r>
    </w:p>
    <w:p>
      <w:pPr>
        <w:pStyle w:val="Heading2"/>
      </w:pPr>
      <w:r>
        <w:t xml:space="preserve">Corpus &amp; Ingestion</w:t>
      </w:r>
    </w:p>
    <w:p>
      <w:pPr>
        <w:pStyle w:val="ListParagraph"/>
        <w:numPr>
          <w:ilvl w:val="0"/>
          <w:numId w:val="2"/>
        </w:numPr>
        <w:spacing w:after="80"/>
      </w:pPr>
      <w:r>
        <w:t xml:space="preserve">eCFR API as free, structured data source (vs. proprietary PDF for Sword Coast)</w:t>
      </w:r>
    </w:p>
    <w:p>
      <w:pPr>
        <w:pStyle w:val="ListParagraph"/>
        <w:numPr>
          <w:ilvl w:val="0"/>
          <w:numId w:val="2"/>
        </w:numPr>
        <w:spacing w:after="80"/>
      </w:pPr>
      <w:r>
        <w:t xml:space="preserve">Regulatory-aware chunking at § boundaries (vs. page-level in Sword Coast)</w:t>
      </w:r>
    </w:p>
    <w:p>
      <w:pPr>
        <w:pStyle w:val="ListParagraph"/>
        <w:numPr>
          <w:ilvl w:val="0"/>
          <w:numId w:val="2"/>
        </w:numPr>
        <w:spacing w:after="240"/>
      </w:pPr>
      <w:r>
        <w:t xml:space="preserve">Metadata schema includes CFR hierarchy: title_number, part_number, section_number, effective_date</w:t>
      </w:r>
    </w:p>
    <w:p>
      <w:pPr>
        <w:pStyle w:val="Heading2"/>
      </w:pPr>
      <w:r>
        <w:t xml:space="preserve">Legal &amp; Copyright</w:t>
      </w:r>
    </w:p>
    <w:p>
      <w:pPr>
        <w:pStyle w:val="ListParagraph"/>
        <w:numPr>
          <w:ilvl w:val="0"/>
          <w:numId w:val="2"/>
        </w:numPr>
        <w:spacing w:after="80"/>
      </w:pPr>
      <w:r>
        <w:t xml:space="preserve">Public domain corpus allows verbatim citation display (Sword Coast paraphrases due to copyright)</w:t>
      </w:r>
    </w:p>
    <w:p>
      <w:pPr>
        <w:pStyle w:val="ListParagraph"/>
        <w:numPr>
          <w:ilvl w:val="0"/>
          <w:numId w:val="2"/>
        </w:numPr>
        <w:spacing w:after="80"/>
      </w:pPr>
      <w:r>
        <w:t xml:space="preserve">Required legal disclaimer in UI: </w:t>
      </w:r>
      <w:r>
        <w:rPr>
          <w:i/>
          <w:iCs/>
        </w:rPr>
        <w:t xml:space="preserve">"This tool provides information about federal regulations for educational purposes. It is not legal advice. Consult a qualified attorney for legal guidance."</w:t>
      </w:r>
    </w:p>
    <w:p>
      <w:pPr>
        <w:pStyle w:val="ListParagraph"/>
        <w:numPr>
          <w:ilvl w:val="0"/>
          <w:numId w:val="2"/>
        </w:numPr>
        <w:spacing w:after="240"/>
      </w:pPr>
      <w:r>
        <w:t xml:space="preserve">Evaluation metric: legal accuracy (does cited regulation actually support the plain English claim?)</w:t>
      </w:r>
    </w:p>
    <w:p>
      <w:pPr>
        <w:pStyle w:val="Heading2"/>
      </w:pPr>
      <w:r>
        <w:t xml:space="preserve">Citation Format</w:t>
      </w:r>
    </w:p>
    <w:p>
      <w:pPr>
        <w:pStyle w:val="ListParagraph"/>
        <w:numPr>
          <w:ilvl w:val="0"/>
          <w:numId w:val="2"/>
        </w:numPr>
        <w:spacing w:after="80"/>
      </w:pPr>
      <w:r>
        <w:t xml:space="preserve">Standard legal citation: </w:t>
      </w:r>
      <w:r>
        <w:rPr>
          <w:i/>
          <w:iCs/>
        </w:rPr>
        <w:t xml:space="preserve">Title / Part / Section</w:t>
      </w:r>
      <w:r>
        <w:t xml:space="preserve"> (e.g., </w:t>
      </w:r>
      <w:r>
        <w:rPr>
          <w:i/>
          <w:iCs/>
        </w:rPr>
        <w:t xml:space="preserve">7 CFR § 205.301</w:t>
      </w:r>
      <w:r>
        <w:t xml:space="preserve">)</w:t>
      </w:r>
    </w:p>
    <w:p>
      <w:pPr>
        <w:pStyle w:val="ListParagraph"/>
        <w:numPr>
          <w:ilvl w:val="0"/>
          <w:numId w:val="2"/>
        </w:numPr>
        <w:spacing w:after="240"/>
      </w:pPr>
      <w:r>
        <w:t xml:space="preserve">Generated programmatically from metadata; no manual citation lookup</w:t>
      </w:r>
    </w:p>
    <w:p>
      <w:pPr>
        <w:pStyle w:val="Heading2"/>
      </w:pPr>
      <w:r>
        <w:t xml:space="preserve">Corpus Refresh</w:t>
      </w:r>
    </w:p>
    <w:p>
      <w:pPr>
        <w:pStyle w:val="ListParagraph"/>
        <w:numPr>
          <w:ilvl w:val="0"/>
          <w:numId w:val="2"/>
        </w:numPr>
        <w:spacing w:after="240"/>
      </w:pPr>
      <w:r>
        <w:t xml:space="preserve">Weekly eCFR API sync to capture regulatory changes (Sword Coast is static)</w:t>
      </w:r>
    </w:p>
    <w:p>
      <w:pPr>
        <w:spacing w:after="240"/>
      </w:pPr>
      <w:r>
        <w:t xml:space="preserve"/>
      </w:r>
    </w:p>
    <w:p>
      <w:pPr>
        <w:pStyle w:val="Heading1"/>
      </w:pPr>
      <w:r>
        <w:t xml:space="preserve">6. Open Questions</w:t>
      </w:r>
    </w:p>
    <w:p>
      <w:pPr>
        <w:pStyle w:val="ListParagraph"/>
        <w:numPr>
          <w:ilvl w:val="0"/>
          <w:numId w:val="3"/>
        </w:numPr>
        <w:spacing w:after="120"/>
      </w:pPr>
      <w:r>
        <w:rPr>
          <w:b/>
          <w:bCs/>
        </w:rPr>
        <w:t xml:space="preserve">LLM call strategy: </w:t>
      </w:r>
      <w:r>
        <w:t xml:space="preserve">Is the single-call approach (faster, fewer tokens) acceptable, or does sequential-call strategy (higher quality) become necessary? Quantify this via Phase 4 eval.</w:t>
      </w:r>
    </w:p>
    <w:p>
      <w:pPr>
        <w:pStyle w:val="ListParagraph"/>
        <w:numPr>
          <w:ilvl w:val="0"/>
          <w:numId w:val="3"/>
        </w:numPr>
        <w:spacing w:after="120"/>
      </w:pPr>
      <w:r>
        <w:rPr>
          <w:b/>
          <w:bCs/>
        </w:rPr>
        <w:t xml:space="preserve">Chunking granularity: </w:t>
      </w:r>
      <w:r>
        <w:t xml:space="preserve">Is § (section) level too fine? Should we chunk at Part level (larger context)? Run retrieval ablation in Phase 2.</w:t>
      </w:r>
    </w:p>
    <w:p>
      <w:pPr>
        <w:pStyle w:val="ListParagraph"/>
        <w:numPr>
          <w:ilvl w:val="0"/>
          <w:numId w:val="3"/>
        </w:numPr>
        <w:spacing w:after="120"/>
      </w:pPr>
      <w:r>
        <w:rPr>
          <w:b/>
          <w:bCs/>
        </w:rPr>
        <w:t xml:space="preserve">Agency filtering: </w:t>
      </w:r>
      <w:r>
        <w:t xml:space="preserve">[RESOLVED] Starting with Title 7 (Agriculture), Title 21 (Food and Drugs), and Title 42 (Public Health). These provide strong demo scenarios (organic labeling, food safety, public health). Full 50-title ingestion deferred to Corpus Expansion phase.</w:t>
      </w:r>
    </w:p>
    <w:p>
      <w:pPr>
        <w:pStyle w:val="ListParagraph"/>
        <w:numPr>
          <w:ilvl w:val="0"/>
          <w:numId w:val="3"/>
        </w:numPr>
        <w:spacing w:after="120"/>
      </w:pPr>
      <w:r>
        <w:rPr>
          <w:b/>
          <w:bCs/>
        </w:rPr>
        <w:t xml:space="preserve">Helpfulness scope: </w:t>
      </w:r>
      <w:r>
        <w:t xml:space="preserve">Should the system return multi-section answers (e.g., parent Part overview + specific § detail), or single-section only? Test in Phase 4 eval.</w:t>
      </w:r>
    </w:p>
    <w:p>
      <w:pPr>
        <w:pStyle w:val="ListParagraph"/>
        <w:numPr>
          <w:ilvl w:val="0"/>
          <w:numId w:val="3"/>
        </w:numPr>
        <w:spacing w:after="240"/>
      </w:pPr>
      <w:r>
        <w:rPr>
          <w:b/>
          <w:bCs/>
        </w:rPr>
        <w:t xml:space="preserve">Verbatim text length: </w:t>
      </w:r>
      <w:r>
        <w:t xml:space="preserve">Is the full § text (sometimes 500+ words) appropriate, or should the legal language output quote only the relevant passage?</w:t>
      </w:r>
    </w:p>
    <w:p>
      <w:pPr>
        <w:pStyle w:val="Heading1"/>
      </w:pPr>
      <w:r>
        <w:t xml:space="preserve">7. Success Criteria</w:t>
      </w:r>
    </w:p>
    <w:p>
      <w:pPr>
        <w:spacing w:after="120"/>
      </w:pPr>
      <w:r>
        <w:t xml:space="preserve">The project is considered complete when:</w:t>
      </w:r>
    </w:p>
    <w:p>
      <w:pPr>
        <w:pStyle w:val="ListParagraph"/>
        <w:numPr>
          <w:ilvl w:val="0"/>
          <w:numId w:val="3"/>
        </w:numPr>
        <w:spacing w:after="100"/>
      </w:pPr>
      <w:r>
        <w:rPr>
          <w:b/>
          <w:bCs/>
        </w:rPr>
        <w:t xml:space="preserve">Corpus: </w:t>
      </w:r>
      <w:r>
        <w:t xml:space="preserve">Starter titles (7, 21, 42) ingested with &lt;5% parsing errors; refresh pipeline runs weekly. Ingestion pipeline validated and ready for corpus expansion to all 50 titles.</w:t>
      </w:r>
    </w:p>
    <w:p>
      <w:pPr>
        <w:pStyle w:val="ListParagraph"/>
        <w:numPr>
          <w:ilvl w:val="0"/>
          <w:numId w:val="3"/>
        </w:numPr>
        <w:spacing w:after="100"/>
      </w:pPr>
      <w:r>
        <w:rPr>
          <w:b/>
          <w:bCs/>
        </w:rPr>
        <w:t xml:space="preserve">Retrieval: </w:t>
      </w:r>
      <w:r>
        <w:t xml:space="preserve">&gt;80% of queries retrieve at least one relevant regulation in top-3</w:t>
      </w:r>
    </w:p>
    <w:p>
      <w:pPr>
        <w:pStyle w:val="ListParagraph"/>
        <w:numPr>
          <w:ilvl w:val="0"/>
          <w:numId w:val="3"/>
        </w:numPr>
        <w:spacing w:after="100"/>
      </w:pPr>
      <w:r>
        <w:rPr>
          <w:b/>
          <w:bCs/>
        </w:rPr>
        <w:t xml:space="preserve">Generation: </w:t>
      </w:r>
      <w:r>
        <w:t xml:space="preserve">&gt;85% faithfulness (plain English matches retrieval), &gt;90% legal accuracy (cited regulation supports claim)</w:t>
      </w:r>
    </w:p>
    <w:p>
      <w:pPr>
        <w:pStyle w:val="ListParagraph"/>
        <w:numPr>
          <w:ilvl w:val="0"/>
          <w:numId w:val="3"/>
        </w:numPr>
        <w:spacing w:after="100"/>
      </w:pPr>
      <w:r>
        <w:rPr>
          <w:b/>
          <w:bCs/>
        </w:rPr>
        <w:t xml:space="preserve">Latency: </w:t>
      </w:r>
      <w:r>
        <w:t xml:space="preserve">P95 &lt;800ms per query</w:t>
      </w:r>
    </w:p>
    <w:p>
      <w:pPr>
        <w:pStyle w:val="ListParagraph"/>
        <w:numPr>
          <w:ilvl w:val="0"/>
          <w:numId w:val="3"/>
        </w:numPr>
        <w:spacing w:after="100"/>
      </w:pPr>
      <w:r>
        <w:rPr>
          <w:b/>
          <w:bCs/>
        </w:rPr>
        <w:t xml:space="preserve">Uptime: </w:t>
      </w:r>
      <w:r>
        <w:t xml:space="preserve">&gt;99.5% (DigitalOcean SLA + health checks)</w:t>
      </w:r>
    </w:p>
    <w:p>
      <w:pPr>
        <w:pStyle w:val="ListParagraph"/>
        <w:numPr>
          <w:ilvl w:val="0"/>
          <w:numId w:val="3"/>
        </w:numPr>
        <w:spacing w:after="100"/>
      </w:pPr>
      <w:r>
        <w:rPr>
          <w:b/>
          <w:bCs/>
        </w:rPr>
        <w:t xml:space="preserve">User experience: </w:t>
      </w:r>
      <w:r>
        <w:t xml:space="preserve">Disclaimer visible on every query; copy-to-clipboard buttons functional; responsive on mobile</w:t>
      </w:r>
    </w:p>
    <w:p>
      <w:pPr>
        <w:pStyle w:val="ListParagraph"/>
        <w:numPr>
          <w:ilvl w:val="0"/>
          <w:numId w:val="3"/>
        </w:numPr>
        <w:spacing w:after="240"/>
      </w:pPr>
      <w:r>
        <w:rPr>
          <w:b/>
          <w:bCs/>
        </w:rPr>
        <w:t xml:space="preserve">Documentation: </w:t>
      </w:r>
      <w:r>
        <w:t xml:space="preserve">README, API spec (OpenAPI/Swagger), deployment runbook, eval results published</w:t>
      </w:r>
    </w:p>
    <w:p>
      <w:pPr>
        <w:spacing w:after="120"/>
      </w:pPr>
      <w:r>
        <w:t xml:space="preserve"/>
      </w:r>
    </w:p>
    <w:p>
      <w:pPr>
        <w:pStyle w:val="Heading1"/>
      </w:pPr>
      <w:r>
        <w:t xml:space="preserve">8. Phase 8: Corpus Freshness &amp; Versioned Replacement</w:t>
      </w:r>
    </w:p>
    <w:p>
      <w:pPr>
        <w:spacing w:after="120"/>
      </w:pPr>
      <w:r>
        <w:t xml:space="preserve">Before scaling to the full 50-title corpus, build and prove the freshness and versioned-replacement pipeline on the starter corpus. Federal regulations change continuously through the Federal Register; a regulation query engine that serves stale content is worse than useless. This phase operationalizes the weekly refresh pipeline scaffolded in Phase 1 into a production-grade three-stage flow: detect changes via eCFR versioner API, stage new content, and atomically swap visibility.</w:t>
      </w:r>
    </w:p>
    <w:p>
      <w:pPr>
        <w:pStyle w:val="Heading2"/>
      </w:pPr>
      <w:r>
        <w:t xml:space="preserve">Why Before Corpus Expansion</w:t>
      </w:r>
    </w:p>
    <w:p>
      <w:pPr>
        <w:pStyle w:val="ListParagraph"/>
        <w:numPr>
          <w:ilvl w:val="0"/>
          <w:numId w:val="2"/>
        </w:numPr>
        <w:spacing w:after="80"/>
      </w:pPr>
      <w:r>
        <w:t xml:space="preserve">The weekly refresh pipeline IS the freshness pipeline. The Phase 1 ingest is a special case (“ingest v1”) of what this phase generalizes. Better to prove the generalized flow on ~40K chunks than discover issues on ~400K.</w:t>
      </w:r>
    </w:p>
    <w:p>
      <w:pPr>
        <w:pStyle w:val="ListParagraph"/>
        <w:numPr>
          <w:ilvl w:val="0"/>
          <w:numId w:val="2"/>
        </w:numPr>
        <w:spacing w:after="80"/>
      </w:pPr>
      <w:r>
        <w:t xml:space="preserve">Iterating on staging/swap logic and any residual schema tweaks is an order of magnitude cheaper on the starter corpus (~1 hour, ~$1–3 per re-ingest) than on the full corpus (6–10 hours, $10–30).</w:t>
      </w:r>
    </w:p>
    <w:p>
      <w:pPr>
        <w:pStyle w:val="ListParagraph"/>
        <w:numPr>
          <w:ilvl w:val="0"/>
          <w:numId w:val="2"/>
        </w:numPr>
        <w:spacing w:after="240"/>
      </w:pPr>
      <w:r>
        <w:t xml:space="preserve">Case study narrative: Phase 9 (Corpus Expansion) becomes a stress test of the versioning architecture at scale (“v1 → v2 replacement across all 50 titles”) rather than a one-shot bulk load. Stronger story for the interview.</w:t>
      </w:r>
    </w:p>
    <w:p>
      <w:pPr>
        <w:pStyle w:val="Heading2"/>
      </w:pPr>
      <w:r>
        <w:t xml:space="preserve">8.1 Motivation</w:t>
      </w:r>
    </w:p>
    <w:p>
      <w:pPr>
        <w:spacing w:after="120"/>
      </w:pPr>
      <w:r>
        <w:t xml:space="preserve">Federal regulations change on a defined cadence through the Federal Register. The eCFR API exposes versioned endpoints and effective_date metadata, providing an observable update signal. A government regulation query engine that retrieves outdated regulatory text is worse than useless — it is actively harmful, because users may rely on superseded requirements for compliance decisions.</w:t>
      </w:r>
    </w:p>
    <w:p>
      <w:pPr>
        <w:spacing w:after="120"/>
      </w:pPr>
      <w:r>
        <w:t xml:space="preserve">This phase addresses the </w:t>
      </w:r>
      <w:r>
        <w:rPr>
          <w:b/>
          <w:bCs/>
        </w:rPr>
        <w:t xml:space="preserve">corpus staleness problem</w:t>
      </w:r>
      <w:r>
        <w:t xml:space="preserve">: ensuring the RAG system never returns archived regulatory content in response to a current-state query. It also introduces the ability to answer temporal queries (“what changed?”), turning the versioning infrastructure from a maintenance obligation into a user-facing capability.</w:t>
      </w:r>
    </w:p>
    <w:p>
      <w:pPr>
        <w:spacing w:after="240"/>
      </w:pPr>
      <w:r>
        <w:t xml:space="preserve">This is the distinguishing feature of the Government Regulation Query project within the three-effort portfolio. The D&amp;D RAG project demonstrated evaluation methodology. The Sword Coast RAG project demonstrated the three-output architecture. This phase demonstrates that the system can maintain accuracy over time — the problem that separates production RAG systems from portfolio demos.</w:t>
      </w:r>
    </w:p>
    <w:p>
      <w:pPr>
        <w:pStyle w:val="Heading2"/>
      </w:pPr>
      <w:r>
        <w:t xml:space="preserve">8.2 Architecture: Versioned Replacement with Soft-Delete and Atomic Swap</w:t>
      </w:r>
    </w:p>
    <w:p>
      <w:pPr>
        <w:spacing w:after="240"/>
      </w:pPr>
      <w:r>
        <w:t xml:space="preserve">The core design principle is that no query should ever hit a window where a regulation is missing, partially updated, or stale. The system achieves this through a three-stage pipeline: detect changes, stage new content, and atomically swap visibility.</w:t>
      </w:r>
    </w:p>
    <w:p>
      <w:pPr>
        <w:pStyle w:val="Heading3"/>
      </w:pPr>
      <w:r>
        <w:t xml:space="preserve">8.2.1 Schema Changes</w:t>
      </w:r>
    </w:p>
    <w:p>
      <w:pPr>
        <w:spacing w:after="120"/>
      </w:pPr>
      <w:r>
        <w:t xml:space="preserve">The pgvector chunk table gains two columns (introduced in Phase 1 schema to avoid a later re-ingest):</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800"/>
        <w:gridCol w:w="1400"/>
        <w:gridCol w:w="6160"/>
      </w:tblGrid>
      <w:tr>
        <w:tc>
          <w:tcPr>
            <w:tcW w:w="1800" w:type="dxa"/>
            <w:shd w:val="clear" w:color="auto" w:fill="D5E8F0"/>
          </w:tcPr>
          <w:p>
            <w:pPr>
              <w:spacing w:after="60"/>
            </w:pPr>
            <w:r>
              <w:rPr>
                <w:b/>
                <w:bCs/>
              </w:rPr>
              <w:t xml:space="preserve">Column</w:t>
            </w:r>
          </w:p>
        </w:tc>
        <w:tc>
          <w:tcPr>
            <w:tcW w:w="1400" w:type="dxa"/>
            <w:shd w:val="clear" w:color="auto" w:fill="D5E8F0"/>
          </w:tcPr>
          <w:p>
            <w:pPr>
              <w:spacing w:after="60"/>
            </w:pPr>
            <w:r>
              <w:rPr>
                <w:b/>
                <w:bCs/>
              </w:rPr>
              <w:t xml:space="preserve">Type</w:t>
            </w:r>
          </w:p>
        </w:tc>
        <w:tc>
          <w:tcPr>
            <w:tcW w:w="6160" w:type="dxa"/>
            <w:shd w:val="clear" w:color="auto" w:fill="D5E8F0"/>
          </w:tcPr>
          <w:p>
            <w:pPr>
              <w:spacing w:after="60"/>
            </w:pPr>
            <w:r>
              <w:rPr>
                <w:b/>
                <w:bCs/>
              </w:rPr>
              <w:t xml:space="preserve">Purpose</w:t>
            </w:r>
          </w:p>
        </w:tc>
      </w:tr>
      <w:tr>
        <w:tc>
          <w:tcPr>
            <w:tcW w:w="1800" w:type="dxa"/>
          </w:tcPr>
          <w:p>
            <w:pPr>
              <w:spacing w:after="60"/>
            </w:pPr>
            <w:r>
              <w:rPr>
                <w:i/>
                <w:iCs/>
              </w:rPr>
              <w:t xml:space="preserve">status</w:t>
            </w:r>
          </w:p>
        </w:tc>
        <w:tc>
          <w:tcPr>
            <w:tcW w:w="1400" w:type="dxa"/>
          </w:tcPr>
          <w:p>
            <w:pPr>
              <w:spacing w:after="60"/>
            </w:pPr>
            <w:r>
              <w:t xml:space="preserve">ENUM</w:t>
            </w:r>
          </w:p>
        </w:tc>
        <w:tc>
          <w:tcPr>
            <w:tcW w:w="6160" w:type="dxa"/>
          </w:tcPr>
          <w:p>
            <w:pPr>
              <w:spacing w:after="60"/>
            </w:pPr>
            <w:r>
              <w:t xml:space="preserve">One of: active, staged, archived. Retrieval queries filter on active. Default: active.</w:t>
            </w:r>
          </w:p>
        </w:tc>
      </w:tr>
      <w:tr>
        <w:tc>
          <w:tcPr>
            <w:tcW w:w="1800" w:type="dxa"/>
          </w:tcPr>
          <w:p>
            <w:pPr>
              <w:spacing w:after="60"/>
            </w:pPr>
            <w:r>
              <w:rPr>
                <w:i/>
                <w:iCs/>
              </w:rPr>
              <w:t xml:space="preserve">version_id</w:t>
            </w:r>
          </w:p>
        </w:tc>
        <w:tc>
          <w:tcPr>
            <w:tcW w:w="1400" w:type="dxa"/>
          </w:tcPr>
          <w:p>
            <w:pPr>
              <w:spacing w:after="60"/>
            </w:pPr>
            <w:r>
              <w:t xml:space="preserve">UUID</w:t>
            </w:r>
          </w:p>
        </w:tc>
        <w:tc>
          <w:tcPr>
            <w:tcW w:w="6160" w:type="dxa"/>
          </w:tcPr>
          <w:p>
            <w:pPr>
              <w:spacing w:after="60"/>
            </w:pPr>
            <w:r>
              <w:t xml:space="preserve">Groups all chunks from a single sync run. Enables rollback by version and temporal queries across versions.</w:t>
            </w:r>
          </w:p>
        </w:tc>
      </w:tr>
    </w:tbl>
    <w:p>
      <w:pPr>
        <w:spacing w:after="240" w:before="120"/>
      </w:pPr>
      <w:r>
        <w:t xml:space="preserve">The existing effective_date column (from Phase 1 metadata) is preserved and remains the authoritative timestamp for when a regulation took effect. The version_id groups chunks that were ingested together in a single sync operation, enabling batch rollback if a sync introduces parsing errors.</w:t>
      </w:r>
    </w:p>
    <w:p>
      <w:pPr>
        <w:pStyle w:val="Heading3"/>
      </w:pPr>
      <w:r>
        <w:t xml:space="preserve">8.2.2 Stage 1: Change Detection</w:t>
      </w:r>
    </w:p>
    <w:p>
      <w:pPr>
        <w:spacing w:after="120"/>
      </w:pPr>
      <w:r>
        <w:t xml:space="preserve">The weekly sync job (scaffolded in Phase 1) calls the eCFR versioner API to identify which sections have changed since the last sync. For each ingested title, the pipeline compares the API’s current effective_date for each section against the effective_date stored in the active chunks. Any mismatch flags that section for re-ingestion.</w:t>
      </w:r>
    </w:p>
    <w:p>
      <w:pPr>
        <w:spacing w:after="120"/>
      </w:pPr>
      <w:r>
        <w:t xml:space="preserve">Detection output is a change manifest — a JSON array of objects, each containing:</w:t>
      </w:r>
    </w:p>
    <w:p>
      <w:pPr>
        <w:pStyle w:val="ListParagraph"/>
        <w:numPr>
          <w:ilvl w:val="0"/>
          <w:numId w:val="2"/>
        </w:numPr>
        <w:spacing w:after="80"/>
      </w:pPr>
      <w:r>
        <w:rPr>
          <w:i/>
          <w:iCs/>
        </w:rPr>
        <w:t xml:space="preserve">cfr_reference</w:t>
      </w:r>
      <w:r>
        <w:t xml:space="preserve"> — the section that changed (e.g., 7 CFR § 205.301)</w:t>
      </w:r>
    </w:p>
    <w:p>
      <w:pPr>
        <w:pStyle w:val="ListParagraph"/>
        <w:numPr>
          <w:ilvl w:val="0"/>
          <w:numId w:val="2"/>
        </w:numPr>
        <w:spacing w:after="80"/>
      </w:pPr>
      <w:r>
        <w:rPr>
          <w:i/>
          <w:iCs/>
        </w:rPr>
        <w:t xml:space="preserve">old_effective_date</w:t>
      </w:r>
      <w:r>
        <w:t xml:space="preserve"> — the date currently stored in the active chunk</w:t>
      </w:r>
    </w:p>
    <w:p>
      <w:pPr>
        <w:pStyle w:val="ListParagraph"/>
        <w:numPr>
          <w:ilvl w:val="0"/>
          <w:numId w:val="2"/>
        </w:numPr>
        <w:spacing w:after="80"/>
      </w:pPr>
      <w:r>
        <w:rPr>
          <w:i/>
          <w:iCs/>
        </w:rPr>
        <w:t xml:space="preserve">new_effective_date</w:t>
      </w:r>
      <w:r>
        <w:t xml:space="preserve"> — the date returned by the eCFR API</w:t>
      </w:r>
    </w:p>
    <w:p>
      <w:pPr>
        <w:pStyle w:val="ListParagraph"/>
        <w:numPr>
          <w:ilvl w:val="0"/>
          <w:numId w:val="2"/>
        </w:numPr>
        <w:spacing w:after="240"/>
      </w:pPr>
      <w:r>
        <w:rPr>
          <w:i/>
          <w:iCs/>
        </w:rPr>
        <w:t xml:space="preserve">change_type</w:t>
      </w:r>
      <w:r>
        <w:t xml:space="preserve"> — one of: modified, added, removed</w:t>
      </w:r>
    </w:p>
    <w:p>
      <w:pPr>
        <w:spacing w:after="240"/>
      </w:pPr>
      <w:r>
        <w:t xml:space="preserve">The manifest is logged and stored for audit. If a sync detects zero changes, no further pipeline stages execute. If a sync detects changes affecting more than 20% of a title’s sections, the pipeline pauses and sends an alert — this likely indicates an API schema change or bulk regulatory overhaul that warrants manual review before proceeding.</w:t>
      </w:r>
    </w:p>
    <w:p>
      <w:pPr>
        <w:pStyle w:val="Heading3"/>
      </w:pPr>
      <w:r>
        <w:t xml:space="preserve">8.2.3 Stage 2: Staged Ingestion</w:t>
      </w:r>
    </w:p>
    <w:p>
      <w:pPr>
        <w:spacing w:after="120"/>
      </w:pPr>
      <w:r>
        <w:t xml:space="preserve">For each section in the change manifest, the pipeline fetches the updated XML from the eCFR API, parses it using the same regulatory-aware chunking from Phase 1, embeds the chunks, and writes them to pgvector with status: staged. Staged chunks are invisible to the retrieval engine because all retrieval queries include a WHERE status = 'active' filter.</w:t>
      </w:r>
    </w:p>
    <w:p>
      <w:pPr>
        <w:spacing w:after="120"/>
      </w:pPr>
      <w:r>
        <w:t xml:space="preserve">All chunks from a single sync run share the same version_id. This enables two operations: batch rollback (delete all chunks with a given version_id if staging validation fails) and temporal diffing (compare chunks across version_ids to answer “what changed?” queries).</w:t>
      </w:r>
    </w:p>
    <w:p>
      <w:pPr>
        <w:spacing w:after="240"/>
      </w:pPr>
      <w:r>
        <w:t xml:space="preserve">Before proceeding to Stage 3, the pipeline runs a validation check on staged chunks: parse the staged content, verify metadata completeness (all required fields populated), and run a small subset of the evaluation suite against staged content to catch obvious regressions. If validation fails, the sync halts, staged chunks are deleted by version_id, and an alert fires.</w:t>
      </w:r>
    </w:p>
    <w:p>
      <w:pPr>
        <w:pStyle w:val="Heading3"/>
      </w:pPr>
      <w:r>
        <w:t xml:space="preserve">8.2.4 Stage 3: Atomic Swap</w:t>
      </w:r>
    </w:p>
    <w:p>
      <w:pPr>
        <w:spacing w:after="120"/>
      </w:pPr>
      <w:r>
        <w:t xml:space="preserve">In a single database transaction, the pipeline executes two updates for each affected section:</w:t>
      </w:r>
    </w:p>
    <w:p>
      <w:pPr>
        <w:pStyle w:val="ListParagraph"/>
        <w:numPr>
          <w:ilvl w:val="0"/>
          <w:numId w:val="3"/>
        </w:numPr>
        <w:spacing w:after="80"/>
      </w:pPr>
      <w:r>
        <w:t xml:space="preserve">Set status = 'archived' on all active chunks matching the updated cfr_reference.</w:t>
      </w:r>
    </w:p>
    <w:p>
      <w:pPr>
        <w:pStyle w:val="ListParagraph"/>
        <w:numPr>
          <w:ilvl w:val="0"/>
          <w:numId w:val="3"/>
        </w:numPr>
        <w:spacing w:after="240"/>
      </w:pPr>
      <w:r>
        <w:t xml:space="preserve">Set status = 'active' on all staged chunks matching the updated cfr_reference.</w:t>
      </w:r>
    </w:p>
    <w:p>
      <w:pPr>
        <w:spacing w:after="120"/>
      </w:pPr>
      <w:r>
        <w:t xml:space="preserve">Because both updates occur in a single transaction, there is no window where the section is absent from the index. Queries in flight either see the old version or the new version, never a partial state and never an empty result for a section that exists.</w:t>
      </w:r>
    </w:p>
    <w:p>
      <w:pPr>
        <w:spacing w:after="240"/>
      </w:pPr>
      <w:r>
        <w:t xml:space="preserve">Archived chunks are retained indefinitely. They serve two purposes: rollback (if a swap introduces regressions, reverse the transaction by re-activating archived chunks and re-archiving the new ones) and temporal queries.</w:t>
      </w:r>
    </w:p>
    <w:p>
      <w:pPr>
        <w:pStyle w:val="Heading2"/>
      </w:pPr>
      <w:r>
        <w:t xml:space="preserve">8.3 Temporal Queries: “What Changed?”</w:t>
      </w:r>
    </w:p>
    <w:p>
      <w:pPr>
        <w:spacing w:after="120"/>
      </w:pPr>
      <w:r>
        <w:t xml:space="preserve">The versioning architecture enables a new query type that has no equivalent in the Sword Coast project. When a user asks “what changed in organic labeling requirements in 2026?” the system can:</w:t>
      </w:r>
    </w:p>
    <w:p>
      <w:pPr>
        <w:pStyle w:val="ListParagraph"/>
        <w:numPr>
          <w:ilvl w:val="0"/>
          <w:numId w:val="3"/>
        </w:numPr>
        <w:spacing w:after="80"/>
      </w:pPr>
      <w:r>
        <w:t xml:space="preserve">Identify the relevant section(s) via standard retrieval against active chunks.</w:t>
      </w:r>
    </w:p>
    <w:p>
      <w:pPr>
        <w:pStyle w:val="ListParagraph"/>
        <w:numPr>
          <w:ilvl w:val="0"/>
          <w:numId w:val="3"/>
        </w:numPr>
        <w:spacing w:after="80"/>
      </w:pPr>
      <w:r>
        <w:t xml:space="preserve">Look up archived versions of those sections by cfr_reference, filtered by effective_date range.</w:t>
      </w:r>
    </w:p>
    <w:p>
      <w:pPr>
        <w:pStyle w:val="ListParagraph"/>
        <w:numPr>
          <w:ilvl w:val="0"/>
          <w:numId w:val="3"/>
        </w:numPr>
        <w:spacing w:after="240"/>
      </w:pPr>
      <w:r>
        <w:t xml:space="preserve">Pass both the current and previous versions to the LLM with a diff-oriented prompt that generates a plain-English summary of changes, the specific regulatory language that was added/modified/removed, and the CFR citations for both the old and new versions.</w:t>
      </w:r>
    </w:p>
    <w:p>
      <w:pPr>
        <w:spacing w:after="240"/>
      </w:pPr>
      <w:r>
        <w:t xml:space="preserve">This extends the three-output pattern to a fourth output type for temporal queries. It demonstrates that the versioning infrastructure is not just a maintenance pipeline — it enables capabilities that a static-corpus system cannot provide.</w:t>
      </w:r>
    </w:p>
    <w:p>
      <w:pPr>
        <w:pStyle w:val="Heading2"/>
      </w:pPr>
      <w:r>
        <w:t xml:space="preserve">8.4 Evaluation Framework for Freshness</w:t>
      </w:r>
    </w:p>
    <w:p>
      <w:pPr>
        <w:spacing w:after="240"/>
      </w:pPr>
      <w:r>
        <w:t xml:space="preserve">Phase 4 of the main project plan specifies 50–100 hand-curated evaluation queries. This phase expands the target to </w:t>
      </w:r>
      <w:r>
        <w:rPr>
          <w:b/>
          <w:bCs/>
        </w:rPr>
        <w:t xml:space="preserve">180–200 total test cases</w:t>
      </w:r>
      <w:r>
        <w:t xml:space="preserve">, structured to cover both static retrieval quality and freshness correctness.</w:t>
      </w:r>
    </w:p>
    <w:p>
      <w:pPr>
        <w:pStyle w:val="Heading3"/>
      </w:pPr>
      <w:r>
        <w:t xml:space="preserve">8.4.1 Test Case Distribution</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200"/>
        <w:gridCol w:w="1100"/>
        <w:gridCol w:w="5060"/>
      </w:tblGrid>
      <w:tr>
        <w:tc>
          <w:tcPr>
            <w:tcW w:w="3200" w:type="dxa"/>
            <w:shd w:val="clear" w:color="auto" w:fill="D5E8F0"/>
          </w:tcPr>
          <w:p>
            <w:pPr>
              <w:spacing w:after="60"/>
            </w:pPr>
            <w:r>
              <w:rPr>
                <w:b/>
                <w:bCs/>
              </w:rPr>
              <w:t xml:space="preserve">Category</w:t>
            </w:r>
          </w:p>
        </w:tc>
        <w:tc>
          <w:tcPr>
            <w:tcW w:w="1100" w:type="dxa"/>
            <w:shd w:val="clear" w:color="auto" w:fill="D5E8F0"/>
          </w:tcPr>
          <w:p>
            <w:pPr>
              <w:spacing w:after="60"/>
            </w:pPr>
            <w:r>
              <w:rPr>
                <w:b/>
                <w:bCs/>
              </w:rPr>
              <w:t xml:space="preserve">Count</w:t>
            </w:r>
          </w:p>
        </w:tc>
        <w:tc>
          <w:tcPr>
            <w:tcW w:w="5060" w:type="dxa"/>
            <w:shd w:val="clear" w:color="auto" w:fill="D5E8F0"/>
          </w:tcPr>
          <w:p>
            <w:pPr>
              <w:spacing w:after="60"/>
            </w:pPr>
            <w:r>
              <w:rPr>
                <w:b/>
                <w:bCs/>
              </w:rPr>
              <w:t xml:space="preserve">What It Tests</w:t>
            </w:r>
          </w:p>
        </w:tc>
      </w:tr>
      <w:tr>
        <w:tc>
          <w:tcPr>
            <w:tcW w:w="3200" w:type="dxa"/>
          </w:tcPr>
          <w:p>
            <w:pPr>
              <w:spacing w:after="60"/>
            </w:pPr>
            <w:r>
              <w:t xml:space="preserve">Title 7 (Agriculture)</w:t>
            </w:r>
          </w:p>
        </w:tc>
        <w:tc>
          <w:tcPr>
            <w:tcW w:w="1100" w:type="dxa"/>
          </w:tcPr>
          <w:p>
            <w:pPr>
              <w:spacing w:after="60"/>
            </w:pPr>
            <w:r>
              <w:t xml:space="preserve">50</w:t>
            </w:r>
          </w:p>
        </w:tc>
        <w:tc>
          <w:tcPr>
            <w:tcW w:w="5060" w:type="dxa"/>
          </w:tcPr>
          <w:p>
            <w:pPr>
              <w:spacing w:after="60"/>
            </w:pPr>
            <w:r>
              <w:t xml:space="preserve">Organic labeling, USDA standards, agricultural programs</w:t>
            </w:r>
          </w:p>
        </w:tc>
      </w:tr>
      <w:tr>
        <w:tc>
          <w:tcPr>
            <w:tcW w:w="3200" w:type="dxa"/>
          </w:tcPr>
          <w:p>
            <w:pPr>
              <w:spacing w:after="60"/>
            </w:pPr>
            <w:r>
              <w:t xml:space="preserve">Title 21 (Food and Drugs)</w:t>
            </w:r>
          </w:p>
        </w:tc>
        <w:tc>
          <w:tcPr>
            <w:tcW w:w="1100" w:type="dxa"/>
          </w:tcPr>
          <w:p>
            <w:pPr>
              <w:spacing w:after="60"/>
            </w:pPr>
            <w:r>
              <w:t xml:space="preserve">50</w:t>
            </w:r>
          </w:p>
        </w:tc>
        <w:tc>
          <w:tcPr>
            <w:tcW w:w="5060" w:type="dxa"/>
          </w:tcPr>
          <w:p>
            <w:pPr>
              <w:spacing w:after="60"/>
            </w:pPr>
            <w:r>
              <w:t xml:space="preserve">FDA food safety, drug labeling, device classifications</w:t>
            </w:r>
          </w:p>
        </w:tc>
      </w:tr>
      <w:tr>
        <w:tc>
          <w:tcPr>
            <w:tcW w:w="3200" w:type="dxa"/>
          </w:tcPr>
          <w:p>
            <w:pPr>
              <w:spacing w:after="60"/>
            </w:pPr>
            <w:r>
              <w:t xml:space="preserve">Title 42 (Public Health)</w:t>
            </w:r>
          </w:p>
        </w:tc>
        <w:tc>
          <w:tcPr>
            <w:tcW w:w="1100" w:type="dxa"/>
          </w:tcPr>
          <w:p>
            <w:pPr>
              <w:spacing w:after="60"/>
            </w:pPr>
            <w:r>
              <w:t xml:space="preserve">50</w:t>
            </w:r>
          </w:p>
        </w:tc>
        <w:tc>
          <w:tcPr>
            <w:tcW w:w="5060" w:type="dxa"/>
          </w:tcPr>
          <w:p>
            <w:pPr>
              <w:spacing w:after="60"/>
            </w:pPr>
            <w:r>
              <w:t xml:space="preserve">Medicare/Medicaid, communicable disease, environmental health</w:t>
            </w:r>
          </w:p>
        </w:tc>
      </w:tr>
      <w:tr>
        <w:tc>
          <w:tcPr>
            <w:tcW w:w="3200" w:type="dxa"/>
          </w:tcPr>
          <w:p>
            <w:pPr>
              <w:spacing w:after="60"/>
            </w:pPr>
            <w:r>
              <w:t xml:space="preserve">Cross-title retrieval</w:t>
            </w:r>
          </w:p>
        </w:tc>
        <w:tc>
          <w:tcPr>
            <w:tcW w:w="1100" w:type="dxa"/>
          </w:tcPr>
          <w:p>
            <w:pPr>
              <w:spacing w:after="60"/>
            </w:pPr>
            <w:r>
              <w:t xml:space="preserve">15</w:t>
            </w:r>
          </w:p>
        </w:tc>
        <w:tc>
          <w:tcPr>
            <w:tcW w:w="5060" w:type="dxa"/>
          </w:tcPr>
          <w:p>
            <w:pPr>
              <w:spacing w:after="60"/>
            </w:pPr>
            <w:r>
              <w:t xml:space="preserve">Queries requiring retrieval across multiple CFR titles</w:t>
            </w:r>
          </w:p>
        </w:tc>
      </w:tr>
      <w:tr>
        <w:tc>
          <w:tcPr>
            <w:tcW w:w="3200" w:type="dxa"/>
          </w:tcPr>
          <w:p>
            <w:pPr>
              <w:spacing w:after="60"/>
            </w:pPr>
            <w:r>
              <w:t xml:space="preserve">Ambiguous / adversarial</w:t>
            </w:r>
          </w:p>
        </w:tc>
        <w:tc>
          <w:tcPr>
            <w:tcW w:w="1100" w:type="dxa"/>
          </w:tcPr>
          <w:p>
            <w:pPr>
              <w:spacing w:after="60"/>
            </w:pPr>
            <w:r>
              <w:t xml:space="preserve">10</w:t>
            </w:r>
          </w:p>
        </w:tc>
        <w:tc>
          <w:tcPr>
            <w:tcW w:w="5060" w:type="dxa"/>
          </w:tcPr>
          <w:p>
            <w:pPr>
              <w:spacing w:after="60"/>
            </w:pPr>
            <w:r>
              <w:t xml:space="preserve">Vague queries, out-of-scope questions, trick questions</w:t>
            </w:r>
          </w:p>
        </w:tc>
      </w:tr>
      <w:tr>
        <w:tc>
          <w:tcPr>
            <w:tcW w:w="3200" w:type="dxa"/>
            <w:shd w:val="clear" w:color="auto" w:fill="E2F0D9"/>
          </w:tcPr>
          <w:p>
            <w:pPr>
              <w:spacing w:after="60"/>
            </w:pPr>
            <w:r>
              <w:rPr>
                <w:b/>
                <w:bCs/>
              </w:rPr>
              <w:t xml:space="preserve">Freshness (post-swap)</w:t>
            </w:r>
          </w:p>
        </w:tc>
        <w:tc>
          <w:tcPr>
            <w:tcW w:w="1100" w:type="dxa"/>
            <w:shd w:val="clear" w:color="auto" w:fill="E2F0D9"/>
          </w:tcPr>
          <w:p>
            <w:pPr>
              <w:spacing w:after="60"/>
            </w:pPr>
            <w:r>
              <w:rPr>
                <w:b/>
                <w:bCs/>
              </w:rPr>
              <w:t xml:space="preserve">15</w:t>
            </w:r>
          </w:p>
        </w:tc>
        <w:tc>
          <w:tcPr>
            <w:tcW w:w="5060" w:type="dxa"/>
            <w:shd w:val="clear" w:color="auto" w:fill="E2F0D9"/>
          </w:tcPr>
          <w:p>
            <w:pPr>
              <w:spacing w:after="60"/>
            </w:pPr>
            <w:r>
              <w:t xml:space="preserve">Queries targeting sections known to have been updated; must return current version only</w:t>
            </w:r>
          </w:p>
        </w:tc>
      </w:tr>
      <w:tr>
        <w:tc>
          <w:tcPr>
            <w:tcW w:w="3200" w:type="dxa"/>
            <w:shd w:val="clear" w:color="auto" w:fill="E2F0D9"/>
          </w:tcPr>
          <w:p>
            <w:pPr>
              <w:spacing w:after="60"/>
            </w:pPr>
            <w:r>
              <w:rPr>
                <w:b/>
                <w:bCs/>
              </w:rPr>
              <w:t xml:space="preserve">Temporal (“what changed?”)</w:t>
            </w:r>
          </w:p>
        </w:tc>
        <w:tc>
          <w:tcPr>
            <w:tcW w:w="1100" w:type="dxa"/>
            <w:shd w:val="clear" w:color="auto" w:fill="E2F0D9"/>
          </w:tcPr>
          <w:p>
            <w:pPr>
              <w:spacing w:after="60"/>
            </w:pPr>
            <w:r>
              <w:rPr>
                <w:b/>
                <w:bCs/>
              </w:rPr>
              <w:t xml:space="preserve">10</w:t>
            </w:r>
          </w:p>
        </w:tc>
        <w:tc>
          <w:tcPr>
            <w:tcW w:w="5060" w:type="dxa"/>
            <w:shd w:val="clear" w:color="auto" w:fill="E2F0D9"/>
          </w:tcPr>
          <w:p>
            <w:pPr>
              <w:spacing w:after="60"/>
            </w:pPr>
            <w:r>
              <w:t xml:space="preserve">Queries about regulatory changes over time; must retrieve both current and archived versions</w:t>
            </w:r>
          </w:p>
        </w:tc>
      </w:tr>
      <w:tr>
        <w:tc>
          <w:tcPr>
            <w:tcW w:w="3200" w:type="dxa"/>
            <w:shd w:val="clear" w:color="auto" w:fill="F2F2F2"/>
          </w:tcPr>
          <w:p>
            <w:pPr>
              <w:spacing w:after="60"/>
            </w:pPr>
            <w:r>
              <w:rPr>
                <w:b/>
                <w:bCs/>
              </w:rPr>
              <w:t xml:space="preserve">Total</w:t>
            </w:r>
          </w:p>
        </w:tc>
        <w:tc>
          <w:tcPr>
            <w:tcW w:w="1100" w:type="dxa"/>
            <w:shd w:val="clear" w:color="auto" w:fill="F2F2F2"/>
          </w:tcPr>
          <w:p>
            <w:pPr>
              <w:spacing w:after="60"/>
            </w:pPr>
            <w:r>
              <w:rPr>
                <w:b/>
                <w:bCs/>
              </w:rPr>
              <w:t xml:space="preserve">200</w:t>
            </w:r>
          </w:p>
        </w:tc>
        <w:tc>
          <w:tcPr>
            <w:tcW w:w="5060" w:type="dxa"/>
            <w:shd w:val="clear" w:color="auto" w:fill="F2F2F2"/>
          </w:tcPr>
          <w:p>
            <w:pPr>
              <w:spacing w:after="60"/>
            </w:pPr>
            <w:r>
              <w:t xml:space="preserve"/>
            </w:r>
          </w:p>
        </w:tc>
      </w:tr>
    </w:tbl>
    <w:p>
      <w:pPr>
        <w:spacing w:after="240" w:before="120"/>
      </w:pPr>
      <w:r>
        <w:t xml:space="preserve">The 25 freshness and temporal test cases (highlighted green) are new to this phase. They require a simulated update cycle to execute: the eval harness must trigger a sync, stage new content, execute the atomic swap, and then run the test queries against the post-swap state.</w:t>
      </w:r>
    </w:p>
    <w:p>
      <w:pPr>
        <w:pStyle w:val="Heading3"/>
      </w:pPr>
      <w:r>
        <w:t xml:space="preserve">8.4.2 New Evaluation Metrics</w:t>
      </w:r>
    </w:p>
    <w:p>
      <w:pPr>
        <w:spacing w:after="120"/>
      </w:pPr>
      <w:r>
        <w:rPr>
          <w:b/>
          <w:bCs/>
        </w:rPr>
        <w:t xml:space="preserve">Staleness rate</w:t>
      </w:r>
      <w:r>
        <w:t xml:space="preserve"> — the percentage of freshness test queries that return any chunk with status: archived. Target: 0%. This is a binary pass/fail metric. If the atomic swap is implemented correctly, this should always be zero. A non-zero staleness rate indicates a bug in the swap transaction or the retrieval filter.</w:t>
      </w:r>
    </w:p>
    <w:p>
      <w:pPr>
        <w:spacing w:after="240"/>
      </w:pPr>
      <w:r>
        <w:rPr>
          <w:b/>
          <w:bCs/>
        </w:rPr>
        <w:t xml:space="preserve">Temporal accuracy</w:t>
      </w:r>
      <w:r>
        <w:t xml:space="preserve"> — for “what changed?” queries, the percentage where the system correctly identifies the specific regulatory text that was added, modified, or removed. Scored by LLM-as-judge comparing the system’s diff summary against a hand-curated reference diff. Target: &gt;80%.</w:t>
      </w:r>
    </w:p>
    <w:p>
      <w:pPr>
        <w:pStyle w:val="Heading2"/>
      </w:pPr>
      <w:r>
        <w:t xml:space="preserve">8.5 Implementation Tasks</w:t>
      </w:r>
    </w:p>
    <w:p>
      <w:pPr>
        <w:pStyle w:val="ListParagraph"/>
        <w:numPr>
          <w:ilvl w:val="0"/>
          <w:numId w:val="3"/>
        </w:numPr>
        <w:spacing w:after="80"/>
      </w:pPr>
      <w:r>
        <w:rPr>
          <w:b/>
          <w:bCs/>
        </w:rPr>
        <w:t xml:space="preserve">Verify status and version_id columns</w:t>
      </w:r>
      <w:r>
        <w:t xml:space="preserve"> on the pgvector chunk table (installed in Phase 1). Confirm index on (cfr_reference, status) exists. If Phase 1 was built without these, add them and backfill existing chunks with status = 'active' and a v0 version_id.</w:t>
      </w:r>
    </w:p>
    <w:p>
      <w:pPr>
        <w:pStyle w:val="ListParagraph"/>
        <w:numPr>
          <w:ilvl w:val="0"/>
          <w:numId w:val="3"/>
        </w:numPr>
        <w:spacing w:after="80"/>
      </w:pPr>
      <w:r>
        <w:rPr>
          <w:b/>
          <w:bCs/>
        </w:rPr>
        <w:t xml:space="preserve">Implement change detection</w:t>
      </w:r>
      <w:r>
        <w:t xml:space="preserve"> in the weekly sync job. Call the eCFR versioner API, compare effective_dates, produce the change manifest JSON. Add the 20% threshold alert.</w:t>
      </w:r>
    </w:p>
    <w:p>
      <w:pPr>
        <w:pStyle w:val="ListParagraph"/>
        <w:numPr>
          <w:ilvl w:val="0"/>
          <w:numId w:val="3"/>
        </w:numPr>
        <w:spacing w:after="80"/>
      </w:pPr>
      <w:r>
        <w:rPr>
          <w:b/>
          <w:bCs/>
        </w:rPr>
        <w:t xml:space="preserve">Implement staged ingestion</w:t>
      </w:r>
      <w:r>
        <w:t xml:space="preserve">. Modify the ingestion pipeline to accept a target status parameter (default: active for initial load, staged for sync updates). Assign version_id per sync run.</w:t>
      </w:r>
    </w:p>
    <w:p>
      <w:pPr>
        <w:pStyle w:val="ListParagraph"/>
        <w:numPr>
          <w:ilvl w:val="0"/>
          <w:numId w:val="3"/>
        </w:numPr>
        <w:spacing w:after="80"/>
      </w:pPr>
      <w:r>
        <w:rPr>
          <w:b/>
          <w:bCs/>
        </w:rPr>
        <w:t xml:space="preserve">Implement staging validation</w:t>
      </w:r>
      <w:r>
        <w:t xml:space="preserve">. Run metadata completeness checks and a subset of the eval suite against staged chunks before swap. Fail-safe: delete staged chunks and alert on failure.</w:t>
      </w:r>
    </w:p>
    <w:p>
      <w:pPr>
        <w:pStyle w:val="ListParagraph"/>
        <w:numPr>
          <w:ilvl w:val="0"/>
          <w:numId w:val="3"/>
        </w:numPr>
        <w:spacing w:after="80"/>
      </w:pPr>
      <w:r>
        <w:rPr>
          <w:b/>
          <w:bCs/>
        </w:rPr>
        <w:t xml:space="preserve">Implement atomic swap</w:t>
      </w:r>
      <w:r>
        <w:t xml:space="preserve">. Single-transaction UPDATE that archives old chunks and activates staged chunks for each affected cfr_reference. Add rollback capability by version_id.</w:t>
      </w:r>
    </w:p>
    <w:p>
      <w:pPr>
        <w:pStyle w:val="ListParagraph"/>
        <w:numPr>
          <w:ilvl w:val="0"/>
          <w:numId w:val="3"/>
        </w:numPr>
        <w:spacing w:after="80"/>
      </w:pPr>
      <w:r>
        <w:rPr>
          <w:b/>
          <w:bCs/>
        </w:rPr>
        <w:t xml:space="preserve">Add retrieval filter</w:t>
      </w:r>
      <w:r>
        <w:t xml:space="preserve">. Ensure all retrieval queries include WHERE status = 'active' (enforced in Phase 1/2). Add a temporal retrieval path that queries archived chunks by cfr_reference and effective_date range.</w:t>
      </w:r>
    </w:p>
    <w:p>
      <w:pPr>
        <w:pStyle w:val="ListParagraph"/>
        <w:numPr>
          <w:ilvl w:val="0"/>
          <w:numId w:val="3"/>
        </w:numPr>
        <w:spacing w:after="80"/>
      </w:pPr>
      <w:r>
        <w:rPr>
          <w:b/>
          <w:bCs/>
        </w:rPr>
        <w:t xml:space="preserve">Implement temporal query handler</w:t>
      </w:r>
      <w:r>
        <w:t xml:space="preserve">. Detect “what changed” intent in user queries. Retrieve both current and archived versions. Generate diff-oriented output using a specialized prompt template.</w:t>
      </w:r>
    </w:p>
    <w:p>
      <w:pPr>
        <w:pStyle w:val="ListParagraph"/>
        <w:numPr>
          <w:ilvl w:val="0"/>
          <w:numId w:val="3"/>
        </w:numPr>
        <w:spacing w:after="80"/>
      </w:pPr>
      <w:r>
        <w:rPr>
          <w:b/>
          <w:bCs/>
        </w:rPr>
        <w:t xml:space="preserve">Write freshness and temporal evaluation test cases</w:t>
      </w:r>
      <w:r>
        <w:t xml:space="preserve"> (25 total). Build the simulated update harness that triggers a sync cycle before running these tests.</w:t>
      </w:r>
    </w:p>
    <w:p>
      <w:pPr>
        <w:pStyle w:val="ListParagraph"/>
        <w:numPr>
          <w:ilvl w:val="0"/>
          <w:numId w:val="3"/>
        </w:numPr>
        <w:spacing w:after="80"/>
      </w:pPr>
      <w:r>
        <w:rPr>
          <w:b/>
          <w:bCs/>
        </w:rPr>
        <w:t xml:space="preserve">Add sync logging and monitoring</w:t>
      </w:r>
      <w:r>
        <w:t xml:space="preserve">. Log each sync run: timestamp, change manifest, sections swapped, validation results. Surface sync status in the /health API endpoint.</w:t>
      </w:r>
    </w:p>
    <w:p>
      <w:pPr>
        <w:pStyle w:val="ListParagraph"/>
        <w:numPr>
          <w:ilvl w:val="0"/>
          <w:numId w:val="3"/>
        </w:numPr>
        <w:spacing w:after="240"/>
      </w:pPr>
      <w:r>
        <w:rPr>
          <w:b/>
          <w:bCs/>
        </w:rPr>
        <w:t xml:space="preserve">Write the case study</w:t>
      </w:r>
      <w:r>
        <w:t xml:space="preserve">. Document the staleness problem, the architectural decision (versioned replacement vs. alternatives), evaluation results, and lessons learned. Structure for interview discussion.</w:t>
      </w:r>
    </w:p>
    <w:p>
      <w:pPr>
        <w:pStyle w:val="Heading2"/>
      </w:pPr>
      <w:r>
        <w:t xml:space="preserve">8.6 Alternatives Considered</w:t>
      </w:r>
    </w:p>
    <w:p>
      <w:pPr>
        <w:spacing w:after="240"/>
      </w:pPr>
      <w:r>
        <w:t xml:space="preserve">The versioned replacement approach was chosen over three alternatives, each of which has tradeoffs worth documenting in the case study:</w:t>
      </w:r>
    </w:p>
    <w:p>
      <w:pPr>
        <w:spacing w:after="120"/>
      </w:pPr>
      <w:r>
        <w:rPr>
          <w:b/>
          <w:bCs/>
        </w:rPr>
        <w:t xml:space="preserve">Hard delete and re-ingest.</w:t>
      </w:r>
      <w:r>
        <w:t xml:space="preserve"> Delete old chunks, then insert new ones. Simpler to implement, but creates a window where the section is absent from the index. Any query hitting that window returns no results for a valid regulation. Also loses version history, preventing temporal queries and rollback.</w:t>
      </w:r>
    </w:p>
    <w:p>
      <w:pPr>
        <w:spacing w:after="120"/>
      </w:pPr>
      <w:r>
        <w:rPr>
          <w:b/>
          <w:bCs/>
        </w:rPr>
        <w:t xml:space="preserve">Full corpus re-ingestion.</w:t>
      </w:r>
      <w:r>
        <w:t xml:space="preserve"> Re-ingest the entire title on every sync. Avoids the section-level complexity but is wasteful (re-embedding thousands of unchanged chunks), expensive (embedding API costs scale with corpus size, not change size), and slow. Incompatible with the weekly cadence goal at full 50-title scale.</w:t>
      </w:r>
    </w:p>
    <w:p>
      <w:pPr>
        <w:spacing w:after="240"/>
      </w:pPr>
      <w:r>
        <w:rPr>
          <w:b/>
          <w:bCs/>
        </w:rPr>
        <w:t xml:space="preserve">Timestamp-based filtering at query time.</w:t>
      </w:r>
      <w:r>
        <w:t xml:space="preserve"> Keep all versions active and filter by effective_date at retrieval time. Avoids the swap complexity but pushes the freshness logic into every query, adds latency, and risks subtle bugs where the filter is forgotten or misconfigured on a single query path. The versioned replacement approach centralizes freshness enforcement in the sync pipeline rather than distributing it across all retrieval paths.</w:t>
      </w:r>
    </w:p>
    <w:p>
      <w:pPr>
        <w:pStyle w:val="Heading2"/>
      </w:pPr>
      <w:r>
        <w:t xml:space="preserve">8.7 Case Study Outline</w:t>
      </w:r>
    </w:p>
    <w:p>
      <w:pPr>
        <w:spacing w:after="240"/>
      </w:pPr>
      <w:r>
        <w:t xml:space="preserve">The case study for this project is structured around the corpus freshness problem. It follows the same format as the D&amp;D evaluation case study (problem → approach → results → lessons) but focuses on a different dimension of RAG system quality.</w:t>
      </w:r>
    </w:p>
    <w:p>
      <w:pPr>
        <w:spacing w:after="120"/>
      </w:pPr>
      <w:r>
        <w:rPr>
          <w:b/>
          <w:bCs/>
        </w:rPr>
        <w:t xml:space="preserve">Section 1: The Problem.</w:t>
      </w:r>
      <w:r>
        <w:t xml:space="preserve"> RAG systems that serve regulatory content must guarantee that retrieved text reflects current law. A system that returns superseded regulations is worse than returning nothing, because users may act on outdated requirements. This is not a hypothetical risk — federal regulations change continuously through the Federal Register, and even a single outdated section can lead to compliance failures.</w:t>
      </w:r>
    </w:p>
    <w:p>
      <w:pPr>
        <w:spacing w:after="120"/>
      </w:pPr>
      <w:r>
        <w:rPr>
          <w:b/>
          <w:bCs/>
        </w:rPr>
        <w:t xml:space="preserve">Section 2: The Approach.</w:t>
      </w:r>
      <w:r>
        <w:t xml:space="preserve"> Versioned replacement with soft-delete and atomic swap. Document the three-stage pipeline, the schema design, and the tradeoffs against alternatives (hard delete, full re-ingestion, query-time filtering). Explain why atomicity matters and how the design eliminates the window of inconsistency.</w:t>
      </w:r>
    </w:p>
    <w:p>
      <w:pPr>
        <w:spacing w:after="120"/>
      </w:pPr>
      <w:r>
        <w:rPr>
          <w:b/>
          <w:bCs/>
        </w:rPr>
        <w:t xml:space="preserve">Section 3: Evaluation Results.</w:t>
      </w:r>
      <w:r>
        <w:t xml:space="preserve"> Present the staleness rate metric (target: 0%) and temporal accuracy metric (target: &gt;80%). Show eval results across the full 200-case test suite, with breakdowns by category. Highlight the freshness test cases specifically.</w:t>
      </w:r>
    </w:p>
    <w:p>
      <w:pPr>
        <w:spacing w:after="120"/>
      </w:pPr>
      <w:r>
        <w:rPr>
          <w:b/>
          <w:bCs/>
        </w:rPr>
        <w:t xml:space="preserve">Section 4: The Bonus — Temporal Queries.</w:t>
      </w:r>
      <w:r>
        <w:t xml:space="preserve"> Demonstrate that the versioning architecture enables a new capability: answering “what changed?” queries. This turns a maintenance requirement into a user-facing feature, which is the kind of product thinking that distinguishes a PM-built system.</w:t>
      </w:r>
    </w:p>
    <w:p>
      <w:pPr>
        <w:spacing w:after="240"/>
      </w:pPr>
      <w:r>
        <w:rPr>
          <w:b/>
          <w:bCs/>
        </w:rPr>
        <w:t xml:space="preserve">Section 5: Lessons and Generalization.</w:t>
      </w:r>
      <w:r>
        <w:t xml:space="preserve"> The versioned replacement pattern is not specific to regulations. Any RAG system over a corpus that changes — product documentation, knowledge bases, policy manuals, medical guidelines — faces the same staleness problem. Document how the pattern generalizes and what would need to change for different update cadences or corpus types.</w:t>
      </w:r>
    </w:p>
    <w:p>
      <w:pPr>
        <w:pStyle w:val="Heading2"/>
      </w:pPr>
      <w:r>
        <w:t xml:space="preserve">8.8 Success Criteria</w:t>
      </w:r>
    </w:p>
    <w:p>
      <w:pPr>
        <w:pStyle w:val="ListParagraph"/>
        <w:numPr>
          <w:ilvl w:val="0"/>
          <w:numId w:val="2"/>
        </w:numPr>
        <w:spacing w:after="80"/>
      </w:pPr>
      <w:r>
        <w:rPr>
          <w:b/>
          <w:bCs/>
        </w:rPr>
        <w:t xml:space="preserve">Staleness rate: 0%</w:t>
      </w:r>
      <w:r>
        <w:t xml:space="preserve"> — no freshness test query returns archived content after a swap</w:t>
      </w:r>
    </w:p>
    <w:p>
      <w:pPr>
        <w:pStyle w:val="ListParagraph"/>
        <w:numPr>
          <w:ilvl w:val="0"/>
          <w:numId w:val="2"/>
        </w:numPr>
        <w:spacing w:after="80"/>
      </w:pPr>
      <w:r>
        <w:rPr>
          <w:b/>
          <w:bCs/>
        </w:rPr>
        <w:t xml:space="preserve">Temporal accuracy: &gt;80%</w:t>
      </w:r>
      <w:r>
        <w:t xml:space="preserve"> — “what changed?” queries correctly identify the specific regulatory changes</w:t>
      </w:r>
    </w:p>
    <w:p>
      <w:pPr>
        <w:pStyle w:val="ListParagraph"/>
        <w:numPr>
          <w:ilvl w:val="0"/>
          <w:numId w:val="2"/>
        </w:numPr>
        <w:spacing w:after="80"/>
      </w:pPr>
      <w:r>
        <w:rPr>
          <w:b/>
          <w:bCs/>
        </w:rPr>
        <w:t xml:space="preserve">Swap latency: &lt;2 seconds</w:t>
      </w:r>
      <w:r>
        <w:t xml:space="preserve"> — the atomic swap transaction completes within 2 seconds for any single section update</w:t>
      </w:r>
    </w:p>
    <w:p>
      <w:pPr>
        <w:pStyle w:val="ListParagraph"/>
        <w:numPr>
          <w:ilvl w:val="0"/>
          <w:numId w:val="2"/>
        </w:numPr>
        <w:spacing w:after="80"/>
      </w:pPr>
      <w:r>
        <w:rPr>
          <w:b/>
          <w:bCs/>
        </w:rPr>
        <w:t xml:space="preserve">Zero-downtime updates</w:t>
      </w:r>
      <w:r>
        <w:t xml:space="preserve"> — no query returns an empty result for a section that exists during a sync cycle</w:t>
      </w:r>
    </w:p>
    <w:p>
      <w:pPr>
        <w:pStyle w:val="ListParagraph"/>
        <w:numPr>
          <w:ilvl w:val="0"/>
          <w:numId w:val="2"/>
        </w:numPr>
        <w:spacing w:after="80"/>
      </w:pPr>
      <w:r>
        <w:rPr>
          <w:b/>
          <w:bCs/>
        </w:rPr>
        <w:t xml:space="preserve">Rollback capability</w:t>
      </w:r>
      <w:r>
        <w:t xml:space="preserve"> — any swap can be reversed by version_id within 30 seconds</w:t>
      </w:r>
    </w:p>
    <w:p>
      <w:pPr>
        <w:pStyle w:val="ListParagraph"/>
        <w:numPr>
          <w:ilvl w:val="0"/>
          <w:numId w:val="2"/>
        </w:numPr>
        <w:spacing w:after="80"/>
      </w:pPr>
      <w:r>
        <w:rPr>
          <w:b/>
          <w:bCs/>
        </w:rPr>
        <w:t xml:space="preserve">200 total evaluation test cases</w:t>
      </w:r>
      <w:r>
        <w:t xml:space="preserve"> written, passing, and documented</w:t>
      </w:r>
    </w:p>
    <w:p>
      <w:pPr>
        <w:pStyle w:val="ListParagraph"/>
        <w:numPr>
          <w:ilvl w:val="0"/>
          <w:numId w:val="2"/>
        </w:numPr>
        <w:spacing w:after="240"/>
      </w:pPr>
      <w:r>
        <w:rPr>
          <w:b/>
          <w:bCs/>
        </w:rPr>
        <w:t xml:space="preserve">Case study complete</w:t>
      </w:r>
      <w:r>
        <w:t xml:space="preserve"> — published as white paper and structured for interview walkthrough</w:t>
      </w:r>
    </w:p>
    <w:p>
      <w:pPr>
        <w:pStyle w:val="Heading2"/>
      </w:pPr>
      <w:r>
        <w:t xml:space="preserve">8.9 Dependencies and Sequencing</w:t>
      </w:r>
    </w:p>
    <w:p>
      <w:pPr>
        <w:spacing w:after="120"/>
      </w:pPr>
      <w:r>
        <w:t xml:space="preserve">This phase depends on Phase 1 (ingestion pipeline with effective_date metadata and version-aware schema), Phase 2 (pgvector retrieval layer), and Phase 4 (evaluation framework). It can be developed in parallel with Phase 3 (three-output generation) because the versioning logic operates at the chunk storage layer, not the generation layer. The temporal query handler (task 7) depends on Phase 3 because it uses the generation pipeline to produce diff summaries.</w:t>
      </w:r>
    </w:p>
    <w:p>
      <w:pPr>
        <w:spacing w:after="240"/>
      </w:pPr>
      <w:r>
        <w:t xml:space="preserve">Recommended sequencing: implement tasks 1–6 immediately after Phase 2 is complete. Implement task 7 after Phase 3. Write test cases (task 8) in parallel with implementation. Write the case study (task 10) after evaluation results are available.</w:t>
      </w:r>
    </w:p>
    <w:p>
      <w:pPr>
        <w:pStyle w:val="Heading1"/>
      </w:pPr>
      <w:r>
        <w:t xml:space="preserve">9. Phase 9: Corpus Expansion (Post-Launch)</w:t>
      </w:r>
    </w:p>
    <w:p>
      <w:pPr>
        <w:spacing w:after="120"/>
      </w:pPr>
      <w:r>
        <w:t xml:space="preserve">After Phases 0–7 are complete and the system is live with the starter titles (7, 21, 42), expand the corpus to cover all 50 CFR titles. This phase validates that the architecture scales and surfaces any issues with larger corpus sizes before the system is widely shared.</w:t>
      </w:r>
    </w:p>
    <w:p>
      <w:pPr>
        <w:pStyle w:val="Heading2"/>
      </w:pPr>
      <w:r>
        <w:t xml:space="preserve">Scope</w:t>
      </w:r>
    </w:p>
    <w:p>
      <w:pPr>
        <w:spacing w:after="120"/>
      </w:pPr>
      <w:r>
        <w:t xml:space="preserve">The full CFR is approximately 190,000+ printed pages across 245 volumes, containing an estimated 105+ million words. As structured XML from the eCFR API, this translates to roughly 1–2 GB of raw text and 300,000–400,000 chunks after parsing. The pgvector index for the full corpus will require approximately 1.5–2.5 GB of storage (at 1536 dimensions per embedding). Ingesting and embedding the full corpus is projected to take 6–10 hours of wall time at standard OpenAI rate limits, with an embedding API cost of roughly $10–30.</w:t>
      </w:r>
    </w:p>
    <w:p>
      <w:pPr>
        <w:pStyle w:val="Heading2"/>
      </w:pPr>
      <w:r>
        <w:t xml:space="preserve">Tasks</w:t>
      </w:r>
    </w:p>
    <w:p>
      <w:pPr>
        <w:pStyle w:val="ListParagraph"/>
        <w:numPr>
          <w:ilvl w:val="0"/>
          <w:numId w:val="2"/>
        </w:numPr>
        <w:spacing w:after="80"/>
      </w:pPr>
      <w:r>
        <w:t xml:space="preserve">Batch ingest remaining CFR titles (4–50, excluding already-ingested 7, 21, 42). Run in batches of 5–10 titles to monitor for parsing errors and embedding API rate limits.</w:t>
      </w:r>
    </w:p>
    <w:p>
      <w:pPr>
        <w:pStyle w:val="ListParagraph"/>
        <w:numPr>
          <w:ilvl w:val="0"/>
          <w:numId w:val="2"/>
        </w:numPr>
        <w:spacing w:after="80"/>
      </w:pPr>
      <w:r>
        <w:t xml:space="preserve">Validate — don’t re-sweep — the Phase 4 winning configuration at full corpus scale. Re-run the evaluation suite against the expanded corpus to confirm retrieval quality holds; only revisit chunking/reranking parameters if metrics degrade meaningfully. Watch for precision degradation as irrelevant titles introduce noise.</w:t>
      </w:r>
    </w:p>
    <w:p>
      <w:pPr>
        <w:pStyle w:val="ListParagraph"/>
        <w:numPr>
          <w:ilvl w:val="0"/>
          <w:numId w:val="2"/>
        </w:numPr>
        <w:spacing w:after="80"/>
      </w:pPr>
      <w:r>
        <w:t xml:space="preserve">Tune pgvector indexing for the larger dataset — evaluate IVFFlat vs. HNSW index types, adjust index parameters (lists, ef_construction) based on query latency at full scale.</w:t>
      </w:r>
    </w:p>
    <w:p>
      <w:pPr>
        <w:pStyle w:val="ListParagraph"/>
        <w:numPr>
          <w:ilvl w:val="0"/>
          <w:numId w:val="2"/>
        </w:numPr>
        <w:spacing w:after="80"/>
      </w:pPr>
      <w:r>
        <w:t xml:space="preserve">Expand the evaluation dataset with questions spanning newly ingested titles to ensure coverage beyond the original starter domains.</w:t>
      </w:r>
    </w:p>
    <w:p>
      <w:pPr>
        <w:pStyle w:val="ListParagraph"/>
        <w:numPr>
          <w:ilvl w:val="0"/>
          <w:numId w:val="2"/>
        </w:numPr>
        <w:spacing w:after="80"/>
      </w:pPr>
      <w:r>
        <w:t xml:space="preserve">Verify the weekly refresh pipeline handles full-corpus updates without timeouts or duplicate chunks.</w:t>
      </w:r>
    </w:p>
    <w:p>
      <w:pPr>
        <w:pStyle w:val="ListParagraph"/>
        <w:numPr>
          <w:ilvl w:val="0"/>
          <w:numId w:val="2"/>
        </w:numPr>
        <w:spacing w:after="80"/>
      </w:pPr>
      <w:r>
        <w:t xml:space="preserve">Monitor DigitalOcean droplet resource usage (disk, RAM, CPU) under full corpus load. Determine if the current droplet tier is sufficient or if an upgrade is needed.</w:t>
      </w:r>
    </w:p>
    <w:p>
      <w:pPr>
        <w:pStyle w:val="ListParagraph"/>
        <w:numPr>
          <w:ilvl w:val="0"/>
          <w:numId w:val="2"/>
        </w:numPr>
        <w:spacing w:after="240"/>
      </w:pPr>
      <w:r>
        <w:t xml:space="preserve">Update the /titles API endpoint and frontend filter dropdown to reflect all 50 available titles.</w:t>
      </w:r>
    </w:p>
    <w:p>
      <w:pPr>
        <w:pStyle w:val="Heading2"/>
      </w:pPr>
      <w:r>
        <w:t xml:space="preserve">Estimated Effort</w:t>
      </w:r>
    </w:p>
    <w:p>
      <w:pPr>
        <w:spacing w:after="120"/>
      </w:pPr>
      <w:r>
        <w:t xml:space="preserve">Ingestion: 6–10 hours of wall time to embed all 50 titles (API throughput dependent), approximately $10–30 in embedding API costs, ~1.5–2.5 GB of added pgvector storage. Validation and tuning: 1–2 sessions — the configuration from Phase 4 is the starting point, not a restart. The ingestion pipeline built in Phase 1 should handle this with no code changes — if it doesn’t, that’s a signal the pipeline wasn’t generalized enough.</w:t>
      </w:r>
    </w:p>
    <w:p>
      <w:pPr>
        <w:pStyle w:val="Heading2"/>
      </w:pPr>
      <w:r>
        <w:t xml:space="preserve">Success Criteria for Corpus Expansion</w:t>
      </w:r>
    </w:p>
    <w:p>
      <w:pPr>
        <w:pStyle w:val="ListParagraph"/>
        <w:numPr>
          <w:ilvl w:val="0"/>
          <w:numId w:val="2"/>
        </w:numPr>
        <w:spacing w:after="80"/>
      </w:pPr>
      <w:r>
        <w:t xml:space="preserve">All 50 titles ingested with &lt;5% parsing errors</w:t>
      </w:r>
    </w:p>
    <w:p>
      <w:pPr>
        <w:pStyle w:val="ListParagraph"/>
        <w:numPr>
          <w:ilvl w:val="0"/>
          <w:numId w:val="2"/>
        </w:numPr>
        <w:spacing w:after="80"/>
      </w:pPr>
      <w:r>
        <w:t xml:space="preserve">Retrieval precision on starter-title eval questions does not degrade by more than 5% after expansion</w:t>
      </w:r>
    </w:p>
    <w:p>
      <w:pPr>
        <w:pStyle w:val="ListParagraph"/>
        <w:numPr>
          <w:ilvl w:val="0"/>
          <w:numId w:val="2"/>
        </w:numPr>
        <w:spacing w:after="80"/>
      </w:pPr>
      <w:r>
        <w:t xml:space="preserve">P95 query latency remains &lt;800ms at full corpus scale</w:t>
      </w:r>
    </w:p>
    <w:p>
      <w:pPr>
        <w:pStyle w:val="ListParagraph"/>
        <w:numPr>
          <w:ilvl w:val="0"/>
          <w:numId w:val="2"/>
        </w:numPr>
        <w:spacing w:after="240"/>
      </w:pPr>
      <w:r>
        <w:t xml:space="preserve">Weekly refresh pipeline completes without manual intervention</w:t>
      </w:r>
    </w:p>
    <w:p>
      <w:pPr>
        <w:pBdr>
          <w:top w:val="single" w:color="CCCCCC" w:sz="6"/>
        </w:pBdr>
        <w:spacing w:after="120" w:before="240"/>
      </w:pPr>
      <w:r>
        <w:t xml:space="preserve"/>
      </w:r>
    </w:p>
    <w:p>
      <w:pPr>
        <w:spacing w:after="80"/>
        <w:jc w:val="center"/>
      </w:pPr>
      <w:r>
        <w:rPr>
          <w:b/>
          <w:bCs/>
          <w:sz w:val="22"/>
          <w:szCs w:val="22"/>
        </w:rPr>
        <w:t xml:space="preserve">Legal Disclaimer</w:t>
      </w:r>
    </w:p>
    <w:p>
      <w:pPr>
        <w:spacing w:after="120"/>
        <w:jc w:val="center"/>
      </w:pPr>
      <w:r>
        <w:rPr>
          <w:i/>
          <w:iCs/>
          <w:sz w:val="20"/>
          <w:szCs w:val="20"/>
        </w:rPr>
        <w:t xml:space="preserve">This tool provides information about federal regulations for educational purposes. It is not legal advice. Consult a qualified attorney for legal guidance.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2026-04-09T15:27:05.455Z</dcterms:created>
  <dcterms:modified xsi:type="dcterms:W3CDTF">2026-04-09T15:27:05.455Z</dcterms:modified>
</cp:coreProperties>
</file>

<file path=docProps/custom.xml><?xml version="1.0" encoding="utf-8"?>
<Properties xmlns="http://schemas.openxmlformats.org/officeDocument/2006/custom-properties" xmlns:vt="http://schemas.openxmlformats.org/officeDocument/2006/docPropsVTypes"/>
</file>