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2E75B6"/>
          <w:sz w:val="44"/>
          <w:szCs w:val="44"/>
        </w:rPr>
        <w:t xml:space="preserve">Hyperlocal Weather Forecasting</w:t>
      </w:r>
    </w:p>
    <w:p>
      <w:pPr>
        <w:spacing w:after="120"/>
        <w:jc w:val="left"/>
      </w:pPr>
      <w:r>
        <w:rPr>
          <w:rFonts w:ascii="Arial" w:cs="Arial" w:eastAsia="Arial" w:hAnsi="Arial"/>
          <w:b/>
          <w:bCs/>
          <w:sz w:val="30"/>
          <w:szCs w:val="30"/>
        </w:rPr>
        <w:t xml:space="preserve">Phase 7 &amp; 8 Plan: Network Features and Hardware Portability</w:t>
      </w:r>
    </w:p>
    <w:p>
      <w:pPr>
        <w:spacing w:after="360"/>
      </w:pPr>
      <w:r>
        <w:rPr>
          <w:rFonts w:ascii="Arial" w:cs="Arial" w:eastAsia="Arial" w:hAnsi="Arial"/>
          <w:i/>
          <w:iCs/>
          <w:color w:val="595959"/>
          <w:sz w:val="22"/>
          <w:szCs w:val="22"/>
        </w:rPr>
        <w:t xml:space="preserve">Author: Brad Hinkel · Date: May 2026 · Version 1.0</w:t>
      </w:r>
    </w:p>
    <w:p>
      <w:pPr>
        <w:pStyle w:val="Heading1"/>
        <w:spacing w:after="160" w:before="320"/>
      </w:pPr>
      <w:r>
        <w:rPr>
          <w:rFonts w:ascii="Arial" w:cs="Arial" w:eastAsia="Arial" w:hAnsi="Arial"/>
          <w:b/>
          <w:bCs/>
          <w:color w:val="2E75B6"/>
          <w:sz w:val="32"/>
          <w:szCs w:val="32"/>
        </w:rPr>
        <w:t xml:space="preserve">1. Context and rationale</w:t>
      </w:r>
    </w:p>
    <w:p>
      <w:pPr>
        <w:spacing w:after="120"/>
      </w:pPr>
      <w:r>
        <w:rPr>
          <w:rFonts w:ascii="Arial" w:cs="Arial" w:eastAsia="Arial" w:hAnsi="Arial"/>
          <w:sz w:val="22"/>
          <w:szCs w:val="22"/>
        </w:rPr>
        <w:t xml:space="preserve">The first six phases of this project built a working hyperlocal forecasting service: Ecowitt-based observation ingestion, TimescaleDB storage, FastAPI service, Open-Meteo NWP integration, and an XGBoost correction model. Early results on temperature are encouraging — RMSE of 1.20°F against 2.27°F for the regional NWS forecast, on a 72-observation test window.</w:t>
      </w:r>
    </w:p>
    <w:p>
      <w:pPr>
        <w:spacing w:after="120"/>
      </w:pPr>
      <w:r>
        <w:rPr>
          <w:rFonts w:ascii="Arial" w:cs="Arial" w:eastAsia="Arial" w:hAnsi="Arial"/>
          <w:sz w:val="22"/>
          <w:szCs w:val="22"/>
        </w:rPr>
        <w:t xml:space="preserve">The numbers, while promising, are not pitch-ready. The sample is too small to claim generalization across weather regimes, rain forecasting has not yet been attempted, and the differentiating thesis of the project — that a dense PWS network plus directional leading-indicator features outperforms sparse NWP — is currently a hypothesis backed by published research, not by measured evidence on my own data.</w:t>
      </w:r>
    </w:p>
    <w:p>
      <w:pPr>
        <w:spacing w:after="120"/>
      </w:pPr>
      <w:r>
        <w:rPr>
          <w:rFonts w:ascii="Arial" w:cs="Arial" w:eastAsia="Arial" w:hAnsi="Arial"/>
          <w:sz w:val="22"/>
          <w:szCs w:val="22"/>
        </w:rPr>
        <w:t xml:space="preserve">Phases 7 and 8 close those gaps. Phase 7 converts the network thesis into a quantified experimental result: not whether network features help, but how many stations, at what distances, in what directions, and under what conditions. Phase 8 adds a second hardware vendor (Ambient Weather WS-2902C) to prove the forecasting layer is hardware-agnostic, producing a documented integration playbook that becomes the central pitch artifact for licensing the service to Rachio, Davis, Ambient, or similar buyers.</w:t>
      </w:r>
    </w:p>
    <w:p>
      <w:pPr>
        <w:spacing w:after="120"/>
      </w:pPr>
      <w:r>
        <w:rPr>
          <w:rFonts w:ascii="Arial" w:cs="Arial" w:eastAsia="Arial" w:hAnsi="Arial"/>
          <w:sz w:val="22"/>
          <w:szCs w:val="22"/>
        </w:rPr>
        <w:t xml:space="preserve">Taken together, these two phases turn the project from a single-station demo into a generalizable forecasting service with empirical backing — the form of evidence a sophisticated buyer needs to engage seriously.</w:t>
      </w:r>
    </w:p>
    <w:p>
      <w:pPr>
        <w:pStyle w:val="Heading1"/>
        <w:spacing w:after="160" w:before="320"/>
      </w:pPr>
      <w:r>
        <w:rPr>
          <w:rFonts w:ascii="Arial" w:cs="Arial" w:eastAsia="Arial" w:hAnsi="Arial"/>
          <w:b/>
          <w:bCs/>
          <w:color w:val="2E75B6"/>
          <w:sz w:val="32"/>
          <w:szCs w:val="32"/>
        </w:rPr>
        <w:t xml:space="preserve">2. Phase 7 — Crowdsourced PWS network layer</w:t>
      </w:r>
    </w:p>
    <w:p>
      <w:pPr>
        <w:pStyle w:val="Heading2"/>
        <w:spacing w:after="120" w:before="240"/>
      </w:pPr>
      <w:r>
        <w:rPr>
          <w:rFonts w:ascii="Arial" w:cs="Arial" w:eastAsia="Arial" w:hAnsi="Arial"/>
          <w:b/>
          <w:bCs/>
          <w:color w:val="000000"/>
          <w:sz w:val="26"/>
          <w:szCs w:val="26"/>
        </w:rPr>
        <w:t xml:space="preserve">Strategic rationale</w:t>
      </w:r>
    </w:p>
    <w:p>
      <w:pPr>
        <w:spacing w:after="120"/>
      </w:pPr>
      <w:r>
        <w:rPr>
          <w:rFonts w:ascii="Arial" w:cs="Arial" w:eastAsia="Arial" w:hAnsi="Arial"/>
          <w:sz w:val="22"/>
          <w:szCs w:val="22"/>
        </w:rPr>
        <w:t xml:space="preserve">The project’s differentiating claim is that a network of nearby PWS stations carries information not present in regional NWP — specifically, upwind stations act as leading indicators for what air mass is about to arrive. This is plausible and supported by published research, but it remains unproven on this specific location, this specific NWP baseline, and this specific PWS distribution. Phase 7 is designed not just to add network features, but to characterize their value precisely enough to make defensible pitch claims and to inform an adoption threshold (“you need at least N stations within D km for this service to help your customers”).</w:t>
      </w:r>
    </w:p>
    <w:p>
      <w:pPr>
        <w:pStyle w:val="Heading2"/>
        <w:spacing w:after="120" w:before="240"/>
      </w:pPr>
      <w:r>
        <w:rPr>
          <w:rFonts w:ascii="Arial" w:cs="Arial" w:eastAsia="Arial" w:hAnsi="Arial"/>
          <w:b/>
          <w:bCs/>
          <w:color w:val="000000"/>
          <w:sz w:val="26"/>
          <w:szCs w:val="26"/>
        </w:rPr>
        <w:t xml:space="preserve">Experimental questions</w:t>
      </w:r>
    </w:p>
    <w:p>
      <w:pPr>
        <w:spacing w:after="120"/>
      </w:pPr>
      <w:r>
        <w:rPr>
          <w:rFonts w:ascii="Arial" w:cs="Arial" w:eastAsia="Arial" w:hAnsi="Arial"/>
          <w:sz w:val="22"/>
          <w:szCs w:val="22"/>
        </w:rPr>
        <w:t xml:space="preserve">The work answers eight questions, pre-registered before running the ablations to avoid post-hoc rationalization:</w:t>
      </w:r>
    </w:p>
    <w:p>
      <w:pPr>
        <w:pStyle w:val="ListParagraph"/>
        <w:numPr>
          <w:ilvl w:val="0"/>
          <w:numId w:val="2"/>
        </w:numPr>
        <w:spacing w:after="60"/>
      </w:pPr>
      <w:r>
        <w:rPr>
          <w:rFonts w:ascii="Arial" w:cs="Arial" w:eastAsia="Arial" w:hAnsi="Arial"/>
          <w:b/>
          <w:bCs/>
          <w:sz w:val="22"/>
          <w:szCs w:val="22"/>
        </w:rPr>
        <w:t xml:space="preserve">Q1. </w:t>
      </w:r>
      <w:r>
        <w:rPr>
          <w:rFonts w:ascii="Arial" w:cs="Arial" w:eastAsia="Arial" w:hAnsi="Arial"/>
          <w:sz w:val="22"/>
          <w:szCs w:val="22"/>
        </w:rPr>
        <w:t xml:space="preserve">Does adding upwind station data improve forecast skill against the current XGBoost + NWP baseline?</w:t>
      </w:r>
    </w:p>
    <w:p>
      <w:pPr>
        <w:pStyle w:val="ListParagraph"/>
        <w:numPr>
          <w:ilvl w:val="0"/>
          <w:numId w:val="2"/>
        </w:numPr>
        <w:spacing w:after="60"/>
      </w:pPr>
      <w:r>
        <w:rPr>
          <w:rFonts w:ascii="Arial" w:cs="Arial" w:eastAsia="Arial" w:hAnsi="Arial"/>
          <w:b/>
          <w:bCs/>
          <w:sz w:val="22"/>
          <w:szCs w:val="22"/>
        </w:rPr>
        <w:t xml:space="preserve">Q2. </w:t>
      </w:r>
      <w:r>
        <w:rPr>
          <w:rFonts w:ascii="Arial" w:cs="Arial" w:eastAsia="Arial" w:hAnsi="Arial"/>
          <w:sz w:val="22"/>
          <w:szCs w:val="22"/>
        </w:rPr>
        <w:t xml:space="preserve">What is the optimal number of upwind stations? Sweep N ∈ {1, 3, 5, 10, 20}.</w:t>
      </w:r>
    </w:p>
    <w:p>
      <w:pPr>
        <w:pStyle w:val="ListParagraph"/>
        <w:numPr>
          <w:ilvl w:val="0"/>
          <w:numId w:val="2"/>
        </w:numPr>
        <w:spacing w:after="60"/>
      </w:pPr>
      <w:r>
        <w:rPr>
          <w:rFonts w:ascii="Arial" w:cs="Arial" w:eastAsia="Arial" w:hAnsi="Arial"/>
          <w:b/>
          <w:bCs/>
          <w:sz w:val="22"/>
          <w:szCs w:val="22"/>
        </w:rPr>
        <w:t xml:space="preserve">Q3. </w:t>
      </w:r>
      <w:r>
        <w:rPr>
          <w:rFonts w:ascii="Arial" w:cs="Arial" w:eastAsia="Arial" w:hAnsi="Arial"/>
          <w:sz w:val="22"/>
          <w:szCs w:val="22"/>
        </w:rPr>
        <w:t xml:space="preserve">What is the optimal distance band? Test 0–10 km, 10–25 km, 25–50 km, 50–100 km independently and in combination.</w:t>
      </w:r>
    </w:p>
    <w:p>
      <w:pPr>
        <w:pStyle w:val="ListParagraph"/>
        <w:numPr>
          <w:ilvl w:val="0"/>
          <w:numId w:val="2"/>
        </w:numPr>
        <w:spacing w:after="60"/>
      </w:pPr>
      <w:r>
        <w:rPr>
          <w:rFonts w:ascii="Arial" w:cs="Arial" w:eastAsia="Arial" w:hAnsi="Arial"/>
          <w:b/>
          <w:bCs/>
          <w:sz w:val="22"/>
          <w:szCs w:val="22"/>
        </w:rPr>
        <w:t xml:space="preserve">Q4. </w:t>
      </w:r>
      <w:r>
        <w:rPr>
          <w:rFonts w:ascii="Arial" w:cs="Arial" w:eastAsia="Arial" w:hAnsi="Arial"/>
          <w:sz w:val="22"/>
          <w:szCs w:val="22"/>
        </w:rPr>
        <w:t xml:space="preserve">How sensitive is “upwind” to angular tolerance? Sweep ±15°, ±30°, ±45°, ±90° relative to current wind direction.</w:t>
      </w:r>
    </w:p>
    <w:p>
      <w:pPr>
        <w:pStyle w:val="ListParagraph"/>
        <w:numPr>
          <w:ilvl w:val="0"/>
          <w:numId w:val="2"/>
        </w:numPr>
        <w:spacing w:after="60"/>
      </w:pPr>
      <w:r>
        <w:rPr>
          <w:rFonts w:ascii="Arial" w:cs="Arial" w:eastAsia="Arial" w:hAnsi="Arial"/>
          <w:b/>
          <w:bCs/>
          <w:sz w:val="22"/>
          <w:szCs w:val="22"/>
        </w:rPr>
        <w:t xml:space="preserve">Q5. </w:t>
      </w:r>
      <w:r>
        <w:rPr>
          <w:rFonts w:ascii="Arial" w:cs="Arial" w:eastAsia="Arial" w:hAnsi="Arial"/>
          <w:sz w:val="22"/>
          <w:szCs w:val="22"/>
        </w:rPr>
        <w:t xml:space="preserve">Does downwind data add anything? Test downwind-only, then upwind + downwind vs upwind-only — hypothesis is no for short-horizon temp/wind, possibly yes for cloud cover and arriving fronts.</w:t>
      </w:r>
    </w:p>
    <w:p>
      <w:pPr>
        <w:pStyle w:val="ListParagraph"/>
        <w:numPr>
          <w:ilvl w:val="0"/>
          <w:numId w:val="2"/>
        </w:numPr>
        <w:spacing w:after="60"/>
      </w:pPr>
      <w:r>
        <w:rPr>
          <w:rFonts w:ascii="Arial" w:cs="Arial" w:eastAsia="Arial" w:hAnsi="Arial"/>
          <w:b/>
          <w:bCs/>
          <w:sz w:val="22"/>
          <w:szCs w:val="22"/>
        </w:rPr>
        <w:t xml:space="preserve">Q6. </w:t>
      </w:r>
      <w:r>
        <w:rPr>
          <w:rFonts w:ascii="Arial" w:cs="Arial" w:eastAsia="Arial" w:hAnsi="Arial"/>
          <w:sz w:val="22"/>
          <w:szCs w:val="22"/>
        </w:rPr>
        <w:t xml:space="preserve">How does network value vary by forecast horizon (1h, 3h, 6h, 12h, 24h)?</w:t>
      </w:r>
    </w:p>
    <w:p>
      <w:pPr>
        <w:pStyle w:val="ListParagraph"/>
        <w:numPr>
          <w:ilvl w:val="0"/>
          <w:numId w:val="2"/>
        </w:numPr>
        <w:spacing w:after="60"/>
      </w:pPr>
      <w:r>
        <w:rPr>
          <w:rFonts w:ascii="Arial" w:cs="Arial" w:eastAsia="Arial" w:hAnsi="Arial"/>
          <w:b/>
          <w:bCs/>
          <w:sz w:val="22"/>
          <w:szCs w:val="22"/>
        </w:rPr>
        <w:t xml:space="preserve">Q7. </w:t>
      </w:r>
      <w:r>
        <w:rPr>
          <w:rFonts w:ascii="Arial" w:cs="Arial" w:eastAsia="Arial" w:hAnsi="Arial"/>
          <w:sz w:val="22"/>
          <w:szCs w:val="22"/>
        </w:rPr>
        <w:t xml:space="preserve">How does network value vary by weather regime? Stratify results by stable vs frontal-passage periods.</w:t>
      </w:r>
    </w:p>
    <w:p>
      <w:pPr>
        <w:pStyle w:val="ListParagraph"/>
        <w:numPr>
          <w:ilvl w:val="0"/>
          <w:numId w:val="2"/>
        </w:numPr>
        <w:spacing w:after="60"/>
      </w:pPr>
      <w:r>
        <w:rPr>
          <w:rFonts w:ascii="Arial" w:cs="Arial" w:eastAsia="Arial" w:hAnsi="Arial"/>
          <w:b/>
          <w:bCs/>
          <w:sz w:val="22"/>
          <w:szCs w:val="22"/>
        </w:rPr>
        <w:t xml:space="preserve">Q8. </w:t>
      </w:r>
      <w:r>
        <w:rPr>
          <w:rFonts w:ascii="Arial" w:cs="Arial" w:eastAsia="Arial" w:hAnsi="Arial"/>
          <w:sz w:val="22"/>
          <w:szCs w:val="22"/>
        </w:rPr>
        <w:t xml:space="preserve">Is there an asymmetric prevailing-wind effect? Compare model skill when wind comes from station-dense vs station-sparse directions — this directly informs the adoption-threshold pitch.</w:t>
      </w:r>
    </w:p>
    <w:p>
      <w:pPr>
        <w:pStyle w:val="Heading2"/>
        <w:spacing w:after="120" w:before="240"/>
      </w:pPr>
      <w:r>
        <w:rPr>
          <w:rFonts w:ascii="Arial" w:cs="Arial" w:eastAsia="Arial" w:hAnsi="Arial"/>
          <w:b/>
          <w:bCs/>
          <w:color w:val="000000"/>
          <w:sz w:val="26"/>
          <w:szCs w:val="26"/>
        </w:rPr>
        <w:t xml:space="preserve">Sub-phases</w:t>
      </w:r>
    </w:p>
    <w:p>
      <w:pPr>
        <w:pStyle w:val="Heading3"/>
        <w:spacing w:after="80" w:before="180"/>
      </w:pPr>
      <w:r>
        <w:rPr>
          <w:rFonts w:ascii="Arial" w:cs="Arial" w:eastAsia="Arial" w:hAnsi="Arial"/>
          <w:b/>
          <w:bCs/>
          <w:color w:val="595959"/>
          <w:sz w:val="22"/>
          <w:szCs w:val="22"/>
        </w:rPr>
        <w:t xml:space="preserve">7.1 Data acquisition (1–2 weeks)</w:t>
      </w:r>
    </w:p>
    <w:p>
      <w:pPr>
        <w:pStyle w:val="ListParagraph"/>
        <w:numPr>
          <w:ilvl w:val="0"/>
          <w:numId w:val="2"/>
        </w:numPr>
        <w:spacing w:after="60"/>
      </w:pPr>
      <w:r>
        <w:rPr>
          <w:rFonts w:ascii="Arial" w:cs="Arial" w:eastAsia="Arial" w:hAnsi="Arial"/>
          <w:sz w:val="22"/>
          <w:szCs w:val="22"/>
        </w:rPr>
        <w:t xml:space="preserve">Integrate Weather Underground PWS API as primary source; PWSWeather as fallback for resilience against WU policy or rate-limit changes.</w:t>
      </w:r>
    </w:p>
    <w:p>
      <w:pPr>
        <w:pStyle w:val="ListParagraph"/>
        <w:numPr>
          <w:ilvl w:val="0"/>
          <w:numId w:val="2"/>
        </w:numPr>
        <w:spacing w:after="60"/>
      </w:pPr>
      <w:r>
        <w:rPr>
          <w:rFonts w:ascii="Arial" w:cs="Arial" w:eastAsia="Arial" w:hAnsi="Arial"/>
          <w:sz w:val="22"/>
          <w:szCs w:val="22"/>
        </w:rPr>
        <w:t xml:space="preserve">Discover all PWS within 100 km radius of home location; build station registry with location, sensor types, reporting frequency, and historical data depth.</w:t>
      </w:r>
    </w:p>
    <w:p>
      <w:pPr>
        <w:pStyle w:val="ListParagraph"/>
        <w:numPr>
          <w:ilvl w:val="0"/>
          <w:numId w:val="2"/>
        </w:numPr>
        <w:spacing w:after="60"/>
      </w:pPr>
      <w:r>
        <w:rPr>
          <w:rFonts w:ascii="Arial" w:cs="Arial" w:eastAsia="Arial" w:hAnsi="Arial"/>
          <w:sz w:val="22"/>
          <w:szCs w:val="22"/>
        </w:rPr>
        <w:t xml:space="preserve">Apply quality filters: minimum uptime threshold, sensor drift detection, blacklist obviously bad stations.</w:t>
      </w:r>
    </w:p>
    <w:p>
      <w:pPr>
        <w:pStyle w:val="ListParagraph"/>
        <w:numPr>
          <w:ilvl w:val="0"/>
          <w:numId w:val="2"/>
        </w:numPr>
        <w:spacing w:after="60"/>
      </w:pPr>
      <w:r>
        <w:rPr>
          <w:rFonts w:ascii="Arial" w:cs="Arial" w:eastAsia="Arial" w:hAnsi="Arial"/>
          <w:sz w:val="22"/>
          <w:szCs w:val="22"/>
        </w:rPr>
        <w:t xml:space="preserve">Backfill historical observations where the API allows it — important for compensating for the small local dataset.</w:t>
      </w:r>
    </w:p>
    <w:p>
      <w:pPr>
        <w:pStyle w:val="ListParagraph"/>
        <w:numPr>
          <w:ilvl w:val="0"/>
          <w:numId w:val="2"/>
        </w:numPr>
        <w:spacing w:after="60"/>
      </w:pPr>
      <w:r>
        <w:rPr>
          <w:rFonts w:ascii="Arial" w:cs="Arial" w:eastAsia="Arial" w:hAnsi="Arial"/>
          <w:sz w:val="22"/>
          <w:szCs w:val="22"/>
        </w:rPr>
        <w:t xml:space="preserve">Store network observations in TimescaleDB alongside own-station data.</w:t>
      </w:r>
    </w:p>
    <w:p>
      <w:pPr>
        <w:pStyle w:val="Heading3"/>
        <w:spacing w:after="80" w:before="180"/>
      </w:pPr>
      <w:r>
        <w:rPr>
          <w:rFonts w:ascii="Arial" w:cs="Arial" w:eastAsia="Arial" w:hAnsi="Arial"/>
          <w:b/>
          <w:bCs/>
          <w:color w:val="595959"/>
          <w:sz w:val="22"/>
          <w:szCs w:val="22"/>
        </w:rPr>
        <w:t xml:space="preserve">7.2 Feature engineering (1–2 weeks)</w:t>
      </w:r>
    </w:p>
    <w:p>
      <w:pPr>
        <w:pStyle w:val="ListParagraph"/>
        <w:numPr>
          <w:ilvl w:val="0"/>
          <w:numId w:val="2"/>
        </w:numPr>
        <w:spacing w:after="60"/>
      </w:pPr>
      <w:r>
        <w:rPr>
          <w:rFonts w:ascii="Arial" w:cs="Arial" w:eastAsia="Arial" w:hAnsi="Arial"/>
          <w:sz w:val="22"/>
          <w:szCs w:val="22"/>
        </w:rPr>
        <w:t xml:space="preserve">Compute distance and bearing from home for each network station.</w:t>
      </w:r>
    </w:p>
    <w:p>
      <w:pPr>
        <w:pStyle w:val="ListParagraph"/>
        <w:numPr>
          <w:ilvl w:val="0"/>
          <w:numId w:val="2"/>
        </w:numPr>
        <w:spacing w:after="60"/>
      </w:pPr>
      <w:r>
        <w:rPr>
          <w:rFonts w:ascii="Arial" w:cs="Arial" w:eastAsia="Arial" w:hAnsi="Arial"/>
          <w:sz w:val="22"/>
          <w:szCs w:val="22"/>
        </w:rPr>
        <w:t xml:space="preserve">Define directional bins relative to current wind direction: upwind, crosswind, downwind, with configurable angular tolerance.</w:t>
      </w:r>
    </w:p>
    <w:p>
      <w:pPr>
        <w:pStyle w:val="ListParagraph"/>
        <w:numPr>
          <w:ilvl w:val="0"/>
          <w:numId w:val="2"/>
        </w:numPr>
        <w:spacing w:after="60"/>
      </w:pPr>
      <w:r>
        <w:rPr>
          <w:rFonts w:ascii="Arial" w:cs="Arial" w:eastAsia="Arial" w:hAnsi="Arial"/>
          <w:sz w:val="22"/>
          <w:szCs w:val="22"/>
        </w:rPr>
        <w:t xml:space="preserve">Build distance-weighted aggregation features — inverse-distance and Gaussian-kernel variants.</w:t>
      </w:r>
    </w:p>
    <w:p>
      <w:pPr>
        <w:pStyle w:val="ListParagraph"/>
        <w:numPr>
          <w:ilvl w:val="0"/>
          <w:numId w:val="2"/>
        </w:numPr>
        <w:spacing w:after="60"/>
      </w:pPr>
      <w:r>
        <w:rPr>
          <w:rFonts w:ascii="Arial" w:cs="Arial" w:eastAsia="Arial" w:hAnsi="Arial"/>
          <w:sz w:val="22"/>
          <w:szCs w:val="22"/>
        </w:rPr>
        <w:t xml:space="preserve">Compute lag features (1h, 3h, 6h, 12h) for upwind temperature, pressure, humidity, wind, and rain occurrence.</w:t>
      </w:r>
    </w:p>
    <w:p>
      <w:pPr>
        <w:pStyle w:val="ListParagraph"/>
        <w:numPr>
          <w:ilvl w:val="0"/>
          <w:numId w:val="2"/>
        </w:numPr>
        <w:spacing w:after="60"/>
      </w:pPr>
      <w:r>
        <w:rPr>
          <w:rFonts w:ascii="Arial" w:cs="Arial" w:eastAsia="Arial" w:hAnsi="Arial"/>
          <w:sz w:val="22"/>
          <w:szCs w:val="22"/>
        </w:rPr>
        <w:t xml:space="preserve">Compute spatial gradient features — e.g., “is temperature dropping along the wind direction?”</w:t>
      </w:r>
    </w:p>
    <w:p>
      <w:pPr>
        <w:pStyle w:val="Heading3"/>
        <w:spacing w:after="80" w:before="180"/>
      </w:pPr>
      <w:r>
        <w:rPr>
          <w:rFonts w:ascii="Arial" w:cs="Arial" w:eastAsia="Arial" w:hAnsi="Arial"/>
          <w:b/>
          <w:bCs/>
          <w:color w:val="595959"/>
          <w:sz w:val="22"/>
          <w:szCs w:val="22"/>
        </w:rPr>
        <w:t xml:space="preserve">7.3 Experimental design (1 week)</w:t>
      </w:r>
    </w:p>
    <w:p>
      <w:pPr>
        <w:pStyle w:val="ListParagraph"/>
        <w:numPr>
          <w:ilvl w:val="0"/>
          <w:numId w:val="2"/>
        </w:numPr>
        <w:spacing w:after="60"/>
      </w:pPr>
      <w:r>
        <w:rPr>
          <w:rFonts w:ascii="Arial" w:cs="Arial" w:eastAsia="Arial" w:hAnsi="Arial"/>
          <w:sz w:val="22"/>
          <w:szCs w:val="22"/>
        </w:rPr>
        <w:t xml:space="preserve">Establish baseline: current XGBoost using own-station + NWP features only.</w:t>
      </w:r>
    </w:p>
    <w:p>
      <w:pPr>
        <w:pStyle w:val="ListParagraph"/>
        <w:numPr>
          <w:ilvl w:val="0"/>
          <w:numId w:val="2"/>
        </w:numPr>
        <w:spacing w:after="60"/>
      </w:pPr>
      <w:r>
        <w:rPr>
          <w:rFonts w:ascii="Arial" w:cs="Arial" w:eastAsia="Arial" w:hAnsi="Arial"/>
          <w:sz w:val="22"/>
          <w:szCs w:val="22"/>
        </w:rPr>
        <w:t xml:space="preserve">Pre-register hypotheses and success criteria before running ablations.</w:t>
      </w:r>
    </w:p>
    <w:p>
      <w:pPr>
        <w:pStyle w:val="ListParagraph"/>
        <w:numPr>
          <w:ilvl w:val="0"/>
          <w:numId w:val="2"/>
        </w:numPr>
        <w:spacing w:after="60"/>
      </w:pPr>
      <w:r>
        <w:rPr>
          <w:rFonts w:ascii="Arial" w:cs="Arial" w:eastAsia="Arial" w:hAnsi="Arial"/>
          <w:sz w:val="22"/>
          <w:szCs w:val="22"/>
        </w:rPr>
        <w:t xml:space="preserve">Define skill score metrics for temperature, wind, and rain detection.</w:t>
      </w:r>
    </w:p>
    <w:p>
      <w:pPr>
        <w:pStyle w:val="ListParagraph"/>
        <w:numPr>
          <w:ilvl w:val="0"/>
          <w:numId w:val="2"/>
        </w:numPr>
        <w:spacing w:after="60"/>
      </w:pPr>
      <w:r>
        <w:rPr>
          <w:rFonts w:ascii="Arial" w:cs="Arial" w:eastAsia="Arial" w:hAnsi="Arial"/>
          <w:sz w:val="22"/>
          <w:szCs w:val="22"/>
        </w:rPr>
        <w:t xml:space="preserve">Carve out a clean holdout window spanning at least one frontal passage and one stable period.</w:t>
      </w:r>
    </w:p>
    <w:p>
      <w:pPr>
        <w:pStyle w:val="Heading3"/>
        <w:spacing w:after="80" w:before="180"/>
      </w:pPr>
      <w:r>
        <w:rPr>
          <w:rFonts w:ascii="Arial" w:cs="Arial" w:eastAsia="Arial" w:hAnsi="Arial"/>
          <w:b/>
          <w:bCs/>
          <w:color w:val="595959"/>
          <w:sz w:val="22"/>
          <w:szCs w:val="22"/>
        </w:rPr>
        <w:t xml:space="preserve">7.4 Ablation experiments (2–3 weeks)</w:t>
      </w:r>
    </w:p>
    <w:p>
      <w:pPr>
        <w:spacing w:after="120"/>
      </w:pPr>
      <w:r>
        <w:rPr>
          <w:rFonts w:ascii="Arial" w:cs="Arial" w:eastAsia="Arial" w:hAnsi="Arial"/>
          <w:sz w:val="22"/>
          <w:szCs w:val="22"/>
        </w:rPr>
        <w:t xml:space="preserve">Run experiments Q1–Q8 in sequence; each compared against the same baseline. Document feature importance (SHAP or permutation) for the winning configurations to validate that the model is actually using network features the way the hypothesis predicts — not just exploiting incidental correlations.</w:t>
      </w:r>
    </w:p>
    <w:p>
      <w:pPr>
        <w:pStyle w:val="Heading3"/>
        <w:spacing w:after="80" w:before="180"/>
      </w:pPr>
      <w:r>
        <w:rPr>
          <w:rFonts w:ascii="Arial" w:cs="Arial" w:eastAsia="Arial" w:hAnsi="Arial"/>
          <w:b/>
          <w:bCs/>
          <w:color w:val="595959"/>
          <w:sz w:val="22"/>
          <w:szCs w:val="22"/>
        </w:rPr>
        <w:t xml:space="preserve">7.5 Productization (1 week)</w:t>
      </w:r>
    </w:p>
    <w:p>
      <w:pPr>
        <w:pStyle w:val="ListParagraph"/>
        <w:numPr>
          <w:ilvl w:val="0"/>
          <w:numId w:val="2"/>
        </w:numPr>
        <w:spacing w:after="60"/>
      </w:pPr>
      <w:r>
        <w:rPr>
          <w:rFonts w:ascii="Arial" w:cs="Arial" w:eastAsia="Arial" w:hAnsi="Arial"/>
          <w:sz w:val="22"/>
          <w:szCs w:val="22"/>
        </w:rPr>
        <w:t xml:space="preserve">Bake the winning network-feature configuration into the production model.</w:t>
      </w:r>
    </w:p>
    <w:p>
      <w:pPr>
        <w:pStyle w:val="ListParagraph"/>
        <w:numPr>
          <w:ilvl w:val="0"/>
          <w:numId w:val="2"/>
        </w:numPr>
        <w:spacing w:after="60"/>
      </w:pPr>
      <w:r>
        <w:rPr>
          <w:rFonts w:ascii="Arial" w:cs="Arial" w:eastAsia="Arial" w:hAnsi="Arial"/>
          <w:sz w:val="22"/>
          <w:szCs w:val="22"/>
        </w:rPr>
        <w:t xml:space="preserve">Add network health monitoring: station outages, quality drift, missing-data fallback.</w:t>
      </w:r>
    </w:p>
    <w:p>
      <w:pPr>
        <w:pStyle w:val="ListParagraph"/>
        <w:numPr>
          <w:ilvl w:val="0"/>
          <w:numId w:val="2"/>
        </w:numPr>
        <w:spacing w:after="60"/>
      </w:pPr>
      <w:r>
        <w:rPr>
          <w:rFonts w:ascii="Arial" w:cs="Arial" w:eastAsia="Arial" w:hAnsi="Arial"/>
          <w:sz w:val="22"/>
          <w:szCs w:val="22"/>
        </w:rPr>
        <w:t xml:space="preserve">Write up findings as a pitch-ready section: “How a PWS network improves hyperlocal forecasting.”</w:t>
      </w:r>
    </w:p>
    <w:p>
      <w:pPr>
        <w:pStyle w:val="Heading2"/>
        <w:spacing w:after="120" w:before="240"/>
      </w:pPr>
      <w:r>
        <w:rPr>
          <w:rFonts w:ascii="Arial" w:cs="Arial" w:eastAsia="Arial" w:hAnsi="Arial"/>
          <w:b/>
          <w:bCs/>
          <w:color w:val="000000"/>
          <w:sz w:val="26"/>
          <w:szCs w:val="26"/>
        </w:rPr>
        <w:t xml:space="preserve">Deliverables</w:t>
      </w:r>
    </w:p>
    <w:p>
      <w:pPr>
        <w:pStyle w:val="ListParagraph"/>
        <w:numPr>
          <w:ilvl w:val="0"/>
          <w:numId w:val="2"/>
        </w:numPr>
        <w:spacing w:after="60"/>
      </w:pPr>
      <w:r>
        <w:rPr>
          <w:rFonts w:ascii="Arial" w:cs="Arial" w:eastAsia="Arial" w:hAnsi="Arial"/>
          <w:sz w:val="22"/>
          <w:szCs w:val="22"/>
        </w:rPr>
        <w:t xml:space="preserve">Skill score table comparing each ablation configuration against baseline (temperature, wind, rain).</w:t>
      </w:r>
    </w:p>
    <w:p>
      <w:pPr>
        <w:pStyle w:val="ListParagraph"/>
        <w:numPr>
          <w:ilvl w:val="0"/>
          <w:numId w:val="2"/>
        </w:numPr>
        <w:spacing w:after="60"/>
      </w:pPr>
      <w:r>
        <w:rPr>
          <w:rFonts w:ascii="Arial" w:cs="Arial" w:eastAsia="Arial" w:hAnsi="Arial"/>
          <w:sz w:val="22"/>
          <w:szCs w:val="22"/>
        </w:rPr>
        <w:t xml:space="preserve">“What the network buys you” writeup, suitable for pitch materials.</w:t>
      </w:r>
    </w:p>
    <w:p>
      <w:pPr>
        <w:pStyle w:val="ListParagraph"/>
        <w:numPr>
          <w:ilvl w:val="0"/>
          <w:numId w:val="2"/>
        </w:numPr>
        <w:spacing w:after="60"/>
      </w:pPr>
      <w:r>
        <w:rPr>
          <w:rFonts w:ascii="Arial" w:cs="Arial" w:eastAsia="Arial" w:hAnsi="Arial"/>
          <w:sz w:val="22"/>
          <w:szCs w:val="22"/>
        </w:rPr>
        <w:t xml:space="preserve">Production model with network features baked in.</w:t>
      </w:r>
    </w:p>
    <w:p>
      <w:pPr>
        <w:pStyle w:val="ListParagraph"/>
        <w:numPr>
          <w:ilvl w:val="0"/>
          <w:numId w:val="2"/>
        </w:numPr>
        <w:spacing w:after="60"/>
      </w:pPr>
      <w:r>
        <w:rPr>
          <w:rFonts w:ascii="Arial" w:cs="Arial" w:eastAsia="Arial" w:hAnsi="Arial"/>
          <w:sz w:val="22"/>
          <w:szCs w:val="22"/>
        </w:rPr>
        <w:t xml:space="preserve">Reproducible experiment notebooks tied to the pre-registered hypotheses.</w:t>
      </w:r>
    </w:p>
    <w:p>
      <w:pPr>
        <w:pStyle w:val="Heading2"/>
        <w:spacing w:after="120" w:before="240"/>
      </w:pPr>
      <w:r>
        <w:rPr>
          <w:rFonts w:ascii="Arial" w:cs="Arial" w:eastAsia="Arial" w:hAnsi="Arial"/>
          <w:b/>
          <w:bCs/>
          <w:color w:val="000000"/>
          <w:sz w:val="26"/>
          <w:szCs w:val="26"/>
        </w:rPr>
        <w:t xml:space="preserve">Success criteria</w:t>
      </w:r>
    </w:p>
    <w:p>
      <w:pPr>
        <w:pStyle w:val="ListParagraph"/>
        <w:numPr>
          <w:ilvl w:val="0"/>
          <w:numId w:val="2"/>
        </w:numPr>
        <w:spacing w:after="60"/>
      </w:pPr>
      <w:r>
        <w:rPr>
          <w:rFonts w:ascii="Arial" w:cs="Arial" w:eastAsia="Arial" w:hAnsi="Arial"/>
          <w:sz w:val="22"/>
          <w:szCs w:val="22"/>
        </w:rPr>
        <w:t xml:space="preserve">Network features produce ≥0.05 absolute improvement in temperature skill score at 6h horizon.</w:t>
      </w:r>
    </w:p>
    <w:p>
      <w:pPr>
        <w:pStyle w:val="ListParagraph"/>
        <w:numPr>
          <w:ilvl w:val="0"/>
          <w:numId w:val="2"/>
        </w:numPr>
        <w:spacing w:after="60"/>
      </w:pPr>
      <w:r>
        <w:rPr>
          <w:rFonts w:ascii="Arial" w:cs="Arial" w:eastAsia="Arial" w:hAnsi="Arial"/>
          <w:sz w:val="22"/>
          <w:szCs w:val="22"/>
        </w:rPr>
        <w:t xml:space="preserve">≥0.10 absolute improvement in rain detection F1 at the 3–6h horizon.</w:t>
      </w:r>
    </w:p>
    <w:p>
      <w:pPr>
        <w:pStyle w:val="ListParagraph"/>
        <w:numPr>
          <w:ilvl w:val="0"/>
          <w:numId w:val="2"/>
        </w:numPr>
        <w:spacing w:after="60"/>
      </w:pPr>
      <w:r>
        <w:rPr>
          <w:rFonts w:ascii="Arial" w:cs="Arial" w:eastAsia="Arial" w:hAnsi="Arial"/>
          <w:sz w:val="22"/>
          <w:szCs w:val="22"/>
        </w:rPr>
        <w:t xml:space="preserve">Network value persists out-of-sample on the holdout, including the unseen weather regime.</w:t>
      </w:r>
    </w:p>
    <w:p>
      <w:pPr>
        <w:pStyle w:val="ListParagraph"/>
        <w:numPr>
          <w:ilvl w:val="0"/>
          <w:numId w:val="2"/>
        </w:numPr>
        <w:spacing w:after="60"/>
      </w:pPr>
      <w:r>
        <w:rPr>
          <w:rFonts w:ascii="Arial" w:cs="Arial" w:eastAsia="Arial" w:hAnsi="Arial"/>
          <w:sz w:val="22"/>
          <w:szCs w:val="22"/>
        </w:rPr>
        <w:t xml:space="preserve">A clear answer to Q2/Q3/Q8 — the minimum useful network for the pitch.</w:t>
      </w:r>
    </w:p>
    <w:p>
      <w:pPr>
        <w:pStyle w:val="Heading2"/>
        <w:spacing w:after="120" w:before="240"/>
      </w:pPr>
      <w:r>
        <w:rPr>
          <w:rFonts w:ascii="Arial" w:cs="Arial" w:eastAsia="Arial" w:hAnsi="Arial"/>
          <w:b/>
          <w:bCs/>
          <w:color w:val="000000"/>
          <w:sz w:val="26"/>
          <w:szCs w:val="26"/>
        </w:rPr>
        <w:t xml:space="preserve">Risks and mitigations</w:t>
      </w:r>
    </w:p>
    <w:p>
      <w:pPr>
        <w:pStyle w:val="ListParagraph"/>
        <w:numPr>
          <w:ilvl w:val="0"/>
          <w:numId w:val="2"/>
        </w:numPr>
        <w:spacing w:after="60"/>
      </w:pPr>
      <w:r>
        <w:rPr>
          <w:rFonts w:ascii="Arial" w:cs="Arial" w:eastAsia="Arial" w:hAnsi="Arial"/>
          <w:b/>
          <w:bCs/>
          <w:sz w:val="22"/>
          <w:szCs w:val="22"/>
        </w:rPr>
        <w:t xml:space="preserve">WU API rate limits / deprecation. </w:t>
      </w:r>
      <w:r>
        <w:rPr>
          <w:rFonts w:ascii="Arial" w:cs="Arial" w:eastAsia="Arial" w:hAnsi="Arial"/>
          <w:sz w:val="22"/>
          <w:szCs w:val="22"/>
        </w:rPr>
        <w:t xml:space="preserve">Mitigate with aggressive caching, abstraction of the data source, and PWSWeather fallback path.</w:t>
      </w:r>
    </w:p>
    <w:p>
      <w:pPr>
        <w:pStyle w:val="ListParagraph"/>
        <w:numPr>
          <w:ilvl w:val="0"/>
          <w:numId w:val="2"/>
        </w:numPr>
        <w:spacing w:after="60"/>
      </w:pPr>
      <w:r>
        <w:rPr>
          <w:rFonts w:ascii="Arial" w:cs="Arial" w:eastAsia="Arial" w:hAnsi="Arial"/>
          <w:b/>
          <w:bCs/>
          <w:sz w:val="22"/>
          <w:szCs w:val="22"/>
        </w:rPr>
        <w:t xml:space="preserve">Station quality variance. </w:t>
      </w:r>
      <w:r>
        <w:rPr>
          <w:rFonts w:ascii="Arial" w:cs="Arial" w:eastAsia="Arial" w:hAnsi="Arial"/>
          <w:sz w:val="22"/>
          <w:szCs w:val="22"/>
        </w:rPr>
        <w:t xml:space="preserve">Quality filtering plus down-weighting of noisy stations during aggregation.</w:t>
      </w:r>
    </w:p>
    <w:p>
      <w:pPr>
        <w:pStyle w:val="ListParagraph"/>
        <w:numPr>
          <w:ilvl w:val="0"/>
          <w:numId w:val="2"/>
        </w:numPr>
        <w:spacing w:after="60"/>
      </w:pPr>
      <w:r>
        <w:rPr>
          <w:rFonts w:ascii="Arial" w:cs="Arial" w:eastAsia="Arial" w:hAnsi="Arial"/>
          <w:b/>
          <w:bCs/>
          <w:sz w:val="22"/>
          <w:szCs w:val="22"/>
        </w:rPr>
        <w:t xml:space="preserve">Sparse stations in prevailing wind direction. </w:t>
      </w:r>
      <w:r>
        <w:rPr>
          <w:rFonts w:ascii="Arial" w:cs="Arial" w:eastAsia="Arial" w:hAnsi="Arial"/>
          <w:sz w:val="22"/>
          <w:szCs w:val="22"/>
        </w:rPr>
        <w:t xml:space="preserve">May force testing with reduced sample sizes; document as a real-world constraint for the pitch.</w:t>
      </w:r>
    </w:p>
    <w:p>
      <w:pPr>
        <w:pStyle w:val="ListParagraph"/>
        <w:numPr>
          <w:ilvl w:val="0"/>
          <w:numId w:val="2"/>
        </w:numPr>
        <w:spacing w:after="60"/>
      </w:pPr>
      <w:r>
        <w:rPr>
          <w:rFonts w:ascii="Arial" w:cs="Arial" w:eastAsia="Arial" w:hAnsi="Arial"/>
          <w:b/>
          <w:bCs/>
          <w:sz w:val="22"/>
          <w:szCs w:val="22"/>
        </w:rPr>
        <w:t xml:space="preserve">Multicollinearity. </w:t>
      </w:r>
      <w:r>
        <w:rPr>
          <w:rFonts w:ascii="Arial" w:cs="Arial" w:eastAsia="Arial" w:hAnsi="Arial"/>
          <w:sz w:val="22"/>
          <w:szCs w:val="22"/>
        </w:rPr>
        <w:t xml:space="preserve">XGBoost handles this, but monitor feature-importance distributions to make sure the model story is coherent.</w:t>
      </w:r>
    </w:p>
    <w:p>
      <w:pPr>
        <w:pStyle w:val="ListParagraph"/>
        <w:numPr>
          <w:ilvl w:val="0"/>
          <w:numId w:val="2"/>
        </w:numPr>
        <w:spacing w:after="60"/>
      </w:pPr>
      <w:r>
        <w:rPr>
          <w:rFonts w:ascii="Arial" w:cs="Arial" w:eastAsia="Arial" w:hAnsi="Arial"/>
          <w:b/>
          <w:bCs/>
          <w:sz w:val="22"/>
          <w:szCs w:val="22"/>
        </w:rPr>
        <w:t xml:space="preserve">Confirmation bias. </w:t>
      </w:r>
      <w:r>
        <w:rPr>
          <w:rFonts w:ascii="Arial" w:cs="Arial" w:eastAsia="Arial" w:hAnsi="Arial"/>
          <w:sz w:val="22"/>
          <w:szCs w:val="22"/>
        </w:rPr>
        <w:t xml:space="preserve">Pre-registered hypotheses; report all ablations including null results.</w:t>
      </w:r>
    </w:p>
    <w:p>
      <w:pPr>
        <w:pStyle w:val="Heading2"/>
        <w:spacing w:after="120" w:before="240"/>
      </w:pPr>
      <w:r>
        <w:rPr>
          <w:rFonts w:ascii="Arial" w:cs="Arial" w:eastAsia="Arial" w:hAnsi="Arial"/>
          <w:b/>
          <w:bCs/>
          <w:color w:val="000000"/>
          <w:sz w:val="26"/>
          <w:szCs w:val="26"/>
        </w:rPr>
        <w:t xml:space="preserve">Duration</w:t>
      </w:r>
    </w:p>
    <w:p>
      <w:pPr>
        <w:spacing w:after="120"/>
      </w:pPr>
      <w:r>
        <w:rPr>
          <w:rFonts w:ascii="Arial" w:cs="Arial" w:eastAsia="Arial" w:hAnsi="Arial"/>
          <w:sz w:val="22"/>
          <w:szCs w:val="22"/>
        </w:rPr>
        <w:t xml:space="preserve">6–8 weeks calendar, running in parallel with continued local data collection.</w:t>
      </w:r>
    </w:p>
    <w:p>
      <w:r>
        <w:br w:type="page"/>
      </w:r>
    </w:p>
    <w:p>
      <w:pPr>
        <w:pStyle w:val="Heading1"/>
        <w:spacing w:after="160" w:before="320"/>
      </w:pPr>
      <w:r>
        <w:rPr>
          <w:rFonts w:ascii="Arial" w:cs="Arial" w:eastAsia="Arial" w:hAnsi="Arial"/>
          <w:b/>
          <w:bCs/>
          <w:color w:val="2E75B6"/>
          <w:sz w:val="32"/>
          <w:szCs w:val="32"/>
        </w:rPr>
        <w:t xml:space="preserve">3. Phase 8 — Ambient Weather WS-2902C integration</w:t>
      </w:r>
    </w:p>
    <w:p>
      <w:pPr>
        <w:pStyle w:val="Heading2"/>
        <w:spacing w:after="120" w:before="240"/>
      </w:pPr>
      <w:r>
        <w:rPr>
          <w:rFonts w:ascii="Arial" w:cs="Arial" w:eastAsia="Arial" w:hAnsi="Arial"/>
          <w:b/>
          <w:bCs/>
          <w:color w:val="000000"/>
          <w:sz w:val="26"/>
          <w:szCs w:val="26"/>
        </w:rPr>
        <w:t xml:space="preserve">Strategic rationale</w:t>
      </w:r>
    </w:p>
    <w:p>
      <w:pPr>
        <w:spacing w:after="120"/>
      </w:pPr>
      <w:r>
        <w:rPr>
          <w:rFonts w:ascii="Arial" w:cs="Arial" w:eastAsia="Arial" w:hAnsi="Arial"/>
          <w:sz w:val="22"/>
          <w:szCs w:val="22"/>
        </w:rPr>
        <w:t xml:space="preserve">A forecasting layer locked to one vendor’s hardware is materially less valuable to any potential partner. Rachio customers run heterogeneous PWS hardware. Ambient and Davis would never license a service that only works on a competitor’s stations. Phase 8 produces the artifact that defuses this objection: a working, documented integration with a second vendor (Ambient WS-2902C, ≋$180), achieved through a clean adapter pattern that can be repeated for any future vendor in under two hours of engineering work.</w:t>
      </w:r>
    </w:p>
    <w:p>
      <w:pPr>
        <w:pStyle w:val="Heading2"/>
        <w:spacing w:after="120" w:before="240"/>
      </w:pPr>
      <w:r>
        <w:rPr>
          <w:rFonts w:ascii="Arial" w:cs="Arial" w:eastAsia="Arial" w:hAnsi="Arial"/>
          <w:b/>
          <w:bCs/>
          <w:color w:val="000000"/>
          <w:sz w:val="26"/>
          <w:szCs w:val="26"/>
        </w:rPr>
        <w:t xml:space="preserve">Sub-phases</w:t>
      </w:r>
    </w:p>
    <w:p>
      <w:pPr>
        <w:pStyle w:val="Heading3"/>
        <w:spacing w:after="80" w:before="180"/>
      </w:pPr>
      <w:r>
        <w:rPr>
          <w:rFonts w:ascii="Arial" w:cs="Arial" w:eastAsia="Arial" w:hAnsi="Arial"/>
          <w:b/>
          <w:bCs/>
          <w:color w:val="595959"/>
          <w:sz w:val="22"/>
          <w:szCs w:val="22"/>
        </w:rPr>
        <w:t xml:space="preserve">8.1 Procurement and install (2 weeks calendar)</w:t>
      </w:r>
    </w:p>
    <w:p>
      <w:pPr>
        <w:pStyle w:val="ListParagraph"/>
        <w:numPr>
          <w:ilvl w:val="0"/>
          <w:numId w:val="2"/>
        </w:numPr>
        <w:spacing w:after="60"/>
      </w:pPr>
      <w:r>
        <w:rPr>
          <w:rFonts w:ascii="Arial" w:cs="Arial" w:eastAsia="Arial" w:hAnsi="Arial"/>
          <w:sz w:val="22"/>
          <w:szCs w:val="22"/>
        </w:rPr>
        <w:t xml:space="preserve">Order WS-2902C; mount adjacent to Ecowitt array at the same height and exposure, with at least 5 ft of separation to avoid sensor interference.</w:t>
      </w:r>
    </w:p>
    <w:p>
      <w:pPr>
        <w:pStyle w:val="ListParagraph"/>
        <w:numPr>
          <w:ilvl w:val="0"/>
          <w:numId w:val="2"/>
        </w:numPr>
        <w:spacing w:after="60"/>
      </w:pPr>
      <w:r>
        <w:rPr>
          <w:rFonts w:ascii="Arial" w:cs="Arial" w:eastAsia="Arial" w:hAnsi="Arial"/>
          <w:sz w:val="22"/>
          <w:szCs w:val="22"/>
        </w:rPr>
        <w:t xml:space="preserve">Begin co-located data collection with a 14-day minimum calibration window before treating WS-2902C data as comparable to Ecowitt.</w:t>
      </w:r>
    </w:p>
    <w:p>
      <w:pPr>
        <w:pStyle w:val="Heading3"/>
        <w:spacing w:after="80" w:before="180"/>
      </w:pPr>
      <w:r>
        <w:rPr>
          <w:rFonts w:ascii="Arial" w:cs="Arial" w:eastAsia="Arial" w:hAnsi="Arial"/>
          <w:b/>
          <w:bCs/>
          <w:color w:val="595959"/>
          <w:sz w:val="22"/>
          <w:szCs w:val="22"/>
        </w:rPr>
        <w:t xml:space="preserve">8.2 Ingestion abstraction (1 week)</w:t>
      </w:r>
    </w:p>
    <w:p>
      <w:pPr>
        <w:pStyle w:val="ListParagraph"/>
        <w:numPr>
          <w:ilvl w:val="0"/>
          <w:numId w:val="2"/>
        </w:numPr>
        <w:spacing w:after="60"/>
      </w:pPr>
      <w:r>
        <w:rPr>
          <w:rFonts w:ascii="Arial" w:cs="Arial" w:eastAsia="Arial" w:hAnsi="Arial"/>
          <w:sz w:val="22"/>
          <w:szCs w:val="22"/>
        </w:rPr>
        <w:t xml:space="preserve">Refactor FastAPI ingestion to introduce a generic Observation contract decoupled from any one vendor’s schema.</w:t>
      </w:r>
    </w:p>
    <w:p>
      <w:pPr>
        <w:pStyle w:val="ListParagraph"/>
        <w:numPr>
          <w:ilvl w:val="0"/>
          <w:numId w:val="2"/>
        </w:numPr>
        <w:spacing w:after="60"/>
      </w:pPr>
      <w:r>
        <w:rPr>
          <w:rFonts w:ascii="Arial" w:cs="Arial" w:eastAsia="Arial" w:hAnsi="Arial"/>
          <w:sz w:val="22"/>
          <w:szCs w:val="22"/>
        </w:rPr>
        <w:t xml:space="preserve">Define a vendor-adapter pattern: each vendor implements a parser mapping its raw payload to the canonical Observation.</w:t>
      </w:r>
    </w:p>
    <w:p>
      <w:pPr>
        <w:pStyle w:val="ListParagraph"/>
        <w:numPr>
          <w:ilvl w:val="0"/>
          <w:numId w:val="2"/>
        </w:numPr>
        <w:spacing w:after="60"/>
      </w:pPr>
      <w:r>
        <w:rPr>
          <w:rFonts w:ascii="Arial" w:cs="Arial" w:eastAsia="Arial" w:hAnsi="Arial"/>
          <w:sz w:val="22"/>
          <w:szCs w:val="22"/>
        </w:rPr>
        <w:t xml:space="preserve">Extract the existing Ecowitt parser as the first adapter and add unit tests against the canonical contract.</w:t>
      </w:r>
    </w:p>
    <w:p>
      <w:pPr>
        <w:pStyle w:val="Heading3"/>
        <w:spacing w:after="80" w:before="180"/>
      </w:pPr>
      <w:r>
        <w:rPr>
          <w:rFonts w:ascii="Arial" w:cs="Arial" w:eastAsia="Arial" w:hAnsi="Arial"/>
          <w:b/>
          <w:bCs/>
          <w:color w:val="595959"/>
          <w:sz w:val="22"/>
          <w:szCs w:val="22"/>
        </w:rPr>
        <w:t xml:space="preserve">8.3 Ambient adapter (3–5 days)</w:t>
      </w:r>
    </w:p>
    <w:p>
      <w:pPr>
        <w:pStyle w:val="ListParagraph"/>
        <w:numPr>
          <w:ilvl w:val="0"/>
          <w:numId w:val="2"/>
        </w:numPr>
        <w:spacing w:after="60"/>
      </w:pPr>
      <w:r>
        <w:rPr>
          <w:rFonts w:ascii="Arial" w:cs="Arial" w:eastAsia="Arial" w:hAnsi="Arial"/>
          <w:sz w:val="22"/>
          <w:szCs w:val="22"/>
        </w:rPr>
        <w:t xml:space="preserve">Configure WS-2902C “Custom Server” feature to push to the FastAPI endpoint.</w:t>
      </w:r>
    </w:p>
    <w:p>
      <w:pPr>
        <w:pStyle w:val="ListParagraph"/>
        <w:numPr>
          <w:ilvl w:val="0"/>
          <w:numId w:val="2"/>
        </w:numPr>
        <w:spacing w:after="60"/>
      </w:pPr>
      <w:r>
        <w:rPr>
          <w:rFonts w:ascii="Arial" w:cs="Arial" w:eastAsia="Arial" w:hAnsi="Arial"/>
          <w:sz w:val="22"/>
          <w:szCs w:val="22"/>
        </w:rPr>
        <w:t xml:space="preserve">Implement the Ambient adapter: parse the Custom Server payload, normalize units (Ambient defaults differ from Ecowitt on temperature and rain rate), validate completeness.</w:t>
      </w:r>
    </w:p>
    <w:p>
      <w:pPr>
        <w:pStyle w:val="ListParagraph"/>
        <w:numPr>
          <w:ilvl w:val="0"/>
          <w:numId w:val="2"/>
        </w:numPr>
        <w:spacing w:after="60"/>
      </w:pPr>
      <w:r>
        <w:rPr>
          <w:rFonts w:ascii="Arial" w:cs="Arial" w:eastAsia="Arial" w:hAnsi="Arial"/>
          <w:sz w:val="22"/>
          <w:szCs w:val="22"/>
        </w:rPr>
        <w:t xml:space="preserve">Plan retry and buffering for known Custom Server dropouts.</w:t>
      </w:r>
    </w:p>
    <w:p>
      <w:pPr>
        <w:pStyle w:val="Heading3"/>
        <w:spacing w:after="80" w:before="180"/>
      </w:pPr>
      <w:r>
        <w:rPr>
          <w:rFonts w:ascii="Arial" w:cs="Arial" w:eastAsia="Arial" w:hAnsi="Arial"/>
          <w:b/>
          <w:bCs/>
          <w:color w:val="595959"/>
          <w:sz w:val="22"/>
          <w:szCs w:val="22"/>
        </w:rPr>
        <w:t xml:space="preserve">8.4 Cross-station evaluation (1–2 weeks)</w:t>
      </w:r>
    </w:p>
    <w:p>
      <w:pPr>
        <w:pStyle w:val="ListParagraph"/>
        <w:numPr>
          <w:ilvl w:val="0"/>
          <w:numId w:val="2"/>
        </w:numPr>
        <w:spacing w:after="60"/>
      </w:pPr>
      <w:r>
        <w:rPr>
          <w:rFonts w:ascii="Arial" w:cs="Arial" w:eastAsia="Arial" w:hAnsi="Arial"/>
          <w:sz w:val="22"/>
          <w:szCs w:val="22"/>
        </w:rPr>
        <w:t xml:space="preserve">Run the same XGBoost correction model against both data streams independently.</w:t>
      </w:r>
    </w:p>
    <w:p>
      <w:pPr>
        <w:pStyle w:val="ListParagraph"/>
        <w:numPr>
          <w:ilvl w:val="0"/>
          <w:numId w:val="2"/>
        </w:numPr>
        <w:spacing w:after="60"/>
      </w:pPr>
      <w:r>
        <w:rPr>
          <w:rFonts w:ascii="Arial" w:cs="Arial" w:eastAsia="Arial" w:hAnsi="Arial"/>
          <w:sz w:val="22"/>
          <w:szCs w:val="22"/>
        </w:rPr>
        <w:t xml:space="preserve">Compare skill scores; document calibration offsets for systematic differences.</w:t>
      </w:r>
    </w:p>
    <w:p>
      <w:pPr>
        <w:pStyle w:val="ListParagraph"/>
        <w:numPr>
          <w:ilvl w:val="0"/>
          <w:numId w:val="2"/>
        </w:numPr>
        <w:spacing w:after="60"/>
      </w:pPr>
      <w:r>
        <w:rPr>
          <w:rFonts w:ascii="Arial" w:cs="Arial" w:eastAsia="Arial" w:hAnsi="Arial"/>
          <w:sz w:val="22"/>
          <w:szCs w:val="22"/>
        </w:rPr>
        <w:t xml:space="preserve">Validate that the Phase 7 network-feature model still works with WS-2902C as the primary station.</w:t>
      </w:r>
    </w:p>
    <w:p>
      <w:pPr>
        <w:pStyle w:val="Heading3"/>
        <w:spacing w:after="80" w:before="180"/>
      </w:pPr>
      <w:r>
        <w:rPr>
          <w:rFonts w:ascii="Arial" w:cs="Arial" w:eastAsia="Arial" w:hAnsi="Arial"/>
          <w:b/>
          <w:bCs/>
          <w:color w:val="595959"/>
          <w:sz w:val="22"/>
          <w:szCs w:val="22"/>
        </w:rPr>
        <w:t xml:space="preserve">8.5 Vendor integration playbook (3–5 days) — the pitch artifact</w:t>
      </w:r>
    </w:p>
    <w:p>
      <w:pPr>
        <w:pStyle w:val="ListParagraph"/>
        <w:numPr>
          <w:ilvl w:val="0"/>
          <w:numId w:val="2"/>
        </w:numPr>
        <w:spacing w:after="60"/>
      </w:pPr>
      <w:r>
        <w:rPr>
          <w:rFonts w:ascii="Arial" w:cs="Arial" w:eastAsia="Arial" w:hAnsi="Arial"/>
          <w:sz w:val="22"/>
          <w:szCs w:val="22"/>
        </w:rPr>
        <w:t xml:space="preserve">Document the end-to-end process: “How to add a new PWS vendor to the forecasting service in under 2 hours.”</w:t>
      </w:r>
    </w:p>
    <w:p>
      <w:pPr>
        <w:pStyle w:val="ListParagraph"/>
        <w:numPr>
          <w:ilvl w:val="0"/>
          <w:numId w:val="2"/>
        </w:numPr>
        <w:spacing w:after="60"/>
      </w:pPr>
      <w:r>
        <w:rPr>
          <w:rFonts w:ascii="Arial" w:cs="Arial" w:eastAsia="Arial" w:hAnsi="Arial"/>
          <w:sz w:val="22"/>
          <w:szCs w:val="22"/>
        </w:rPr>
        <w:t xml:space="preserve">Include adapter template, schema mapping checklist, calibration protocol, and validation tests.</w:t>
      </w:r>
    </w:p>
    <w:p>
      <w:pPr>
        <w:pStyle w:val="ListParagraph"/>
        <w:numPr>
          <w:ilvl w:val="0"/>
          <w:numId w:val="2"/>
        </w:numPr>
        <w:spacing w:after="60"/>
      </w:pPr>
      <w:r>
        <w:rPr>
          <w:rFonts w:ascii="Arial" w:cs="Arial" w:eastAsia="Arial" w:hAnsi="Arial"/>
          <w:sz w:val="22"/>
          <w:szCs w:val="22"/>
        </w:rPr>
        <w:t xml:space="preserve">Position as the licensable IP and operational evidence in the Rachio / Davis / Ambient conversations.</w:t>
      </w:r>
    </w:p>
    <w:p>
      <w:pPr>
        <w:pStyle w:val="Heading2"/>
        <w:spacing w:after="120" w:before="240"/>
      </w:pPr>
      <w:r>
        <w:rPr>
          <w:rFonts w:ascii="Arial" w:cs="Arial" w:eastAsia="Arial" w:hAnsi="Arial"/>
          <w:b/>
          <w:bCs/>
          <w:color w:val="000000"/>
          <w:sz w:val="26"/>
          <w:szCs w:val="26"/>
        </w:rPr>
        <w:t xml:space="preserve">Deliverables</w:t>
      </w:r>
    </w:p>
    <w:p>
      <w:pPr>
        <w:pStyle w:val="ListParagraph"/>
        <w:numPr>
          <w:ilvl w:val="0"/>
          <w:numId w:val="2"/>
        </w:numPr>
        <w:spacing w:after="60"/>
      </w:pPr>
      <w:r>
        <w:rPr>
          <w:rFonts w:ascii="Arial" w:cs="Arial" w:eastAsia="Arial" w:hAnsi="Arial"/>
          <w:sz w:val="22"/>
          <w:szCs w:val="22"/>
        </w:rPr>
        <w:t xml:space="preserve">Working dual-station setup with both feeds in production storage.</w:t>
      </w:r>
    </w:p>
    <w:p>
      <w:pPr>
        <w:pStyle w:val="ListParagraph"/>
        <w:numPr>
          <w:ilvl w:val="0"/>
          <w:numId w:val="2"/>
        </w:numPr>
        <w:spacing w:after="60"/>
      </w:pPr>
      <w:r>
        <w:rPr>
          <w:rFonts w:ascii="Arial" w:cs="Arial" w:eastAsia="Arial" w:hAnsi="Arial"/>
          <w:sz w:val="22"/>
          <w:szCs w:val="22"/>
        </w:rPr>
        <w:t xml:space="preserve">Vendor adapter pattern with two production implementations.</w:t>
      </w:r>
    </w:p>
    <w:p>
      <w:pPr>
        <w:pStyle w:val="ListParagraph"/>
        <w:numPr>
          <w:ilvl w:val="0"/>
          <w:numId w:val="2"/>
        </w:numPr>
        <w:spacing w:after="60"/>
      </w:pPr>
      <w:r>
        <w:rPr>
          <w:rFonts w:ascii="Arial" w:cs="Arial" w:eastAsia="Arial" w:hAnsi="Arial"/>
          <w:sz w:val="22"/>
          <w:szCs w:val="22"/>
        </w:rPr>
        <w:t xml:space="preserve">Cross-station skill score comparison and calibration documentation.</w:t>
      </w:r>
    </w:p>
    <w:p>
      <w:pPr>
        <w:pStyle w:val="ListParagraph"/>
        <w:numPr>
          <w:ilvl w:val="0"/>
          <w:numId w:val="2"/>
        </w:numPr>
        <w:spacing w:after="60"/>
      </w:pPr>
      <w:r>
        <w:rPr>
          <w:rFonts w:ascii="Arial" w:cs="Arial" w:eastAsia="Arial" w:hAnsi="Arial"/>
          <w:sz w:val="22"/>
          <w:szCs w:val="22"/>
        </w:rPr>
        <w:t xml:space="preserve">Vendor integration playbook (pitch artifact).</w:t>
      </w:r>
    </w:p>
    <w:p>
      <w:pPr>
        <w:pStyle w:val="Heading2"/>
        <w:spacing w:after="120" w:before="240"/>
      </w:pPr>
      <w:r>
        <w:rPr>
          <w:rFonts w:ascii="Arial" w:cs="Arial" w:eastAsia="Arial" w:hAnsi="Arial"/>
          <w:b/>
          <w:bCs/>
          <w:color w:val="000000"/>
          <w:sz w:val="26"/>
          <w:szCs w:val="26"/>
        </w:rPr>
        <w:t xml:space="preserve">Success criteria</w:t>
      </w:r>
    </w:p>
    <w:p>
      <w:pPr>
        <w:pStyle w:val="ListParagraph"/>
        <w:numPr>
          <w:ilvl w:val="0"/>
          <w:numId w:val="2"/>
        </w:numPr>
        <w:spacing w:after="60"/>
      </w:pPr>
      <w:r>
        <w:rPr>
          <w:rFonts w:ascii="Arial" w:cs="Arial" w:eastAsia="Arial" w:hAnsi="Arial"/>
          <w:sz w:val="22"/>
          <w:szCs w:val="22"/>
        </w:rPr>
        <w:t xml:space="preserve">WS-2902C achieves within ±10% of Ecowitt skill scores after the calibration window.</w:t>
      </w:r>
    </w:p>
    <w:p>
      <w:pPr>
        <w:pStyle w:val="ListParagraph"/>
        <w:numPr>
          <w:ilvl w:val="0"/>
          <w:numId w:val="2"/>
        </w:numPr>
        <w:spacing w:after="60"/>
      </w:pPr>
      <w:r>
        <w:rPr>
          <w:rFonts w:ascii="Arial" w:cs="Arial" w:eastAsia="Arial" w:hAnsi="Arial"/>
          <w:sz w:val="22"/>
          <w:szCs w:val="22"/>
        </w:rPr>
        <w:t xml:space="preserve">New vendor adapter takes under 2 hours of work given the framework.</w:t>
      </w:r>
    </w:p>
    <w:p>
      <w:pPr>
        <w:pStyle w:val="ListParagraph"/>
        <w:numPr>
          <w:ilvl w:val="0"/>
          <w:numId w:val="2"/>
        </w:numPr>
        <w:spacing w:after="60"/>
      </w:pPr>
      <w:r>
        <w:rPr>
          <w:rFonts w:ascii="Arial" w:cs="Arial" w:eastAsia="Arial" w:hAnsi="Arial"/>
          <w:sz w:val="22"/>
          <w:szCs w:val="22"/>
        </w:rPr>
        <w:t xml:space="preserve">No regression in production forecasts for the primary station.</w:t>
      </w:r>
    </w:p>
    <w:p>
      <w:pPr>
        <w:pStyle w:val="Heading2"/>
        <w:spacing w:after="120" w:before="240"/>
      </w:pPr>
      <w:r>
        <w:rPr>
          <w:rFonts w:ascii="Arial" w:cs="Arial" w:eastAsia="Arial" w:hAnsi="Arial"/>
          <w:b/>
          <w:bCs/>
          <w:color w:val="000000"/>
          <w:sz w:val="26"/>
          <w:szCs w:val="26"/>
        </w:rPr>
        <w:t xml:space="preserve">Risks and mitigations</w:t>
      </w:r>
    </w:p>
    <w:p>
      <w:pPr>
        <w:pStyle w:val="ListParagraph"/>
        <w:numPr>
          <w:ilvl w:val="0"/>
          <w:numId w:val="2"/>
        </w:numPr>
        <w:spacing w:after="60"/>
      </w:pPr>
      <w:r>
        <w:rPr>
          <w:rFonts w:ascii="Arial" w:cs="Arial" w:eastAsia="Arial" w:hAnsi="Arial"/>
          <w:b/>
          <w:bCs/>
          <w:sz w:val="22"/>
          <w:szCs w:val="22"/>
        </w:rPr>
        <w:t xml:space="preserve">Custom Server reliability. </w:t>
      </w:r>
      <w:r>
        <w:rPr>
          <w:rFonts w:ascii="Arial" w:cs="Arial" w:eastAsia="Arial" w:hAnsi="Arial"/>
          <w:sz w:val="22"/>
          <w:szCs w:val="22"/>
        </w:rPr>
        <w:t xml:space="preserve">Community reports occasional dropouts; plan retry and buffering at the adapter level.</w:t>
      </w:r>
    </w:p>
    <w:p>
      <w:pPr>
        <w:pStyle w:val="ListParagraph"/>
        <w:numPr>
          <w:ilvl w:val="0"/>
          <w:numId w:val="2"/>
        </w:numPr>
        <w:spacing w:after="60"/>
      </w:pPr>
      <w:r>
        <w:rPr>
          <w:rFonts w:ascii="Arial" w:cs="Arial" w:eastAsia="Arial" w:hAnsi="Arial"/>
          <w:b/>
          <w:bCs/>
          <w:sz w:val="22"/>
          <w:szCs w:val="22"/>
        </w:rPr>
        <w:t xml:space="preserve">Sensor model differences. </w:t>
      </w:r>
      <w:r>
        <w:rPr>
          <w:rFonts w:ascii="Arial" w:cs="Arial" w:eastAsia="Arial" w:hAnsi="Arial"/>
          <w:sz w:val="22"/>
          <w:szCs w:val="22"/>
        </w:rPr>
        <w:t xml:space="preserve">WS-2902C does not have an ultrasonic anemometer like the Ecowitt WS90; document as known calibration challenge rather than a defect.</w:t>
      </w:r>
    </w:p>
    <w:p>
      <w:pPr>
        <w:pStyle w:val="ListParagraph"/>
        <w:numPr>
          <w:ilvl w:val="0"/>
          <w:numId w:val="2"/>
        </w:numPr>
        <w:spacing w:after="60"/>
      </w:pPr>
      <w:r>
        <w:rPr>
          <w:rFonts w:ascii="Arial" w:cs="Arial" w:eastAsia="Arial" w:hAnsi="Arial"/>
          <w:b/>
          <w:bCs/>
          <w:sz w:val="22"/>
          <w:szCs w:val="22"/>
        </w:rPr>
        <w:t xml:space="preserve">Calibration drift. </w:t>
      </w:r>
      <w:r>
        <w:rPr>
          <w:rFonts w:ascii="Arial" w:cs="Arial" w:eastAsia="Arial" w:hAnsi="Arial"/>
          <w:sz w:val="22"/>
          <w:szCs w:val="22"/>
        </w:rPr>
        <w:t xml:space="preserve">Schedule quarterly re-calibration; add an automated drift detector.</w:t>
      </w:r>
    </w:p>
    <w:p>
      <w:pPr>
        <w:pStyle w:val="ListParagraph"/>
        <w:numPr>
          <w:ilvl w:val="0"/>
          <w:numId w:val="2"/>
        </w:numPr>
        <w:spacing w:after="60"/>
      </w:pPr>
      <w:r>
        <w:rPr>
          <w:rFonts w:ascii="Arial" w:cs="Arial" w:eastAsia="Arial" w:hAnsi="Arial"/>
          <w:b/>
          <w:bCs/>
          <w:sz w:val="22"/>
          <w:szCs w:val="22"/>
        </w:rPr>
        <w:t xml:space="preserve">Ambient cloud dependency. </w:t>
      </w:r>
      <w:r>
        <w:rPr>
          <w:rFonts w:ascii="Arial" w:cs="Arial" w:eastAsia="Arial" w:hAnsi="Arial"/>
          <w:sz w:val="22"/>
          <w:szCs w:val="22"/>
        </w:rPr>
        <w:t xml:space="preserve">Mitigate by relying on the Custom Server direct-push path rather than the Ambient cloud API.</w:t>
      </w:r>
    </w:p>
    <w:p>
      <w:pPr>
        <w:pStyle w:val="Heading2"/>
        <w:spacing w:after="120" w:before="240"/>
      </w:pPr>
      <w:r>
        <w:rPr>
          <w:rFonts w:ascii="Arial" w:cs="Arial" w:eastAsia="Arial" w:hAnsi="Arial"/>
          <w:b/>
          <w:bCs/>
          <w:color w:val="000000"/>
          <w:sz w:val="26"/>
          <w:szCs w:val="26"/>
        </w:rPr>
        <w:t xml:space="preserve">Duration</w:t>
      </w:r>
    </w:p>
    <w:p>
      <w:pPr>
        <w:spacing w:after="120"/>
      </w:pPr>
      <w:r>
        <w:rPr>
          <w:rFonts w:ascii="Arial" w:cs="Arial" w:eastAsia="Arial" w:hAnsi="Arial"/>
          <w:sz w:val="22"/>
          <w:szCs w:val="22"/>
        </w:rPr>
        <w:t xml:space="preserve">3–4 weeks engineering, overlapping with Phase 7. Best start point is during Phase 7.2/7.3 when ingestion abstraction is already needed for the API-driven PWS network features.</w:t>
      </w:r>
    </w:p>
    <w:p>
      <w:r>
        <w:br w:type="page"/>
      </w:r>
    </w:p>
    <w:p>
      <w:pPr>
        <w:pStyle w:val="Heading1"/>
        <w:spacing w:after="160" w:before="320"/>
      </w:pPr>
      <w:r>
        <w:rPr>
          <w:rFonts w:ascii="Arial" w:cs="Arial" w:eastAsia="Arial" w:hAnsi="Arial"/>
          <w:b/>
          <w:bCs/>
          <w:color w:val="2E75B6"/>
          <w:sz w:val="32"/>
          <w:szCs w:val="32"/>
        </w:rPr>
        <w:t xml:space="preserve">4. Combined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c>
          <w:tcPr>
            <w:tcW w:type="dxa" w:w="12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W w:type="dxa" w:w="45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Phase 7</w:t>
            </w:r>
          </w:p>
        </w:tc>
        <w:tc>
          <w:tcPr>
            <w:tcW w:type="dxa" w:w="366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Phase 8</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1–2</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7.1 PWS data acquisition; station discovery + quality filters</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Order WS-2902C</w:t>
            </w:r>
          </w:p>
        </w:tc>
      </w:tr>
      <w:tr>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3</w:t>
            </w:r>
          </w:p>
        </w:tc>
        <w:tc>
          <w:tcPr>
            <w:tcW w:type="dxa" w:w="4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7.2 Feature engineering</w:t>
            </w:r>
          </w:p>
        </w:tc>
        <w:tc>
          <w:tcPr>
            <w:tcW w:type="dxa" w:w="36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Mount station; begin 14-day co-location</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4</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7.3 Experimental design + holdout carve-out</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8.2 Ingestion abstraction refactor</w:t>
            </w:r>
          </w:p>
        </w:tc>
      </w:tr>
      <w:tr>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5</w:t>
            </w:r>
          </w:p>
        </w:tc>
        <w:tc>
          <w:tcPr>
            <w:tcW w:type="dxa" w:w="4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7.4 Run Q1–Q2 ablations</w:t>
            </w:r>
          </w:p>
        </w:tc>
        <w:tc>
          <w:tcPr>
            <w:tcW w:type="dxa" w:w="36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8.3 Ambient adapter live</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6–7</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7.4 Run Q3–Q5 ablations</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8.4 Cross-station evaluation begins</w:t>
            </w:r>
          </w:p>
        </w:tc>
      </w:tr>
      <w:tr>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8</w:t>
            </w:r>
          </w:p>
        </w:tc>
        <w:tc>
          <w:tcPr>
            <w:tcW w:type="dxa" w:w="4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7.4 Run Q6–Q8 ablations</w:t>
            </w:r>
          </w:p>
        </w:tc>
        <w:tc>
          <w:tcPr>
            <w:tcW w:type="dxa" w:w="36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8.4 Cross-station evaluation wraps</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9</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7.5 Productization</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8.5 Vendor integration playbook</w:t>
            </w:r>
          </w:p>
        </w:tc>
      </w:tr>
      <w:tr>
        <w:tc>
          <w:tcPr>
            <w:tcW w:type="dxa" w:w="1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w:t>
            </w:r>
          </w:p>
        </w:tc>
        <w:tc>
          <w:tcPr>
            <w:tcW w:type="dxa" w:w="4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Pitch-materials writeup</w:t>
            </w:r>
          </w:p>
        </w:tc>
        <w:tc>
          <w:tcPr>
            <w:tcW w:type="dxa" w:w="36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Adapter open-source decision</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11–12</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Buffer for iteration and unexpected blockers</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
            </w:r>
          </w:p>
        </w:tc>
      </w:tr>
    </w:tbl>
    <w:p>
      <w:pPr>
        <w:pStyle w:val="Heading1"/>
        <w:spacing w:after="160" w:before="320"/>
      </w:pPr>
      <w:r>
        <w:rPr>
          <w:rFonts w:ascii="Arial" w:cs="Arial" w:eastAsia="Arial" w:hAnsi="Arial"/>
          <w:b/>
          <w:bCs/>
          <w:color w:val="2E75B6"/>
          <w:sz w:val="32"/>
          <w:szCs w:val="32"/>
        </w:rPr>
        <w:t xml:space="preserve">5. Combined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8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336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Temperature skill score improvement from network features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≥0.05 absolute, at 6h horizon</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Threshold above which network value is pitchable to a sophisticated buyer</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Rain detection F1 improvement</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≥0.10 absolute, at 3–6h horizon</w:t>
            </w:r>
          </w:p>
        </w:tc>
        <w:tc>
          <w:tcPr>
            <w:tcW w:type="dxa" w:w="3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Rain is the killer feature for irrigation buyers like Rachio</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Cross-station skill divergence (Ambient vs Ecowitt)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≤±10%</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Hardware portability proof</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Minimum useful network size identified</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Yes (likely 3–5 upwind stations within 50 km)</w:t>
            </w:r>
          </w:p>
        </w:tc>
        <w:tc>
          <w:tcPr>
            <w:tcW w:type="dxa" w:w="3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Informs adoption threshold pitch</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New vendor integration time</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&lt; 2 hours per vendor</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Pitch artifact for licensing conversations</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Holdout includes ≥1 frontal passage and ≥1 stable period</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Yes</w:t>
            </w:r>
          </w:p>
        </w:tc>
        <w:tc>
          <w:tcPr>
            <w:tcW w:type="dxa" w:w="3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Arial" w:cs="Arial" w:eastAsia="Arial" w:hAnsi="Arial"/>
                <w:b w:val="false"/>
                <w:bCs w:val="false"/>
                <w:color w:val="000000"/>
                <w:sz w:val="20"/>
                <w:szCs w:val="20"/>
              </w:rPr>
              <w:t xml:space="preserve">Out-of-regime generalization claim</w:t>
            </w:r>
          </w:p>
        </w:tc>
      </w:tr>
    </w:tbl>
    <w:p>
      <w:pPr>
        <w:pStyle w:val="Heading1"/>
        <w:spacing w:after="160" w:before="320"/>
      </w:pPr>
      <w:r>
        <w:rPr>
          <w:rFonts w:ascii="Arial" w:cs="Arial" w:eastAsia="Arial" w:hAnsi="Arial"/>
          <w:b/>
          <w:bCs/>
          <w:color w:val="2E75B6"/>
          <w:sz w:val="32"/>
          <w:szCs w:val="32"/>
        </w:rPr>
        <w:t xml:space="preserve">6. How this shows up in the pitch</w:t>
      </w:r>
    </w:p>
    <w:p>
      <w:pPr>
        <w:spacing w:after="120"/>
      </w:pPr>
      <w:r>
        <w:rPr>
          <w:rFonts w:ascii="Arial" w:cs="Arial" w:eastAsia="Arial" w:hAnsi="Arial"/>
          <w:sz w:val="22"/>
          <w:szCs w:val="22"/>
        </w:rPr>
        <w:t xml:space="preserve">After Phase 7 and Phase 8, the pitch to Rachio (or Davis, or Ambient) is no longer “I built a better model on my Ecowitt.” It becomes:</w:t>
      </w:r>
    </w:p>
    <w:p>
      <w:pPr>
        <w:spacing w:after="120"/>
      </w:pPr>
      <w:r>
        <w:rPr>
          <w:rFonts w:ascii="Arial" w:cs="Arial" w:eastAsia="Arial" w:hAnsi="Arial"/>
          <w:i/>
          <w:iCs/>
          <w:sz w:val="22"/>
          <w:szCs w:val="22"/>
        </w:rPr>
        <w:t xml:space="preserve">“I built a hyperlocal forecasting service that runs on $200 of consumer hardware, beats the regional NWS forecast by X% on temperature and Y% on rain, and gets better as more PWS stations appear in the neighborhood. It is vendor-agnostic — it works on Ecowitt and Ambient out of the box with a documented two-hour integration path for any new PWS brand. Here is the experimental evidence that quantifies exactly how much network density is required for the service to deliver value.”</w:t>
      </w:r>
    </w:p>
    <w:p>
      <w:pPr>
        <w:spacing w:after="120"/>
      </w:pPr>
      <w:r>
        <w:rPr>
          <w:rFonts w:ascii="Arial" w:cs="Arial" w:eastAsia="Arial" w:hAnsi="Arial"/>
          <w:sz w:val="22"/>
          <w:szCs w:val="22"/>
        </w:rPr>
        <w:t xml:space="preserve">That is a product pitch, not an ML pitch. It is also the form of evidence a sophisticated buyer can evaluate in a 30-minute conversation and a follow-up technical review — which is the bar this work needs to clear.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Hyperlocal Weather Forecasting — Phase 7 &amp; 8 Plan</dc:title>
  <dc:creator>Brad Hinkel</dc:creator>
  <cp:lastModifiedBy>Un-named</cp:lastModifiedBy>
  <cp:revision>1</cp:revision>
  <dcterms:created xsi:type="dcterms:W3CDTF">2026-05-11T16:45:00.201Z</dcterms:created>
  <dcterms:modified xsi:type="dcterms:W3CDTF">2026-05-11T16:45:00.201Z</dcterms:modified>
</cp:coreProperties>
</file>

<file path=docProps/custom.xml><?xml version="1.0" encoding="utf-8"?>
<Properties xmlns="http://schemas.openxmlformats.org/officeDocument/2006/custom-properties" xmlns:vt="http://schemas.openxmlformats.org/officeDocument/2006/docPropsVTypes"/>
</file>