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Calibri" w:cs="Calibri" w:eastAsia="Calibri" w:hAnsi="Calibri"/>
          <w:b/>
          <w:bCs/>
          <w:color w:val="1F3864"/>
          <w:sz w:val="52"/>
          <w:szCs w:val="52"/>
        </w:rPr>
        <w:t xml:space="preserve">Brad &amp; Lisa Kitchen</w:t>
      </w:r>
    </w:p>
    <w:p>
      <w:pPr>
        <w:pBdr>
          <w:bottom w:val="single" w:color="0F6E56" w:sz="20" w:space="6"/>
        </w:pBdr>
        <w:spacing w:after="40" w:before="0"/>
      </w:pPr>
      <w:r>
        <w:rPr>
          <w:rFonts w:ascii="Calibri" w:cs="Calibri" w:eastAsia="Calibri" w:hAnsi="Calibri"/>
          <w:color w:val="0F6E56"/>
          <w:sz w:val="32"/>
          <w:szCs w:val="32"/>
        </w:rPr>
        <w:t xml:space="preserve">Complete Portfolio &amp; Financial Reference</w:t>
      </w:r>
    </w:p>
    <w:p>
      <w:pPr>
        <w:spacing w:after="400" w:before="80"/>
        <w:jc w:val="left"/>
      </w:pPr>
      <w:r>
        <w:rPr>
          <w:rFonts w:ascii="Calibri" w:cs="Calibri" w:eastAsia="Calibri" w:hAnsi="Calibri"/>
          <w:b w:val="false"/>
          <w:bCs w:val="false"/>
          <w:i/>
          <w:iCs/>
          <w:color w:val="595959"/>
          <w:sz w:val="20"/>
          <w:szCs w:val="20"/>
        </w:rPr>
        <w:t>August 21, 2026  |  Confidential  |  Dividend rates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F6E56" w:sz="8"/>
              <w:left w:val="single" w:color="0F6E56" w:sz="8"/>
              <w:bottom w:val="single" w:color="0F6E56" w:sz="8"/>
              <w:right w:val="single" w:color="0F6E56" w:sz="8"/>
            </w:tcBorders>
            <w:shd w:fill="D5F0DF" w:val="clear"/>
            <w:tcMar>
              <w:top w:type="dxa" w:w="160"/>
              <w:left w:type="dxa" w:w="200"/>
              <w:bottom w:type="dxa" w:w="160"/>
              <w:right w:type="dxa" w:w="200"/>
            </w:tcMar>
          </w:tcPr>
          <w:p>
            <w:r>
              <w:rPr>
                <w:rFonts w:ascii="Calibri" w:cs="Calibri" w:eastAsia="Calibri" w:hAnsi="Calibri"/>
                <w:b/>
                <w:bCs/>
                <w:color w:val="0F6E56"/>
                <w:sz w:val="22"/>
                <w:szCs w:val="22"/>
              </w:rPr>
              <w:t xml:space="preserve">Brad Kitchen</w:t>
            </w:r>
          </w:p>
          <w:p>
            <w:pPr>
              <w:spacing w:before="40"/>
            </w:pPr>
            <w:r>
              <w:rPr>
                <w:rFonts w:ascii="Calibri" w:cs="Calibri" w:eastAsia="Calibri" w:hAnsi="Calibri"/>
                <w:color w:val="595959"/>
                <w:sz w:val="18"/>
                <w:szCs w:val="18"/>
              </w:rPr>
              <w:t xml:space="preserve">DOB: June 8, 1962  |  Age 63</w:t>
            </w:r>
          </w:p>
          <w:p>
            <w:pPr>
              <w:spacing w:before="20"/>
            </w:pPr>
            <w:r>
              <w:rPr>
                <w:rFonts w:ascii="Calibri" w:cs="Calibri" w:eastAsia="Calibri" w:hAnsi="Calibri"/>
                <w:color w:val="595959"/>
                <w:sz w:val="18"/>
                <w:szCs w:val="18"/>
              </w:rPr>
              <w:t xml:space="preserve">Oracle Corporation  |  bradekitchen@gmail.com</w:t>
            </w:r>
          </w:p>
          <w:p>
            <w:pPr>
              <w:spacing w:before="20"/>
            </w:pPr>
            <w:r>
              <w:rPr>
                <w:rFonts w:ascii="Calibri" w:cs="Calibri" w:eastAsia="Calibri" w:hAnsi="Calibri"/>
                <w:i/>
                <w:iCs/>
                <w:color w:val="595959"/>
                <w:sz w:val="17"/>
                <w:szCs w:val="17"/>
              </w:rPr>
              <w:t xml:space="preserve">SSN: [stored securely — not in document]</w:t>
            </w:r>
          </w:p>
        </w:tc>
        <w:tc>
          <w:tcPr>
            <w:tcW w:type="dxa" w:w="4680"/>
            <w:tcBorders>
              <w:top w:val="single" w:color="185FA5" w:sz="8"/>
              <w:left w:val="single" w:color="185FA5" w:sz="8"/>
              <w:bottom w:val="single" w:color="185FA5" w:sz="8"/>
              <w:right w:val="single" w:color="185FA5" w:sz="8"/>
            </w:tcBorders>
            <w:shd w:fill="D6E4F0" w:val="clear"/>
            <w:tcMar>
              <w:top w:type="dxa" w:w="160"/>
              <w:left w:type="dxa" w:w="200"/>
              <w:bottom w:type="dxa" w:w="160"/>
              <w:right w:type="dxa" w:w="200"/>
            </w:tcMar>
          </w:tcPr>
          <w:p>
            <w:r>
              <w:rPr>
                <w:rFonts w:ascii="Calibri" w:cs="Calibri" w:eastAsia="Calibri" w:hAnsi="Calibri"/>
                <w:b/>
                <w:bCs/>
                <w:color w:val="185FA5"/>
                <w:sz w:val="22"/>
                <w:szCs w:val="22"/>
              </w:rPr>
              <w:t xml:space="preserve">Lisa Kitchen</w:t>
            </w:r>
          </w:p>
          <w:p>
            <w:pPr>
              <w:spacing w:before="40"/>
            </w:pPr>
            <w:r>
              <w:rPr>
                <w:rFonts w:ascii="Calibri" w:cs="Calibri" w:eastAsia="Calibri" w:hAnsi="Calibri"/>
                <w:color w:val="595959"/>
                <w:sz w:val="18"/>
                <w:szCs w:val="18"/>
              </w:rPr>
              <w:t xml:space="preserve">DOB: November 17, 1962  |  Age 63</w:t>
            </w:r>
          </w:p>
          <w:p>
            <w:pPr>
              <w:spacing w:before="20"/>
            </w:pPr>
            <w:r>
              <w:rPr>
                <w:rFonts w:ascii="Calibri" w:cs="Calibri" w:eastAsia="Calibri" w:hAnsi="Calibri"/>
                <w:color w:val="595959"/>
                <w:sz w:val="18"/>
                <w:szCs w:val="18"/>
              </w:rPr>
              <w:t xml:space="preserve">Reed Integration Services  |  $87,500/yr  |  thekitchens2@comcast.net</w:t>
            </w:r>
          </w:p>
          <w:p>
            <w:pPr>
              <w:spacing w:before="20"/>
            </w:pPr>
            <w:r>
              <w:rPr>
                <w:rFonts w:ascii="Calibri" w:cs="Calibri" w:eastAsia="Calibri" w:hAnsi="Calibri"/>
                <w:i/>
                <w:iCs/>
                <w:color w:val="595959"/>
                <w:sz w:val="17"/>
                <w:szCs w:val="17"/>
              </w:rPr>
              <w:t xml:space="preserve">SSN: [stored securely — not in document]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0"/>
              <w:left w:val="single" w:color="A32D2D" w:sz="10"/>
              <w:bottom w:val="single" w:color="A32D2D" w:sz="10"/>
              <w:right w:val="single" w:color="A32D2D" w:sz="10"/>
            </w:tcBorders>
            <w:shd w:fill="FCEBEB" w:val="clear"/>
            <w:tcMar>
              <w:top w:type="dxa" w:w="120"/>
              <w:left w:type="dxa" w:w="180"/>
              <w:bottom w:type="dxa" w:w="120"/>
              <w:right w:type="dxa" w:w="180"/>
            </w:tcMar>
          </w:tcPr>
          <w:p>
            <w:r>
              <w:rPr>
                <w:rFonts w:ascii="Calibri" w:cs="Calibri" w:eastAsia="Calibri" w:hAnsi="Calibri"/>
                <w:b/>
                <w:bCs/>
                <w:color w:val="A32D2D"/>
                <w:sz w:val="20"/>
                <w:szCs w:val="20"/>
              </w:rPr>
              <w:t xml:space="preserve">IMPORTANT — IF READING THIS DOCUMENT IN AN EMERGENCY: See Section 7 (page last) for immediate action steps, key contacts, and account access information.</w:t>
            </w:r>
          </w:p>
        </w:tc>
      </w:tr>
    </w:tbl>
    <w:p>
      <w:pPr>
        <w:spacing w:after="0" w:before="160"/>
      </w:pPr>
      <w:r>
        <w:t xml:space="preserve"/>
      </w:r>
    </w:p>
    <w:p>
      <w:pPr>
        <w:spacing w:after="80" w:before="160"/>
      </w:pPr>
      <w:r>
        <w:rPr>
          <w:rFonts w:ascii="Calibri" w:cs="Calibri" w:eastAsia="Calibri" w:hAnsi="Calibri"/>
          <w:b/>
          <w:bCs/>
          <w:color w:val="1F3864"/>
          <w:sz w:val="24"/>
          <w:szCs w:val="24"/>
        </w:rPr>
        <w:t>Investment Portfolio Summary — August 21,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c>
          <w:tcPr>
            <w:tcW w:type="dxa" w:w="324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Account / Category</w:t>
            </w:r>
          </w:p>
        </w:tc>
        <w:tc>
          <w:tcPr>
            <w:tcW w:type="dxa" w:w="216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Value</w:t>
            </w:r>
          </w:p>
        </w:tc>
        <w:tc>
          <w:tcPr>
            <w:tcW w:type="dxa" w:w="396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Notes</w:t>
            </w:r>
          </w:p>
        </w:tc>
      </w:tr>
      <w:tr>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Pillar 1 — Income Portfolio</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$1,240,961</w:t>
            </w:r>
          </w:p>
        </w:tc>
        <w:tc>
          <w:tcPr>
            <w:tcW w:type="dxa" w:w="39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6 account types · $82,171/yr income</w:t>
            </w:r>
          </w:p>
        </w:tc>
      </w:tr>
      <w:tr>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Pillar 2 — Growth (401k)</w:t>
            </w:r>
          </w:p>
        </w:tc>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$403,812</w:t>
            </w:r>
          </w:p>
        </w:tc>
        <w:tc>
          <w:tcPr>
            <w:tcW w:type="dxa" w:w="39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401k · Fidelity · pure growth</w:t>
            </w:r>
          </w:p>
        </w:tc>
      </w:tr>
      <w:tr>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Pillar 3 — Health/LTC Reserve</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$408,597</w:t>
            </w:r>
          </w:p>
        </w:tc>
        <w:tc>
          <w:tcPr>
            <w:tcW w:type="dxa" w:w="39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8 positions · 2 IRAs · pure growth</w:t>
            </w:r>
          </w:p>
        </w:tc>
      </w:tr>
      <w:tr>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Roth IRA</w:t>
            </w:r>
          </w:p>
        </w:tc>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$104</w:t>
            </w:r>
          </w:p>
        </w:tc>
        <w:tc>
          <w:tcPr>
            <w:tcW w:type="dxa" w:w="39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Building via Q4 conversions annually</w:t>
            </w:r>
          </w:p>
        </w:tc>
      </w:tr>
      <w:tr>
        <w:tc>
          <w:tcPr>
            <w:tcW w:type="dxa" w:w="324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bCs/>
                <w:i w:val="false"/>
                <w:iCs w:val="false"/>
                <w:color w:val="0C447C"/>
                <w:sz w:val="18"/>
                <w:szCs w:val="18"/>
              </w:rPr>
              <w:t xml:space="preserve">Three Pillars Subtotal</w:t>
            </w:r>
          </w:p>
        </w:tc>
        <w:tc>
          <w:tcPr>
            <w:tcW w:type="dxa" w:w="216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bCs/>
                <w:i w:val="false"/>
                <w:iCs w:val="false"/>
                <w:color w:val="0C447C"/>
                <w:sz w:val="18"/>
                <w:szCs w:val="18"/>
              </w:rPr>
              <w:t xml:space="preserve">$2,141,449</w:t>
            </w:r>
          </w:p>
        </w:tc>
        <w:tc>
          <w:tcPr>
            <w:tcW w:type="dxa" w:w="396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Investable portfolio</w:t>
            </w:r>
          </w:p>
        </w:tc>
      </w:tr>
      <w:tr>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Capital One Savings (SACRED)</w:t>
            </w:r>
          </w:p>
        </w:tc>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$60,000</w:t>
            </w:r>
          </w:p>
        </w:tc>
        <w:tc>
          <w:tcPr>
            <w:tcW w:type="dxa" w:w="39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Emergency reserve — NEVER touch principal</w:t>
            </w:r>
          </w:p>
        </w:tc>
      </w:tr>
      <w:tr>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Crypto (iTrust + Crypto.com)</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~$27,326</w:t>
            </w:r>
          </w:p>
        </w:tc>
        <w:tc>
          <w:tcPr>
            <w:tcW w:type="dxa" w:w="39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Speculative — approx · market prices vary</w:t>
            </w:r>
          </w:p>
        </w:tc>
      </w:tr>
      <w:tr>
        <w:tc>
          <w:tcPr>
            <w:tcW w:type="dxa" w:w="3240"/>
            <w:tcBorders>
              <w:top w:val="single" w:color="1F3864" w:sz="3"/>
              <w:left w:val="single" w:color="1F3864" w:sz="3"/>
              <w:bottom w:val="single" w:color="1F3864" w:sz="3"/>
              <w:right w:val="single" w:color="1F3864" w:sz="3"/>
            </w:tcBorders>
            <w:shd w:fill="1F3864" w:val="clear"/>
            <w:tcMar>
              <w:top w:type="dxa" w:w="70"/>
              <w:left w:type="dxa" w:w="130"/>
              <w:bottom w:type="dxa" w:w="70"/>
              <w:right w:type="dxa" w:w="130"/>
            </w:tcMar>
          </w:tcPr>
          <w:p>
            <w:pPr>
              <w:jc w:val="left"/>
            </w:pPr>
            <w:r>
              <w:rPr>
                <w:rFonts w:ascii="Calibri" w:cs="Calibri" w:eastAsia="Calibri" w:hAnsi="Calibri"/>
                <w:b/>
                <w:bCs/>
                <w:i w:val="false"/>
                <w:iCs w:val="false"/>
                <w:color w:val="FFFFFF"/>
                <w:sz w:val="18"/>
                <w:szCs w:val="18"/>
              </w:rPr>
              <w:t xml:space="preserve">INVESTMENT PORTFOLIO TOTAL</w:t>
            </w:r>
          </w:p>
        </w:tc>
        <w:tc>
          <w:tcPr>
            <w:tcW w:type="dxa" w:w="2160"/>
            <w:tcBorders>
              <w:top w:val="single" w:color="1F3864" w:sz="3"/>
              <w:left w:val="single" w:color="1F3864" w:sz="3"/>
              <w:bottom w:val="single" w:color="1F3864" w:sz="3"/>
              <w:right w:val="single" w:color="1F3864" w:sz="3"/>
            </w:tcBorders>
            <w:shd w:fill="1F3864" w:val="clear"/>
            <w:tcMar>
              <w:top w:type="dxa" w:w="70"/>
              <w:left w:type="dxa" w:w="130"/>
              <w:bottom w:type="dxa" w:w="70"/>
              <w:right w:type="dxa" w:w="130"/>
            </w:tcMar>
          </w:tcPr>
          <w:p>
            <w:pPr>
              <w:jc w:val="left"/>
            </w:pPr>
            <w:r>
              <w:rPr>
                <w:rFonts w:ascii="Calibri" w:cs="Calibri" w:eastAsia="Calibri" w:hAnsi="Calibri"/>
                <w:b/>
                <w:bCs/>
                <w:i w:val="false"/>
                <w:iCs w:val="false"/>
                <w:color w:val="FFFFFF"/>
                <w:sz w:val="18"/>
                <w:szCs w:val="18"/>
              </w:rPr>
              <w:t xml:space="preserve">~$2,141,449</w:t>
            </w:r>
          </w:p>
        </w:tc>
        <w:tc>
          <w:tcPr>
            <w:tcW w:type="dxa" w:w="3960"/>
            <w:tcBorders>
              <w:top w:val="single" w:color="1F3864" w:sz="3"/>
              <w:left w:val="single" w:color="1F3864" w:sz="3"/>
              <w:bottom w:val="single" w:color="1F3864" w:sz="3"/>
              <w:right w:val="single" w:color="1F3864" w:sz="3"/>
            </w:tcBorders>
            <w:shd w:fill="1F3864"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CADCFC"/>
                <w:sz w:val="18"/>
                <w:szCs w:val="18"/>
              </w:rPr>
              <w:t>August 21, 2026 — approximate</w:t>
            </w:r>
          </w:p>
        </w:tc>
      </w:tr>
    </w:tbl>
    <w:p>
      <w:pPr>
        <w:spacing w:after="0" w:before="160"/>
      </w:pPr>
      <w:r>
        <w:t xml:space="preserve"/>
      </w:r>
    </w:p>
    <w:p>
      <w:pPr>
        <w:spacing w:after="80" w:before="160"/>
      </w:pPr>
      <w:r>
        <w:rPr>
          <w:rFonts w:ascii="Calibri" w:cs="Calibri" w:eastAsia="Calibri" w:hAnsi="Calibri"/>
          <w:b/>
          <w:bCs/>
          <w:color w:val="0F6E56"/>
          <w:sz w:val="24"/>
          <w:szCs w:val="24"/>
        </w:rPr>
        <w:t xml:space="preserve">Income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1440"/>
        <w:gridCol w:w="3240"/>
      </w:tblGrid>
      <w:tr>
        <w:tc>
          <w:tcPr>
            <w:tcW w:type="dxa" w:w="288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Source</w:t>
            </w:r>
          </w:p>
        </w:tc>
        <w:tc>
          <w:tcPr>
            <w:tcW w:type="dxa" w:w="180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Annual</w:t>
            </w:r>
          </w:p>
        </w:tc>
        <w:tc>
          <w:tcPr>
            <w:tcW w:type="dxa" w:w="144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Monthly</w:t>
            </w:r>
          </w:p>
        </w:tc>
        <w:tc>
          <w:tcPr>
            <w:tcW w:type="dxa" w:w="324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Notes</w:t>
            </w:r>
          </w:p>
        </w:tc>
      </w:tr>
      <w:tr>
        <w:tc>
          <w:tcPr>
            <w:tcW w:type="dxa" w:w="28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Portfolio income (confirmed)</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$81,482</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$6,731</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All 6 account types — rates verified</w:t>
            </w:r>
          </w:p>
        </w:tc>
      </w:tr>
      <w:tr>
        <w:tc>
          <w:tcPr>
            <w:tcW w:type="dxa" w:w="28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Capital One interest (3.00% APY)</w:t>
            </w:r>
          </w:p>
        </w:tc>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$1,800</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$150</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Transfers to joint for reinvestment — confirm APY from statement</w:t>
            </w:r>
          </w:p>
        </w:tc>
      </w:tr>
      <w:tr>
        <w:tc>
          <w:tcPr>
            <w:tcW w:type="dxa" w:w="288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 xml:space="preserve">Combined income</w:t>
            </w:r>
          </w:p>
        </w:tc>
        <w:tc>
          <w:tcPr>
            <w:tcW w:type="dxa" w:w="180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 xml:space="preserve">$82,171</w:t>
            </w:r>
          </w:p>
        </w:tc>
        <w:tc>
          <w:tcPr>
            <w:tcW w:type="dxa" w:w="14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F6E56"/>
                <w:sz w:val="18"/>
                <w:szCs w:val="18"/>
              </w:rPr>
              <w:t xml:space="preserve">$6,848</w:t>
            </w:r>
          </w:p>
        </w:tc>
        <w:tc>
          <w:tcPr>
            <w:tcW w:type="dxa" w:w="32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All-in income $93,114/yr exceeds $84K target (incl. P2/P3 divs redeployed to P1)</w:t>
            </w:r>
          </w:p>
        </w:tc>
      </w:tr>
    </w:tbl>
    <w:p>
      <w:pPr>
        <w:spacing w:after="40" w:before="40"/>
      </w:pPr>
      <w:r>
        <w:rPr>
          <w:rFonts w:ascii="Calibri" w:cs="Calibri" w:eastAsia="Calibri" w:hAnsi="Calibri"/>
          <w:i/>
          <w:iCs/>
          <w:color w:val="888780"/>
          <w:sz w:val="17"/>
          <w:szCs w:val="17"/>
        </w:rPr>
        <w:t xml:space="preserve">Capital One APY estimated at 3.00% — Brad to confirm exact rate from account statement. Principal $60,000 is sacred and never used for income.</w:t>
      </w:r>
    </w:p>
    <w:p>
      <w:pPr>
        <w:spacing w:after="0" w:before="160"/>
      </w:pPr>
      <w:r>
        <w:t xml:space="preserve"/>
      </w:r>
    </w:p>
    <w:p>
      <w:pPr>
        <w:spacing w:after="80" w:before="160"/>
      </w:pPr>
      <w:r>
        <w:rPr>
          <w:rFonts w:ascii="Calibri" w:cs="Calibri" w:eastAsia="Calibri" w:hAnsi="Calibri"/>
          <w:b/>
          <w:bCs/>
          <w:color w:val="1F3864"/>
          <w:sz w:val="24"/>
          <w:szCs w:val="24"/>
        </w:rPr>
        <w:t xml:space="preserve">Account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c>
          <w:tcPr>
            <w:tcW w:type="dxa" w:w="216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Institution</w:t>
            </w:r>
          </w:p>
        </w:tc>
        <w:tc>
          <w:tcPr>
            <w:tcW w:type="dxa" w:w="396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Accounts Held</w:t>
            </w:r>
          </w:p>
        </w:tc>
        <w:tc>
          <w:tcPr>
            <w:tcW w:type="dxa" w:w="324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Contact / Access</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Schwab (schwab.com)</w:t>
            </w:r>
          </w:p>
        </w:tc>
        <w:tc>
          <w:tcPr>
            <w:tcW w:type="dxa" w:w="39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IRA · Lisa IRA · Lisa Roth IRA · Joint Brokerage</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1-800-435-4000  |  schwab.com</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Fidelity (fidelity.com)</w:t>
            </w:r>
          </w:p>
        </w:tc>
        <w:tc>
          <w:tcPr>
            <w:tcW w:type="dxa" w:w="39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Roth IRA · Brad 401k · Brad HSA · Lisa HSA</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1-800-343-3548  |  fidelity.com</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Capital One</w:t>
            </w:r>
          </w:p>
        </w:tc>
        <w:tc>
          <w:tcPr>
            <w:tcW w:type="dxa" w:w="39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Two 360 Performance Savings accounts</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1-877-383-4802  |  capitalone.com</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iTrust Capital</w:t>
            </w:r>
          </w:p>
        </w:tc>
        <w:tc>
          <w:tcPr>
            <w:tcW w:type="dxa" w:w="39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crypto IRA (BTC/ETH/ADA/SOL/DOT)</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itrustcapital.com</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Crypto.com</w:t>
            </w:r>
          </w:p>
        </w:tc>
        <w:tc>
          <w:tcPr>
            <w:tcW w:type="dxa" w:w="39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Joint crypto (BTC/ETH/ADA/SOL/DOT)</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crypto.com</w:t>
            </w:r>
          </w:p>
        </w:tc>
      </w:tr>
    </w:tbl>
    <w:p>
      <w:r>
        <w:br w:type="page"/>
      </w:r>
    </w:p>
    <w:p>
      <w:pPr>
        <w:pBdr>
          <w:bottom w:val="single" w:color="0F6E56" w:sz="12" w:space="4"/>
        </w:pBdr>
        <w:spacing w:after="100" w:before="200"/>
      </w:pPr>
      <w:r>
        <w:rPr>
          <w:rFonts w:ascii="Calibri" w:cs="Calibri" w:eastAsia="Calibri" w:hAnsi="Calibri"/>
          <w:b/>
          <w:bCs/>
          <w:color w:val="1F3864"/>
          <w:sz w:val="32"/>
          <w:szCs w:val="32"/>
        </w:rPr>
        <w:t xml:space="preserve">Pillar 1 — Income Portfolio</w:t>
      </w:r>
    </w:p>
    <w:p>
      <w:pPr>
        <w:spacing w:after="160" w:before="60"/>
        <w:jc w:val="left"/>
      </w:pPr>
      <w:r>
        <w:rPr>
          <w:rFonts w:ascii="Calibri" w:cs="Calibri" w:eastAsia="Calibri" w:hAnsi="Calibri"/>
          <w:b w:val="false"/>
          <w:bCs w:val="false"/>
          <w:i/>
          <w:iCs/>
          <w:color w:val="595959"/>
          <w:sz w:val="19"/>
          <w:szCs w:val="19"/>
        </w:rPr>
        <w:t>$82,058/yr · $6,848/mo · 48 positions · 6 account types · rates verified August 21, 2026</w:t>
      </w:r>
    </w:p>
    <w:p>
      <w:pPr>
        <w:spacing w:after="80" w:before="160"/>
      </w:pPr>
      <w:r>
        <w:rPr>
          <w:rFonts w:ascii="Calibri" w:cs="Calibri" w:eastAsia="Calibri" w:hAnsi="Calibri"/>
          <w:b/>
          <w:bCs/>
          <w:color w:val="0F6E56"/>
          <w:sz w:val="24"/>
          <w:szCs w:val="24"/>
        </w:rPr>
        <w:t xml:space="preserve">Income by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1440"/>
        <w:gridCol w:w="1080"/>
        <w:gridCol w:w="2520"/>
      </w:tblGrid>
      <w:tr>
        <w:tc>
          <w:tcPr>
            <w:tcW w:type="dxa" w:w="180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Account</w:t>
            </w:r>
          </w:p>
        </w:tc>
        <w:tc>
          <w:tcPr>
            <w:tcW w:type="dxa" w:w="252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Tax Treatment</w:t>
            </w:r>
          </w:p>
        </w:tc>
        <w:tc>
          <w:tcPr>
            <w:tcW w:type="dxa" w:w="144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Annual Income</w:t>
            </w:r>
          </w:p>
        </w:tc>
        <w:tc>
          <w:tcPr>
            <w:tcW w:type="dxa" w:w="108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Monthly</w:t>
            </w:r>
          </w:p>
        </w:tc>
        <w:tc>
          <w:tcPr>
            <w:tcW w:type="dxa" w:w="252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Asset Value</w:t>
            </w:r>
          </w:p>
        </w:tc>
      </w:tr>
      <w:tr>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IRA</w:t>
            </w:r>
          </w:p>
        </w:tc>
        <w:tc>
          <w:tcPr>
            <w:tcW w:type="dxa" w:w="25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Traditional (taxable on withdrawal)</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$23,096</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$1,868</w:t>
            </w:r>
          </w:p>
        </w:tc>
        <w:tc>
          <w:tcPr>
            <w:tcW w:type="dxa" w:w="25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$414,958</w:t>
            </w:r>
          </w:p>
        </w:tc>
      </w:tr>
      <w:tr>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IRA</w:t>
            </w:r>
          </w:p>
        </w:tc>
        <w:tc>
          <w:tcPr>
            <w:tcW w:type="dxa" w:w="25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Traditional (taxable on withdrawal)</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$20,144</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$1,679</w:t>
            </w:r>
          </w:p>
        </w:tc>
        <w:tc>
          <w:tcPr>
            <w:tcW w:type="dxa" w:w="25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$402,806</w:t>
            </w:r>
          </w:p>
        </w:tc>
      </w:tr>
      <w:tr>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Roth IRA</w:t>
            </w:r>
          </w:p>
        </w:tc>
        <w:tc>
          <w:tcPr>
            <w:tcW w:type="dxa" w:w="25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TAX-FREE — never taxed again</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$28,351</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$2,342</w:t>
            </w:r>
          </w:p>
        </w:tc>
        <w:tc>
          <w:tcPr>
            <w:tcW w:type="dxa" w:w="25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$276,026</w:t>
            </w:r>
          </w:p>
        </w:tc>
      </w:tr>
      <w:tr>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HSA</w:t>
            </w:r>
          </w:p>
        </w:tc>
        <w:tc>
          <w:tcPr>
            <w:tcW w:type="dxa" w:w="25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TRIPLE TAX-FREE</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$5,755</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$480</w:t>
            </w:r>
          </w:p>
        </w:tc>
        <w:tc>
          <w:tcPr>
            <w:tcW w:type="dxa" w:w="25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$47,901</w:t>
            </w:r>
          </w:p>
        </w:tc>
      </w:tr>
      <w:tr>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HSA</w:t>
            </w:r>
          </w:p>
        </w:tc>
        <w:tc>
          <w:tcPr>
            <w:tcW w:type="dxa" w:w="25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TRIPLE TAX-FREE</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$892</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$74</w:t>
            </w:r>
          </w:p>
        </w:tc>
        <w:tc>
          <w:tcPr>
            <w:tcW w:type="dxa" w:w="25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$5,528</w:t>
            </w:r>
          </w:p>
        </w:tc>
      </w:tr>
      <w:tr>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Joint Brokerage</w:t>
            </w:r>
          </w:p>
        </w:tc>
        <w:tc>
          <w:tcPr>
            <w:tcW w:type="dxa" w:w="25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Taxable — long-term cap gains rates</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$1,927</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$161</w:t>
            </w:r>
          </w:p>
        </w:tc>
        <w:tc>
          <w:tcPr>
            <w:tcW w:type="dxa" w:w="25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$58,510</w:t>
            </w:r>
          </w:p>
        </w:tc>
      </w:tr>
      <w:tr>
        <w:tc>
          <w:tcPr>
            <w:tcW w:type="dxa" w:w="180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 xml:space="preserve">TOTAL</w:t>
            </w:r>
          </w:p>
        </w:tc>
        <w:tc>
          <w:tcPr>
            <w:tcW w:type="dxa" w:w="252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c>
          <w:tcPr>
            <w:tcW w:type="dxa" w:w="14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$82,058/yr</w:t>
            </w:r>
          </w:p>
        </w:tc>
        <w:tc>
          <w:tcPr>
            <w:tcW w:type="dxa" w:w="108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F6E56"/>
                <w:sz w:val="18"/>
                <w:szCs w:val="18"/>
              </w:rPr>
              <w:t>$6,848/mo</w:t>
            </w:r>
          </w:p>
        </w:tc>
        <w:tc>
          <w:tcPr>
            <w:tcW w:type="dxa" w:w="252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 xml:space="preserve">$1,240,961</w:t>
            </w:r>
          </w:p>
        </w:tc>
      </w:tr>
    </w:tbl>
    <w:p>
      <w:pPr>
        <w:spacing w:after="0" w:before="80"/>
      </w:pPr>
      <w:r>
        <w:t xml:space="preserve"/>
      </w:r>
    </w:p>
    <w:p>
      <w:pPr>
        <w:spacing w:after="40" w:before="40"/>
      </w:pPr>
      <w:r>
        <w:rPr>
          <w:rFonts w:ascii="Calibri" w:cs="Calibri" w:eastAsia="Calibri" w:hAnsi="Calibri"/>
          <w:i/>
          <w:iCs/>
          <w:color w:val="888780"/>
          <w:sz w:val="17"/>
          <w:szCs w:val="17"/>
        </w:rPr>
        <w:t xml:space="preserve">All dividends paid in cash — NO DRIPs. Cash accumulates and is manually redeployed. Brad manages all redeployment decisions.</w:t>
      </w:r>
    </w:p>
    <w:p>
      <w:pPr>
        <w:spacing w:after="0" w:before="160"/>
      </w:pPr>
      <w:r>
        <w:t xml:space="preserve"/>
      </w:r>
    </w:p>
    <w:p>
      <w:pPr>
        <w:spacing w:after="80" w:before="160"/>
      </w:pPr>
      <w:r>
        <w:rPr>
          <w:rFonts w:ascii="Calibri" w:cs="Calibri" w:eastAsia="Calibri" w:hAnsi="Calibri"/>
          <w:b/>
          <w:bCs/>
          <w:color w:val="0C447C"/>
          <w:sz w:val="24"/>
          <w:szCs w:val="24"/>
        </w:rPr>
        <w:t>Brad IRA — $419,775 · $23,121/yr</w:t>
      </w:r>
    </w:p>
    <w:p>
      <w:pPr>
        <w:spacing w:after="40" w:before="40"/>
      </w:pPr>
      <w:r>
        <w:rPr>
          <w:rFonts w:ascii="Calibri" w:cs="Calibri" w:eastAsia="Calibri" w:hAnsi="Calibri"/>
          <w:i/>
          <w:iCs/>
          <w:color w:val="888780"/>
          <w:sz w:val="17"/>
          <w:szCs w:val="17"/>
        </w:rPr>
        <w:t xml:space="preserve">Schwab IRA · Traditional · taxable on withdrawal · RMDs begin at age 73 (Brad turns 73 in 2035)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080"/>
        <w:gridCol w:w="3240"/>
      </w:tblGrid>
      <w:tr>
        <w:tc>
          <w:tcPr>
            <w:tcW w:type="dxa" w:w="216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Position</w:t>
            </w:r>
          </w:p>
        </w:tc>
        <w:tc>
          <w:tcPr>
            <w:tcW w:type="dxa" w:w="144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Shares</w:t>
            </w:r>
          </w:p>
        </w:tc>
        <w:tc>
          <w:tcPr>
            <w:tcW w:type="dxa" w:w="144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Annual Income</w:t>
            </w:r>
          </w:p>
        </w:tc>
        <w:tc>
          <w:tcPr>
            <w:tcW w:type="dxa" w:w="108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Yield</w:t>
            </w:r>
          </w:p>
        </w:tc>
        <w:tc>
          <w:tcPr>
            <w:tcW w:type="dxa" w:w="324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Category</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ARCC — Ares Capital Corp</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1,250sh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$2,400/yr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9.1%</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BDC — middle market lending</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MAIN — Main Street Capital</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400sh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$1,248/yr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5.7%</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BDC — LMM equity+debt · monthly (+~$480 supplementals)</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BIP — Brookfield Infrastructure</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142sh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$0/yr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6.7%</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Infrastructure MLP</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DLR — Digital Realty Trust</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150sh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$732/yr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3.1%</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Data center REIT</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ET — Energy Transfer LP</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1,980sh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$2,653/yr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7.9%</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Midstream energy MLP (K-1) in IRA — UBTI WATCH: check Box 20V on K-1 yearly ($1,000 IRA deduction); sale triggers depreciation-recapture UBTI (990-T, paid from IRA). Do NOT add units in IRA — grows UBTI. Consider moving to taxable; consult CPA before selling. Plan: → joint Q4 2026</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IIPR — Innovative Industrial</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75sh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$570/yr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10.9%</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Cannabis REIT</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IRM — Iron Mountain</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450sh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$1,555/yr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4.1%</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Data/document storage REIT</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LADR — Ladder Capital</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800sh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$736/yr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10.0%</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Commercial mortgage REIT</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O — Realty Income</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1,430sh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$4,991/yr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5.1%</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Net lease REIT — MONTHLY payer · anchor position</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OKE — Oneok Inc</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250sh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$1,070/yr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3.9%</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Midstream natural gas pipeline</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PBA — Pembina Pipeline</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275sh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$569/yr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6.9%</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Canadian pipeline (K-1)</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PTY — PIMCO Corp &amp; Income</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1,900sh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$2,717/yr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11.9%</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PIMCO corporate credit CEF — monthly</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SPG — Simon Property Group</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210sh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$1,848/yr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5.5%</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Premier mall REIT</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STAG — STAG Industrial</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410sh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$635/yr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4.3%</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Industrial REIT — now quarterly</w:t>
            </w:r>
          </w:p>
        </w:tc>
      </w:tr>
      <w:tr>
        <w:tc>
          <w:tcPr>
            <w:tcW w:type="dxa" w:w="216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bCs/>
                <w:i w:val="false"/>
                <w:iCs w:val="false"/>
                <w:color w:val="0C447C"/>
                <w:sz w:val="18"/>
                <w:szCs w:val="18"/>
              </w:rPr>
              <w:t xml:space="preserve">Brad IRA Total</w:t>
            </w:r>
          </w:p>
        </w:tc>
        <w:tc>
          <w:tcPr>
            <w:tcW w:type="dxa" w:w="144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13 positions</w:t>
            </w:r>
          </w:p>
        </w:tc>
        <w:tc>
          <w:tcPr>
            <w:tcW w:type="dxa" w:w="144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bCs/>
                <w:i w:val="false"/>
                <w:iCs w:val="false"/>
                <w:color w:val="0C447C"/>
                <w:sz w:val="18"/>
                <w:szCs w:val="18"/>
              </w:rPr>
              <w:t>$23,121/yr</w:t>
            </w:r>
          </w:p>
        </w:tc>
        <w:tc>
          <w:tcPr>
            <w:tcW w:type="dxa" w:w="108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6.9% blended</w:t>
            </w:r>
          </w:p>
        </w:tc>
        <w:tc>
          <w:tcPr>
            <w:tcW w:type="dxa" w:w="324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Schwab IRA</w:t>
            </w:r>
          </w:p>
        </w:tc>
      </w:tr>
    </w:tbl>
    <w:p>
      <w:pPr>
        <w:spacing w:after="0" w:before="160"/>
      </w:pPr>
      <w:r>
        <w:t xml:space="preserve"/>
      </w:r>
    </w:p>
    <w:p>
      <w:pPr>
        <w:spacing w:after="80" w:before="160"/>
      </w:pPr>
      <w:r>
        <w:rPr>
          <w:rFonts w:ascii="Calibri" w:cs="Calibri" w:eastAsia="Calibri" w:hAnsi="Calibri"/>
          <w:b/>
          <w:bCs/>
          <w:color w:val="0C447C"/>
          <w:sz w:val="24"/>
          <w:szCs w:val="24"/>
        </w:rPr>
        <w:t>Lisa IRA — $402,806 · $20,232/yr</w:t>
      </w:r>
    </w:p>
    <w:p>
      <w:pPr>
        <w:spacing w:after="40" w:before="40"/>
      </w:pPr>
      <w:r>
        <w:rPr>
          <w:rFonts w:ascii="Calibri" w:cs="Calibri" w:eastAsia="Calibri" w:hAnsi="Calibri"/>
          <w:i/>
          <w:iCs/>
          <w:color w:val="888780"/>
          <w:sz w:val="17"/>
          <w:szCs w:val="17"/>
        </w:rPr>
        <w:t xml:space="preserve">Schwab IRA · Traditional · taxable on withdrawal · RMDs begin at age 73 (Lisa turns 73 in 2035)</w:t>
      </w:r>
    </w:p>
    <w:p>
      <w:pPr>
        <w:spacing w:after="40" w:before="40"/>
      </w:pPr>
      <w:r>
        <w:rPr>
          <w:rFonts w:ascii="Calibri" w:cs="Calibri" w:eastAsia="Calibri" w:hAnsi="Calibri"/>
          <w:i/>
          <w:iCs/>
          <w:color w:val="888780"/>
          <w:sz w:val="17"/>
          <w:szCs w:val="17"/>
        </w:rPr>
        <w:t xml:space="preserve">SCHE: 50% sell pending after June 24 ex-div. SCHC: fully kept in LTC — confirmed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080"/>
        <w:gridCol w:w="3240"/>
      </w:tblGrid>
      <w:tr>
        <w:tc>
          <w:tcPr>
            <w:tcW w:type="dxa" w:w="216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Position</w:t>
            </w:r>
          </w:p>
        </w:tc>
        <w:tc>
          <w:tcPr>
            <w:tcW w:type="dxa" w:w="144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Shares</w:t>
            </w:r>
          </w:p>
        </w:tc>
        <w:tc>
          <w:tcPr>
            <w:tcW w:type="dxa" w:w="144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Annual Income</w:t>
            </w:r>
          </w:p>
        </w:tc>
        <w:tc>
          <w:tcPr>
            <w:tcW w:type="dxa" w:w="108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Yield</w:t>
            </w:r>
          </w:p>
        </w:tc>
        <w:tc>
          <w:tcPr>
            <w:tcW w:type="dxa" w:w="324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Category</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BLOK — Amplify Blockchain ETF</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500sh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$175/yr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4.4%</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Blockchain technology ETF</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BME — BlackRock Health Sciences</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1,000sh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$3,145/yr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7.9%</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Healthcare sciences CEF</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DFP — Flaherty Crumrine Preferred</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1,000sh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$1,524/yr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7.4%</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Preferred securities CEF</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DIS — Walt Disney Company</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25sh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$38/yr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1.5%</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Semi-annual — $0.75 per payment</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NLOP — Net Lease Office Prop</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26sh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$0 forecast</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Special distributions only — treat as upside surprise</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PDO — PIMCO Dynamic Income Opp</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1,500sh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$2,295/yr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12.0%</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PIMCO multi-sector CEF — monthly</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PLD — Prologis Inc</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230sh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$984/yr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3.3%</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Industrial REIT — raised 6% to $4.28/yr Feb 2026</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SCHD — Schwab US Dividend ETF</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2,955sh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$3,000/yr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3.5%</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+pending pending from MM ($30,300 ready)</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SCHZ — Schwab US Agg Bond ETF</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350sh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$331/yr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4.1%</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Bond ETF — monthly distribution</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UTF — Cohen &amp; Steers Infra</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2,580sh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$4,799/yr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6.9%</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Infrastructure CEF — $0.155/mo confirmed</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VICI — VICI Properties</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890sh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$1,530/yr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6.4%</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Gaming &amp; hospitality REIT</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WPC — W.P. Carey</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440sh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$1,619/yr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5.4%</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Net lease REIT</w:t>
            </w:r>
          </w:p>
        </w:tc>
      </w:tr>
      <w:tr>
        <w:tc>
          <w:tcPr>
            <w:tcW w:type="dxa" w:w="216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bCs/>
                <w:i w:val="false"/>
                <w:iCs w:val="false"/>
                <w:color w:val="0C447C"/>
                <w:sz w:val="18"/>
                <w:szCs w:val="18"/>
              </w:rPr>
              <w:t xml:space="preserve">Lisa IRA Total</w:t>
            </w:r>
          </w:p>
        </w:tc>
        <w:tc>
          <w:tcPr>
            <w:tcW w:type="dxa" w:w="144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12 positions</w:t>
            </w:r>
          </w:p>
        </w:tc>
        <w:tc>
          <w:tcPr>
            <w:tcW w:type="dxa" w:w="144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bCs/>
                <w:i w:val="false"/>
                <w:iCs w:val="false"/>
                <w:color w:val="0C447C"/>
                <w:sz w:val="18"/>
                <w:szCs w:val="18"/>
              </w:rPr>
              <w:t>$20,057/yr</w:t>
            </w:r>
          </w:p>
        </w:tc>
        <w:tc>
          <w:tcPr>
            <w:tcW w:type="dxa" w:w="108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6.1% blended</w:t>
            </w:r>
          </w:p>
        </w:tc>
        <w:tc>
          <w:tcPr>
            <w:tcW w:type="dxa" w:w="324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Schwab IRA</w:t>
            </w:r>
          </w:p>
        </w:tc>
      </w:tr>
    </w:tbl>
    <w:p>
      <w:pPr>
        <w:spacing w:after="0" w:before="160"/>
      </w:pPr>
      <w:r>
        <w:t xml:space="preserve"/>
      </w:r>
    </w:p>
    <w:p>
      <w:pPr>
        <w:spacing w:after="80" w:before="160"/>
      </w:pPr>
      <w:r>
        <w:rPr>
          <w:rFonts w:ascii="Calibri" w:cs="Calibri" w:eastAsia="Calibri" w:hAnsi="Calibri"/>
          <w:b/>
          <w:bCs/>
          <w:color w:val="0F6E56"/>
          <w:sz w:val="24"/>
          <w:szCs w:val="24"/>
        </w:rPr>
        <w:t>Brad Roth IRA — $276,026 · $28,437/yr (TAX-FREE)</w:t>
      </w:r>
    </w:p>
    <w:p>
      <w:pPr>
        <w:spacing w:after="40" w:before="40"/>
      </w:pPr>
      <w:r>
        <w:rPr>
          <w:rFonts w:ascii="Calibri" w:cs="Calibri" w:eastAsia="Calibri" w:hAnsi="Calibri"/>
          <w:i/>
          <w:iCs/>
          <w:color w:val="888780"/>
          <w:sz w:val="17"/>
          <w:szCs w:val="17"/>
        </w:rPr>
        <w:t xml:space="preserve">Fidelity Roth IRA · ALL income tax-free · never tax on withdrawals in retirement · no RMDs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080"/>
        <w:gridCol w:w="3240"/>
      </w:tblGrid>
      <w:tr>
        <w:tc>
          <w:tcPr>
            <w:tcW w:type="dxa" w:w="216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Position</w:t>
            </w:r>
          </w:p>
        </w:tc>
        <w:tc>
          <w:tcPr>
            <w:tcW w:type="dxa" w:w="144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Shares</w:t>
            </w:r>
          </w:p>
        </w:tc>
        <w:tc>
          <w:tcPr>
            <w:tcW w:type="dxa" w:w="144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Annual Income</w:t>
            </w:r>
          </w:p>
        </w:tc>
        <w:tc>
          <w:tcPr>
            <w:tcW w:type="dxa" w:w="108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Yield</w:t>
            </w:r>
          </w:p>
        </w:tc>
        <w:tc>
          <w:tcPr>
            <w:tcW w:type="dxa" w:w="324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Category</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ABR — Arbor Realty Trust</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1,250sh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$1,500/yr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10.7%</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Commercial mortgage REIT</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AGNC — AGNC Investment Corp</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1,410sh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$1,944/yr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14.5%</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Agency mREIT — monthly</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AMLP — Alerian MLP ETF</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490sh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$1,980/yr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7.8%</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MLP ETF — no K-1</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BCX — BlackRock Resources</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985sh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$823/yr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9.3%</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Resources &amp; commodities CEF</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BIZD — VanEck BDC Income ETF</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1,530sh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$2,949/yr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13.5%</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BDC basket ETF — $1.7231/yr confirmed</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BSTZ — BlackRock Sci &amp; Tech Term</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925sh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$2,387/yr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7.6%</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Science &amp; tech CEF — $1.95/yr confirmed</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BTO — John Hancock Financial Opp</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467sh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$1,105/yr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7.0%</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Financial sector CEF — NEW · 15yr div growth</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GOF — Guggenheim Strategic Opps</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1,300sh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$2,840/yr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14.7%</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Multi-sector CEF — monthly</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JEPI — JPMorgan Equity Premium</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295sh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$1,407/yr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8.5%</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Covered call income ETF</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JPC — Nuveen Preferred &amp; Income</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2,575sh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$1,931/yr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9.4%</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Preferred securities CEF</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JRI — Nuveen Real Asset Income</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1,005sh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$1,616/yr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11.9%</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Real asset income CEF</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PDO — PIMCO Dynamic Income Opp</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1,214sh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$1,857/yr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12.0%</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PIMCO multi-sector — monthly</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PFFA — Virtus InfraCap Preferred</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1,490sh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$2,993/yr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10.1%</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Infrastructure preferred ETF</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THQ — Aberdeen Healthcare Opps</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1,113sh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$2,404/yr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20.6%</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Healthcare opportunities CEF</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UTG — Reaves Utility Income</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410sh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$984/yr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6.0%</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Utility income CEF</w:t>
            </w:r>
          </w:p>
        </w:tc>
      </w:tr>
      <w:tr>
        <w:tc>
          <w:tcPr>
            <w:tcW w:type="dxa" w:w="216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 xml:space="preserve">Brad Roth Total</w:t>
            </w:r>
          </w:p>
        </w:tc>
        <w:tc>
          <w:tcPr>
            <w:tcW w:type="dxa" w:w="14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15 positions</w:t>
            </w:r>
          </w:p>
        </w:tc>
        <w:tc>
          <w:tcPr>
            <w:tcW w:type="dxa" w:w="14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$28,437/yr</w:t>
            </w:r>
          </w:p>
        </w:tc>
        <w:tc>
          <w:tcPr>
            <w:tcW w:type="dxa" w:w="108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11.2% blended</w:t>
            </w:r>
          </w:p>
        </w:tc>
        <w:tc>
          <w:tcPr>
            <w:tcW w:type="dxa" w:w="32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Tax-free · Fidelity Roth IRA</w:t>
            </w:r>
          </w:p>
        </w:tc>
      </w:tr>
    </w:tbl>
    <w:p>
      <w:pPr>
        <w:spacing w:after="0" w:before="160"/>
      </w:pPr>
      <w:r>
        <w:t xml:space="preserve"/>
      </w:r>
    </w:p>
    <w:p>
      <w:pPr>
        <w:spacing w:after="80" w:before="160"/>
      </w:pPr>
      <w:r>
        <w:rPr>
          <w:rFonts w:ascii="Calibri" w:cs="Calibri" w:eastAsia="Calibri" w:hAnsi="Calibri"/>
          <w:b/>
          <w:bCs/>
          <w:color w:val="0F6E56"/>
          <w:sz w:val="24"/>
          <w:szCs w:val="24"/>
        </w:rPr>
        <w:t>Lisa HSA — $47,901 · $5,755/yr (TRIPLE TAX-FREE)</w:t>
      </w:r>
    </w:p>
    <w:p>
      <w:pPr>
        <w:spacing w:after="40" w:before="40"/>
      </w:pPr>
      <w:r>
        <w:rPr>
          <w:rFonts w:ascii="Calibri" w:cs="Calibri" w:eastAsia="Calibri" w:hAnsi="Calibri"/>
          <w:i/>
          <w:iCs/>
          <w:color w:val="888780"/>
          <w:sz w:val="17"/>
          <w:szCs w:val="17"/>
        </w:rPr>
        <w:t xml:space="preserve">Fidelity HSA · Triple tax-free: contributions deductible, growth tax-free, withdrawals tax-free for medical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080"/>
        <w:gridCol w:w="3240"/>
      </w:tblGrid>
      <w:tr>
        <w:tc>
          <w:tcPr>
            <w:tcW w:type="dxa" w:w="216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Position</w:t>
            </w:r>
          </w:p>
        </w:tc>
        <w:tc>
          <w:tcPr>
            <w:tcW w:type="dxa" w:w="144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Shares</w:t>
            </w:r>
          </w:p>
        </w:tc>
        <w:tc>
          <w:tcPr>
            <w:tcW w:type="dxa" w:w="144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Annual Income</w:t>
            </w:r>
          </w:p>
        </w:tc>
        <w:tc>
          <w:tcPr>
            <w:tcW w:type="dxa" w:w="108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Yield</w:t>
            </w:r>
          </w:p>
        </w:tc>
        <w:tc>
          <w:tcPr>
            <w:tcW w:type="dxa" w:w="324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Notes</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PDI — PIMCO Dynamic Income</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890sh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$1,800/yr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15.2%</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PIMCO flagship — monthly</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JEPQ — JPMorgan Nasdaq Premium</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218sh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$1,317/yr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11.2%</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Covered call Nasdaq ETF</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GHY — PGIM Global High Yield</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1,640sh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$2,066/yr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13.3%</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Global high yield bond fund</w:t>
            </w:r>
          </w:p>
        </w:tc>
      </w:tr>
      <w:tr>
        <w:tc>
          <w:tcPr>
            <w:tcW w:type="dxa" w:w="216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 xml:space="preserve">Lisa HSA Total</w:t>
            </w:r>
          </w:p>
        </w:tc>
        <w:tc>
          <w:tcPr>
            <w:tcW w:type="dxa" w:w="14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 positions</w:t>
            </w:r>
          </w:p>
        </w:tc>
        <w:tc>
          <w:tcPr>
            <w:tcW w:type="dxa" w:w="14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$5,755/yr</w:t>
            </w:r>
          </w:p>
        </w:tc>
        <w:tc>
          <w:tcPr>
            <w:tcW w:type="dxa" w:w="108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c>
          <w:tcPr>
            <w:tcW w:type="dxa" w:w="32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Triple tax-free · Fidelity</w:t>
            </w:r>
          </w:p>
        </w:tc>
      </w:tr>
    </w:tbl>
    <w:p>
      <w:pPr>
        <w:spacing w:after="0" w:before="160"/>
      </w:pPr>
      <w:r>
        <w:t xml:space="preserve"/>
      </w:r>
    </w:p>
    <w:p>
      <w:pPr>
        <w:spacing w:after="80" w:before="160"/>
      </w:pPr>
      <w:r>
        <w:rPr>
          <w:rFonts w:ascii="Calibri" w:cs="Calibri" w:eastAsia="Calibri" w:hAnsi="Calibri"/>
          <w:b/>
          <w:bCs/>
          <w:color w:val="0F6E56"/>
          <w:sz w:val="24"/>
          <w:szCs w:val="24"/>
        </w:rPr>
        <w:t>Brad HSA — $5,665 · $905/yr (TRIPLE TAX-FREE)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080"/>
        <w:gridCol w:w="3240"/>
      </w:tblGrid>
      <w:tr>
        <w:tc>
          <w:tcPr>
            <w:tcW w:type="dxa" w:w="216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Position</w:t>
            </w:r>
          </w:p>
        </w:tc>
        <w:tc>
          <w:tcPr>
            <w:tcW w:type="dxa" w:w="144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Shares</w:t>
            </w:r>
          </w:p>
        </w:tc>
        <w:tc>
          <w:tcPr>
            <w:tcW w:type="dxa" w:w="144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Annual Income</w:t>
            </w:r>
          </w:p>
        </w:tc>
        <w:tc>
          <w:tcPr>
            <w:tcW w:type="dxa" w:w="108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Yield</w:t>
            </w:r>
          </w:p>
        </w:tc>
        <w:tc>
          <w:tcPr>
            <w:tcW w:type="dxa" w:w="324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Notes</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PDI — PIMCO Dynamic Income</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337sh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$905/yr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15.2%</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Entire account in PDI — diversify if account grows past $10K</w:t>
            </w:r>
          </w:p>
        </w:tc>
      </w:tr>
      <w:tr>
        <w:tc>
          <w:tcPr>
            <w:tcW w:type="dxa" w:w="216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 xml:space="preserve">Brad HSA Total</w:t>
            </w:r>
          </w:p>
        </w:tc>
        <w:tc>
          <w:tcPr>
            <w:tcW w:type="dxa" w:w="14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 position</w:t>
            </w:r>
          </w:p>
        </w:tc>
        <w:tc>
          <w:tcPr>
            <w:tcW w:type="dxa" w:w="14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$905/yr</w:t>
            </w:r>
          </w:p>
        </w:tc>
        <w:tc>
          <w:tcPr>
            <w:tcW w:type="dxa" w:w="108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c>
          <w:tcPr>
            <w:tcW w:type="dxa" w:w="32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Triple tax-free · Fidelity</w:t>
            </w:r>
          </w:p>
        </w:tc>
      </w:tr>
    </w:tbl>
    <w:p>
      <w:pPr>
        <w:spacing w:after="0" w:before="160"/>
      </w:pPr>
      <w:r>
        <w:t xml:space="preserve"/>
      </w:r>
    </w:p>
    <w:p>
      <w:pPr>
        <w:spacing w:after="80" w:before="160"/>
      </w:pPr>
      <w:r>
        <w:rPr>
          <w:rFonts w:ascii="Calibri" w:cs="Calibri" w:eastAsia="Calibri" w:hAnsi="Calibri"/>
          <w:b/>
          <w:bCs/>
          <w:color w:val="854F0B"/>
          <w:sz w:val="24"/>
          <w:szCs w:val="24"/>
        </w:rPr>
        <w:t>Joint Brokerage — $58,510 · $2,127/yr (TAXABLE)</w:t>
      </w:r>
    </w:p>
    <w:p>
      <w:pPr>
        <w:spacing w:after="40" w:before="40"/>
      </w:pPr>
      <w:r>
        <w:rPr>
          <w:rFonts w:ascii="Calibri" w:cs="Calibri" w:eastAsia="Calibri" w:hAnsi="Calibri"/>
          <w:i/>
          <w:iCs/>
          <w:color w:val="888780"/>
          <w:sz w:val="17"/>
          <w:szCs w:val="17"/>
        </w:rPr>
        <w:t xml:space="preserve">Schwab Joint Brokerage · Taxable account · long-term capital gains rates apply · trust structure in place</w:t>
      </w:r>
    </w:p>
    <w:p>
      <w:pPr>
        <w:spacing w:after="40" w:before="40"/>
      </w:pPr>
      <w:r>
        <w:rPr>
          <w:rFonts w:ascii="Calibri" w:cs="Calibri" w:eastAsia="Calibri" w:hAnsi="Calibri"/>
          <w:i/>
          <w:iCs/>
          <w:color w:val="888780"/>
          <w:sz w:val="17"/>
          <w:szCs w:val="17"/>
        </w:rPr>
        <w:t xml:space="preserve">Capital One interest (~$1,800/yr) transfers here for reinvestment — see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080"/>
        <w:gridCol w:w="3240"/>
      </w:tblGrid>
      <w:tr>
        <w:tc>
          <w:tcPr>
            <w:tcW w:type="dxa" w:w="2160"/>
            <w:tcBorders>
              <w:top w:val="single" w:color="854F0B" w:sz="6"/>
              <w:left w:val="single" w:color="854F0B" w:sz="6"/>
              <w:bottom w:val="single" w:color="854F0B" w:sz="6"/>
              <w:right w:val="single" w:color="854F0B" w:sz="6"/>
            </w:tcBorders>
            <w:shd w:fill="854F0B" w:val="clear"/>
            <w:tcMar>
              <w:top w:type="dxa" w:w="90"/>
              <w:left w:type="dxa" w:w="130"/>
              <w:bottom w:type="dxa" w:w="90"/>
              <w:right w:type="dxa" w:w="130"/>
            </w:tcMar>
          </w:tcPr>
          <w:p>
            <w:r>
              <w:rPr>
                <w:rFonts w:ascii="Calibri" w:cs="Calibri" w:eastAsia="Calibri" w:hAnsi="Calibri"/>
                <w:b/>
                <w:bCs/>
                <w:color w:val="FFFFFF"/>
                <w:sz w:val="18"/>
                <w:szCs w:val="18"/>
              </w:rPr>
              <w:t xml:space="preserve">Position</w:t>
            </w:r>
          </w:p>
        </w:tc>
        <w:tc>
          <w:tcPr>
            <w:tcW w:type="dxa" w:w="1440"/>
            <w:tcBorders>
              <w:top w:val="single" w:color="854F0B" w:sz="6"/>
              <w:left w:val="single" w:color="854F0B" w:sz="6"/>
              <w:bottom w:val="single" w:color="854F0B" w:sz="6"/>
              <w:right w:val="single" w:color="854F0B" w:sz="6"/>
            </w:tcBorders>
            <w:shd w:fill="854F0B" w:val="clear"/>
            <w:tcMar>
              <w:top w:type="dxa" w:w="90"/>
              <w:left w:type="dxa" w:w="130"/>
              <w:bottom w:type="dxa" w:w="90"/>
              <w:right w:type="dxa" w:w="130"/>
            </w:tcMar>
          </w:tcPr>
          <w:p>
            <w:r>
              <w:rPr>
                <w:rFonts w:ascii="Calibri" w:cs="Calibri" w:eastAsia="Calibri" w:hAnsi="Calibri"/>
                <w:b/>
                <w:bCs/>
                <w:color w:val="FFFFFF"/>
                <w:sz w:val="18"/>
                <w:szCs w:val="18"/>
              </w:rPr>
              <w:t xml:space="preserve">Shares</w:t>
            </w:r>
          </w:p>
        </w:tc>
        <w:tc>
          <w:tcPr>
            <w:tcW w:type="dxa" w:w="1440"/>
            <w:tcBorders>
              <w:top w:val="single" w:color="854F0B" w:sz="6"/>
              <w:left w:val="single" w:color="854F0B" w:sz="6"/>
              <w:bottom w:val="single" w:color="854F0B" w:sz="6"/>
              <w:right w:val="single" w:color="854F0B" w:sz="6"/>
            </w:tcBorders>
            <w:shd w:fill="854F0B" w:val="clear"/>
            <w:tcMar>
              <w:top w:type="dxa" w:w="90"/>
              <w:left w:type="dxa" w:w="130"/>
              <w:bottom w:type="dxa" w:w="90"/>
              <w:right w:type="dxa" w:w="130"/>
            </w:tcMar>
          </w:tcPr>
          <w:p>
            <w:r>
              <w:rPr>
                <w:rFonts w:ascii="Calibri" w:cs="Calibri" w:eastAsia="Calibri" w:hAnsi="Calibri"/>
                <w:b/>
                <w:bCs/>
                <w:color w:val="FFFFFF"/>
                <w:sz w:val="18"/>
                <w:szCs w:val="18"/>
              </w:rPr>
              <w:t xml:space="preserve">Annual Income</w:t>
            </w:r>
          </w:p>
        </w:tc>
        <w:tc>
          <w:tcPr>
            <w:tcW w:type="dxa" w:w="1080"/>
            <w:tcBorders>
              <w:top w:val="single" w:color="854F0B" w:sz="6"/>
              <w:left w:val="single" w:color="854F0B" w:sz="6"/>
              <w:bottom w:val="single" w:color="854F0B" w:sz="6"/>
              <w:right w:val="single" w:color="854F0B" w:sz="6"/>
            </w:tcBorders>
            <w:shd w:fill="854F0B" w:val="clear"/>
            <w:tcMar>
              <w:top w:type="dxa" w:w="90"/>
              <w:left w:type="dxa" w:w="130"/>
              <w:bottom w:type="dxa" w:w="90"/>
              <w:right w:type="dxa" w:w="130"/>
            </w:tcMar>
          </w:tcPr>
          <w:p>
            <w:r>
              <w:rPr>
                <w:rFonts w:ascii="Calibri" w:cs="Calibri" w:eastAsia="Calibri" w:hAnsi="Calibri"/>
                <w:b/>
                <w:bCs/>
                <w:color w:val="FFFFFF"/>
                <w:sz w:val="18"/>
                <w:szCs w:val="18"/>
              </w:rPr>
              <w:t xml:space="preserve">Yield</w:t>
            </w:r>
          </w:p>
        </w:tc>
        <w:tc>
          <w:tcPr>
            <w:tcW w:type="dxa" w:w="3240"/>
            <w:tcBorders>
              <w:top w:val="single" w:color="854F0B" w:sz="6"/>
              <w:left w:val="single" w:color="854F0B" w:sz="6"/>
              <w:bottom w:val="single" w:color="854F0B" w:sz="6"/>
              <w:right w:val="single" w:color="854F0B" w:sz="6"/>
            </w:tcBorders>
            <w:shd w:fill="854F0B" w:val="clear"/>
            <w:tcMar>
              <w:top w:type="dxa" w:w="90"/>
              <w:left w:type="dxa" w:w="130"/>
              <w:bottom w:type="dxa" w:w="90"/>
              <w:right w:type="dxa" w:w="130"/>
            </w:tcMar>
          </w:tcPr>
          <w:p>
            <w:r>
              <w:rPr>
                <w:rFonts w:ascii="Calibri" w:cs="Calibri" w:eastAsia="Calibri" w:hAnsi="Calibri"/>
                <w:b/>
                <w:bCs/>
                <w:color w:val="FFFFFF"/>
                <w:sz w:val="18"/>
                <w:szCs w:val="18"/>
              </w:rPr>
              <w:t xml:space="preserve">Notes</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EPD — Enterprise Products Partners</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320sh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$697/yr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7.8%</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Midstream MLP (K-1) — CORRECTLY placed in taxable (no UBTI here — the right home for an MLP). Distributions are return-of-capital: tax-DEFERRED, lower cost basis over time. Retain every K-1 &amp; track adjusted basis (K-1 sales schedule). If ever sold, recapture portion taxed as ordinary income; hold-to-death = step-up wipes deferred tax. Plan: buy &amp; collect, no sale planned.</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T.Rowe MD Tax-Free Bond Fund</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3,648u</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$1,350/yr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3.1%</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Maryland municipal bond fund — tax-exempt interest</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ORCL — Oracle Corporation</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100sh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$200/yr</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1.1%</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$0.50/qtr confirmed · Brad is Oracle employee</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TPL — Texas Pacific Land</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9sh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$22/yr</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0.5%</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$0.60/qtr confirmed quarterly</w:t>
            </w:r>
          </w:p>
        </w:tc>
      </w:tr>
      <w:tr>
        <w:tc>
          <w:tcPr>
            <w:tcW w:type="dxa" w:w="2160"/>
            <w:tcBorders>
              <w:top w:val="single" w:color="CCCCCC" w:sz="3"/>
              <w:left w:val="single" w:color="CCCCCC" w:sz="3"/>
              <w:bottom w:val="single" w:color="CCCCCC" w:sz="3"/>
              <w:right w:val="single" w:color="CCCCCC" w:sz="3"/>
            </w:tcBorders>
            <w:shd w:fill="FAEEDA" w:val="clear"/>
            <w:tcMar>
              <w:top w:type="dxa" w:w="70"/>
              <w:left w:type="dxa" w:w="130"/>
              <w:bottom w:type="dxa" w:w="70"/>
              <w:right w:type="dxa" w:w="130"/>
            </w:tcMar>
          </w:tcPr>
          <w:p>
            <w:pPr>
              <w:jc w:val="left"/>
            </w:pPr>
            <w:r>
              <w:rPr>
                <w:rFonts w:ascii="Calibri" w:cs="Calibri" w:eastAsia="Calibri" w:hAnsi="Calibri"/>
                <w:b/>
                <w:bCs/>
                <w:i w:val="false"/>
                <w:iCs w:val="false"/>
                <w:color w:val="854F0B"/>
                <w:sz w:val="18"/>
                <w:szCs w:val="18"/>
              </w:rPr>
              <w:t xml:space="preserve">Joint Total</w:t>
            </w:r>
          </w:p>
        </w:tc>
        <w:tc>
          <w:tcPr>
            <w:tcW w:type="dxa" w:w="1440"/>
            <w:tcBorders>
              <w:top w:val="single" w:color="CCCCCC" w:sz="3"/>
              <w:left w:val="single" w:color="CCCCCC" w:sz="3"/>
              <w:bottom w:val="single" w:color="CCCCCC" w:sz="3"/>
              <w:right w:val="single" w:color="CCCCCC" w:sz="3"/>
            </w:tcBorders>
            <w:shd w:fill="FAEEDA"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 positions</w:t>
            </w:r>
          </w:p>
        </w:tc>
        <w:tc>
          <w:tcPr>
            <w:tcW w:type="dxa" w:w="1440"/>
            <w:tcBorders>
              <w:top w:val="single" w:color="CCCCCC" w:sz="3"/>
              <w:left w:val="single" w:color="CCCCCC" w:sz="3"/>
              <w:bottom w:val="single" w:color="CCCCCC" w:sz="3"/>
              <w:right w:val="single" w:color="CCCCCC" w:sz="3"/>
            </w:tcBorders>
            <w:shd w:fill="FAEEDA" w:val="clear"/>
            <w:tcMar>
              <w:top w:type="dxa" w:w="70"/>
              <w:left w:type="dxa" w:w="130"/>
              <w:bottom w:type="dxa" w:w="70"/>
              <w:right w:type="dxa" w:w="130"/>
            </w:tcMar>
          </w:tcPr>
          <w:p>
            <w:pPr>
              <w:jc w:val="left"/>
            </w:pPr>
            <w:r>
              <w:rPr>
                <w:rFonts w:ascii="Calibri" w:cs="Calibri" w:eastAsia="Calibri" w:hAnsi="Calibri"/>
                <w:b/>
                <w:bCs/>
                <w:i w:val="false"/>
                <w:iCs w:val="false"/>
                <w:color w:val="854F0B"/>
                <w:sz w:val="18"/>
                <w:szCs w:val="18"/>
              </w:rPr>
              <w:t>$2,127/yr</w:t>
            </w:r>
          </w:p>
        </w:tc>
        <w:tc>
          <w:tcPr>
            <w:tcW w:type="dxa" w:w="1080"/>
            <w:tcBorders>
              <w:top w:val="single" w:color="CCCCCC" w:sz="3"/>
              <w:left w:val="single" w:color="CCCCCC" w:sz="3"/>
              <w:bottom w:val="single" w:color="CCCCCC" w:sz="3"/>
              <w:right w:val="single" w:color="CCCCCC" w:sz="3"/>
            </w:tcBorders>
            <w:shd w:fill="FAEEDA"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c>
          <w:tcPr>
            <w:tcW w:type="dxa" w:w="3240"/>
            <w:tcBorders>
              <w:top w:val="single" w:color="CCCCCC" w:sz="3"/>
              <w:left w:val="single" w:color="CCCCCC" w:sz="3"/>
              <w:bottom w:val="single" w:color="CCCCCC" w:sz="3"/>
              <w:right w:val="single" w:color="CCCCCC" w:sz="3"/>
            </w:tcBorders>
            <w:shd w:fill="FAEEDA"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Taxable · Schwab Joint</w:t>
            </w:r>
          </w:p>
        </w:tc>
      </w:tr>
    </w:tbl>
    <w:p>
      <w:pPr>
        <w:spacing w:after="0" w:before="160"/>
      </w:pPr>
      <w:r>
        <w:t xml:space="preserve"/>
      </w:r>
    </w:p>
    <w:p>
      <w:pPr>
        <w:spacing w:after="80" w:before="160"/>
      </w:pPr>
      <w:r>
        <w:rPr>
          <w:rFonts w:ascii="Calibri" w:cs="Calibri" w:eastAsia="Calibri" w:hAnsi="Calibri"/>
          <w:b/>
          <w:bCs/>
          <w:color w:val="0C447C"/>
          <w:sz w:val="24"/>
          <w:szCs w:val="24"/>
        </w:rPr>
        <w:t xml:space="preserve">PIMCO Suite Summary — $9,994/yr ($833/mo)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2880"/>
      </w:tblGrid>
      <w:tr>
        <w:tc>
          <w:tcPr>
            <w:tcW w:type="dxa" w:w="216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Fund</w:t>
            </w:r>
          </w:p>
        </w:tc>
        <w:tc>
          <w:tcPr>
            <w:tcW w:type="dxa" w:w="144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Account</w:t>
            </w:r>
          </w:p>
        </w:tc>
        <w:tc>
          <w:tcPr>
            <w:tcW w:type="dxa" w:w="144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Shares</w:t>
            </w:r>
          </w:p>
        </w:tc>
        <w:tc>
          <w:tcPr>
            <w:tcW w:type="dxa" w:w="144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Annual</w:t>
            </w:r>
          </w:p>
        </w:tc>
        <w:tc>
          <w:tcPr>
            <w:tcW w:type="dxa" w:w="288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Yield</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PDI</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HSA</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890sh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$1,800/yr</w:t>
            </w:r>
          </w:p>
        </w:tc>
        <w:tc>
          <w:tcPr>
            <w:tcW w:type="dxa" w:w="28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15.2%</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PDI</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HSA</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337sh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$905/yr</w:t>
            </w:r>
          </w:p>
        </w:tc>
        <w:tc>
          <w:tcPr>
            <w:tcW w:type="dxa" w:w="28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15.2%</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PDO</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IRA</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1,500sh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$2,295/yr</w:t>
            </w:r>
          </w:p>
        </w:tc>
        <w:tc>
          <w:tcPr>
            <w:tcW w:type="dxa" w:w="28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12.0%</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PDO</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Roth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1,214sh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$1,857/yr</w:t>
            </w:r>
          </w:p>
        </w:tc>
        <w:tc>
          <w:tcPr>
            <w:tcW w:type="dxa" w:w="28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12.0%</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PTY</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IRA</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1,900sh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$2,717/yr</w:t>
            </w:r>
          </w:p>
        </w:tc>
        <w:tc>
          <w:tcPr>
            <w:tcW w:type="dxa" w:w="28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11.9%</w:t>
            </w:r>
          </w:p>
        </w:tc>
      </w:tr>
      <w:tr>
        <w:tc>
          <w:tcPr>
            <w:tcW w:type="dxa" w:w="216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bCs/>
                <w:i w:val="false"/>
                <w:iCs w:val="false"/>
                <w:color w:val="0C447C"/>
                <w:sz w:val="18"/>
                <w:szCs w:val="18"/>
              </w:rPr>
              <w:t xml:space="preserve">PIMCO Total</w:t>
            </w:r>
          </w:p>
        </w:tc>
        <w:tc>
          <w:tcPr>
            <w:tcW w:type="dxa" w:w="144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 positions</w:t>
            </w:r>
          </w:p>
        </w:tc>
        <w:tc>
          <w:tcPr>
            <w:tcW w:type="dxa" w:w="144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c>
          <w:tcPr>
            <w:tcW w:type="dxa" w:w="144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bCs/>
                <w:i w:val="false"/>
                <w:iCs w:val="false"/>
                <w:color w:val="0C447C"/>
                <w:sz w:val="18"/>
                <w:szCs w:val="18"/>
              </w:rPr>
              <w:t xml:space="preserve">$9,994/yr</w:t>
            </w:r>
          </w:p>
        </w:tc>
        <w:tc>
          <w:tcPr>
            <w:tcW w:type="dxa" w:w="144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bCs/>
                <w:i w:val="false"/>
                <w:iCs w:val="false"/>
                <w:color w:val="0C447C"/>
                <w:sz w:val="18"/>
                <w:szCs w:val="18"/>
              </w:rPr>
              <w:t xml:space="preserve">$833/mo</w:t>
            </w:r>
          </w:p>
        </w:tc>
      </w:tr>
    </w:tbl>
    <w:p>
      <w:pPr>
        <w:spacing w:after="0" w:before="160"/>
      </w:pPr>
      <w:r>
        <w:t xml:space="preserve"/>
      </w:r>
    </w:p>
    <w:p>
      <w:pPr>
        <w:spacing w:after="80" w:before="160"/>
      </w:pPr>
      <w:r>
        <w:rPr>
          <w:rFonts w:ascii="Calibri" w:cs="Calibri" w:eastAsia="Calibri" w:hAnsi="Calibri"/>
          <w:b/>
          <w:bCs/>
          <w:color w:val="0F6E56"/>
          <w:sz w:val="24"/>
          <w:szCs w:val="24"/>
        </w:rPr>
        <w:t xml:space="preserve">Income trajectory — 3% natural dividend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440"/>
        <w:gridCol w:w="4680"/>
      </w:tblGrid>
      <w:tr>
        <w:tc>
          <w:tcPr>
            <w:tcW w:type="dxa" w:w="144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Year</w:t>
            </w:r>
          </w:p>
        </w:tc>
        <w:tc>
          <w:tcPr>
            <w:tcW w:type="dxa" w:w="180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Annual Income</w:t>
            </w:r>
          </w:p>
        </w:tc>
        <w:tc>
          <w:tcPr>
            <w:tcW w:type="dxa" w:w="144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Monthly</w:t>
            </w:r>
          </w:p>
        </w:tc>
        <w:tc>
          <w:tcPr>
            <w:tcW w:type="dxa" w:w="468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Notes</w:t>
            </w:r>
          </w:p>
        </w:tc>
      </w:tr>
      <w:tr>
        <w:tc>
          <w:tcPr>
            <w:tcW w:type="dxa" w:w="1440"/>
            <w:tcBorders>
              <w:top w:val="single" w:color="CCCCCC" w:sz="3"/>
              <w:left w:val="single" w:color="CCCCCC" w:sz="3"/>
              <w:bottom w:val="single" w:color="CCCCCC" w:sz="3"/>
              <w:right w:val="single" w:color="CCCCCC" w:sz="3"/>
            </w:tcBorders>
            <w:shd w:fill="FAEEDA" w:val="clear"/>
            <w:tcMar>
              <w:top w:type="dxa" w:w="70"/>
              <w:left w:type="dxa" w:w="130"/>
              <w:bottom w:type="dxa" w:w="70"/>
              <w:right w:type="dxa" w:w="130"/>
            </w:tcMar>
          </w:tcPr>
          <w:p>
            <w:pPr>
              <w:jc w:val="left"/>
            </w:pPr>
            <w:r>
              <w:rPr>
                <w:rFonts w:ascii="Calibri" w:cs="Calibri" w:eastAsia="Calibri" w:hAnsi="Calibri"/>
                <w:b/>
                <w:bCs/>
                <w:i w:val="false"/>
                <w:iCs w:val="false"/>
                <w:color w:val="854F0B"/>
                <w:sz w:val="18"/>
                <w:szCs w:val="18"/>
              </w:rPr>
              <w:t xml:space="preserve">Current</w:t>
            </w:r>
          </w:p>
        </w:tc>
        <w:tc>
          <w:tcPr>
            <w:tcW w:type="dxa" w:w="1800"/>
            <w:tcBorders>
              <w:top w:val="single" w:color="CCCCCC" w:sz="3"/>
              <w:left w:val="single" w:color="CCCCCC" w:sz="3"/>
              <w:bottom w:val="single" w:color="CCCCCC" w:sz="3"/>
              <w:right w:val="single" w:color="CCCCCC" w:sz="3"/>
            </w:tcBorders>
            <w:shd w:fill="FAEEDA"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854F0B"/>
                <w:sz w:val="18"/>
                <w:szCs w:val="18"/>
              </w:rPr>
              <w:t>$81,482</w:t>
            </w:r>
          </w:p>
        </w:tc>
        <w:tc>
          <w:tcPr>
            <w:tcW w:type="dxa" w:w="1440"/>
            <w:tcBorders>
              <w:top w:val="single" w:color="CCCCCC" w:sz="3"/>
              <w:left w:val="single" w:color="CCCCCC" w:sz="3"/>
              <w:bottom w:val="single" w:color="CCCCCC" w:sz="3"/>
              <w:right w:val="single" w:color="CCCCCC" w:sz="3"/>
            </w:tcBorders>
            <w:shd w:fill="FAEEDA"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854F0B"/>
                <w:sz w:val="18"/>
                <w:szCs w:val="18"/>
              </w:rPr>
              <w:t>$6,731</w:t>
            </w:r>
          </w:p>
        </w:tc>
        <w:tc>
          <w:tcPr>
            <w:tcW w:type="dxa" w:w="4680"/>
            <w:tcBorders>
              <w:top w:val="single" w:color="CCCCCC" w:sz="3"/>
              <w:left w:val="single" w:color="CCCCCC" w:sz="3"/>
              <w:bottom w:val="single" w:color="CCCCCC" w:sz="3"/>
              <w:right w:val="single" w:color="CCCCCC" w:sz="3"/>
            </w:tcBorders>
            <w:shd w:fill="FAEEDA"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Portfolio income only · confirmed rates</w:t>
            </w:r>
          </w:p>
        </w:tc>
      </w:tr>
      <w:tr>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Year 1</w:t>
            </w:r>
          </w:p>
        </w:tc>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$82,171</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$6,848</w:t>
            </w:r>
          </w:p>
        </w:tc>
        <w:tc>
          <w:tcPr>
            <w:tcW w:type="dxa" w:w="46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Includes Capital One interest · gap nearly closed</w:t>
            </w:r>
          </w:p>
        </w:tc>
      </w:tr>
      <w:tr>
        <w:tc>
          <w:tcPr>
            <w:tcW w:type="dxa" w:w="14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 xml:space="preserve">Year 2</w:t>
            </w:r>
          </w:p>
        </w:tc>
        <w:tc>
          <w:tcPr>
            <w:tcW w:type="dxa" w:w="180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 xml:space="preserve">$87,740</w:t>
            </w:r>
          </w:p>
        </w:tc>
        <w:tc>
          <w:tcPr>
            <w:tcW w:type="dxa" w:w="14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F6E56"/>
                <w:sz w:val="18"/>
                <w:szCs w:val="18"/>
              </w:rPr>
              <w:t xml:space="preserve">$7,312</w:t>
            </w:r>
          </w:p>
        </w:tc>
        <w:tc>
          <w:tcPr>
            <w:tcW w:type="dxa" w:w="468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$84K annual and $7K monthly both exceeded</w:t>
            </w:r>
          </w:p>
        </w:tc>
      </w:tr>
      <w:tr>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Year 3</w:t>
            </w:r>
          </w:p>
        </w:tc>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$90,372</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$7,531</w:t>
            </w:r>
          </w:p>
        </w:tc>
        <w:tc>
          <w:tcPr>
            <w:tcW w:type="dxa" w:w="46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r>
      <w:tr>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Year 5</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$93,114</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$7,760</w:t>
            </w:r>
          </w:p>
        </w:tc>
        <w:tc>
          <w:tcPr>
            <w:tcW w:type="dxa" w:w="46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r>
      <w:tr>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Year 10</w:t>
            </w:r>
          </w:p>
        </w:tc>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$110,279</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$9,190</w:t>
            </w:r>
          </w:p>
        </w:tc>
        <w:tc>
          <w:tcPr>
            <w:tcW w:type="dxa" w:w="46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r>
    </w:tbl>
    <w:p>
      <w:r>
        <w:br w:type="page"/>
      </w:r>
    </w:p>
    <w:p>
      <w:pPr>
        <w:pBdr>
          <w:bottom w:val="single" w:color="534AB7" w:sz="12" w:space="4"/>
        </w:pBdr>
        <w:spacing w:after="100" w:before="200"/>
      </w:pPr>
      <w:r>
        <w:rPr>
          <w:rFonts w:ascii="Calibri" w:cs="Calibri" w:eastAsia="Calibri" w:hAnsi="Calibri"/>
          <w:b/>
          <w:bCs/>
          <w:color w:val="1F3864"/>
          <w:sz w:val="32"/>
          <w:szCs w:val="32"/>
        </w:rPr>
        <w:t xml:space="preserve">Pillar 2 — Growth (401k)</w:t>
      </w:r>
    </w:p>
    <w:p>
      <w:pPr>
        <w:spacing w:after="160" w:before="60"/>
        <w:jc w:val="left"/>
      </w:pPr>
      <w:r>
        <w:rPr>
          <w:rFonts w:ascii="Calibri" w:cs="Calibri" w:eastAsia="Calibri" w:hAnsi="Calibri"/>
          <w:b w:val="false"/>
          <w:bCs w:val="false"/>
          <w:i/>
          <w:iCs/>
          <w:color w:val="595959"/>
          <w:sz w:val="19"/>
          <w:szCs w:val="19"/>
        </w:rPr>
        <w:t>Brad 401k · Fidelity · $382,086 · pure growth compounding · no income distributions</w:t>
      </w:r>
    </w:p>
    <w:p>
      <w:pPr>
        <w:spacing w:after="80" w:before="160"/>
      </w:pPr>
      <w:r>
        <w:rPr>
          <w:rFonts w:ascii="Calibri" w:cs="Calibri" w:eastAsia="Calibri" w:hAnsi="Calibri"/>
          <w:b/>
          <w:bCs/>
          <w:color w:val="534AB7"/>
          <w:sz w:val="24"/>
          <w:szCs w:val="24"/>
        </w:rPr>
        <w:t xml:space="preserve">Holdings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080"/>
        <w:gridCol w:w="1080"/>
        <w:gridCol w:w="1800"/>
        <w:gridCol w:w="2520"/>
      </w:tblGrid>
      <w:tr>
        <w:tc>
          <w:tcPr>
            <w:tcW w:type="dxa" w:w="2880"/>
            <w:tcBorders>
              <w:top w:val="single" w:color="534AB7" w:sz="6"/>
              <w:left w:val="single" w:color="534AB7" w:sz="6"/>
              <w:bottom w:val="single" w:color="534AB7" w:sz="6"/>
              <w:right w:val="single" w:color="534AB7" w:sz="6"/>
            </w:tcBorders>
            <w:shd w:fill="534AB7" w:val="clear"/>
            <w:tcMar>
              <w:top w:type="dxa" w:w="90"/>
              <w:left w:type="dxa" w:w="130"/>
              <w:bottom w:type="dxa" w:w="90"/>
              <w:right w:type="dxa" w:w="130"/>
            </w:tcMar>
          </w:tcPr>
          <w:p>
            <w:r>
              <w:rPr>
                <w:rFonts w:ascii="Calibri" w:cs="Calibri" w:eastAsia="Calibri" w:hAnsi="Calibri"/>
                <w:b/>
                <w:bCs/>
                <w:color w:val="FFFFFF"/>
                <w:sz w:val="18"/>
                <w:szCs w:val="18"/>
              </w:rPr>
              <w:t xml:space="preserve">Fund</w:t>
            </w:r>
          </w:p>
        </w:tc>
        <w:tc>
          <w:tcPr>
            <w:tcW w:type="dxa" w:w="1080"/>
            <w:tcBorders>
              <w:top w:val="single" w:color="534AB7" w:sz="6"/>
              <w:left w:val="single" w:color="534AB7" w:sz="6"/>
              <w:bottom w:val="single" w:color="534AB7" w:sz="6"/>
              <w:right w:val="single" w:color="534AB7" w:sz="6"/>
            </w:tcBorders>
            <w:shd w:fill="534AB7" w:val="clear"/>
            <w:tcMar>
              <w:top w:type="dxa" w:w="90"/>
              <w:left w:type="dxa" w:w="130"/>
              <w:bottom w:type="dxa" w:w="90"/>
              <w:right w:type="dxa" w:w="130"/>
            </w:tcMar>
          </w:tcPr>
          <w:p>
            <w:r>
              <w:rPr>
                <w:rFonts w:ascii="Calibri" w:cs="Calibri" w:eastAsia="Calibri" w:hAnsi="Calibri"/>
                <w:b/>
                <w:bCs/>
                <w:color w:val="FFFFFF"/>
                <w:sz w:val="18"/>
                <w:szCs w:val="18"/>
              </w:rPr>
              <w:t xml:space="preserve">Units</w:t>
            </w:r>
          </w:p>
        </w:tc>
        <w:tc>
          <w:tcPr>
            <w:tcW w:type="dxa" w:w="1080"/>
            <w:tcBorders>
              <w:top w:val="single" w:color="534AB7" w:sz="6"/>
              <w:left w:val="single" w:color="534AB7" w:sz="6"/>
              <w:bottom w:val="single" w:color="534AB7" w:sz="6"/>
              <w:right w:val="single" w:color="534AB7" w:sz="6"/>
            </w:tcBorders>
            <w:shd w:fill="534AB7" w:val="clear"/>
            <w:tcMar>
              <w:top w:type="dxa" w:w="90"/>
              <w:left w:type="dxa" w:w="130"/>
              <w:bottom w:type="dxa" w:w="90"/>
              <w:right w:type="dxa" w:w="130"/>
            </w:tcMar>
          </w:tcPr>
          <w:p>
            <w:r>
              <w:rPr>
                <w:rFonts w:ascii="Calibri" w:cs="Calibri" w:eastAsia="Calibri" w:hAnsi="Calibri"/>
                <w:b/>
                <w:bCs/>
                <w:color w:val="FFFFFF"/>
                <w:sz w:val="18"/>
                <w:szCs w:val="18"/>
              </w:rPr>
              <w:t xml:space="preserve">Price</w:t>
            </w:r>
          </w:p>
        </w:tc>
        <w:tc>
          <w:tcPr>
            <w:tcW w:type="dxa" w:w="1800"/>
            <w:tcBorders>
              <w:top w:val="single" w:color="534AB7" w:sz="6"/>
              <w:left w:val="single" w:color="534AB7" w:sz="6"/>
              <w:bottom w:val="single" w:color="534AB7" w:sz="6"/>
              <w:right w:val="single" w:color="534AB7" w:sz="6"/>
            </w:tcBorders>
            <w:shd w:fill="534AB7" w:val="clear"/>
            <w:tcMar>
              <w:top w:type="dxa" w:w="90"/>
              <w:left w:type="dxa" w:w="130"/>
              <w:bottom w:type="dxa" w:w="90"/>
              <w:right w:type="dxa" w:w="130"/>
            </w:tcMar>
          </w:tcPr>
          <w:p>
            <w:r>
              <w:rPr>
                <w:rFonts w:ascii="Calibri" w:cs="Calibri" w:eastAsia="Calibri" w:hAnsi="Calibri"/>
                <w:b/>
                <w:bCs/>
                <w:color w:val="FFFFFF"/>
                <w:sz w:val="18"/>
                <w:szCs w:val="18"/>
              </w:rPr>
              <w:t xml:space="preserve">Value</w:t>
            </w:r>
          </w:p>
        </w:tc>
        <w:tc>
          <w:tcPr>
            <w:tcW w:type="dxa" w:w="2520"/>
            <w:tcBorders>
              <w:top w:val="single" w:color="534AB7" w:sz="6"/>
              <w:left w:val="single" w:color="534AB7" w:sz="6"/>
              <w:bottom w:val="single" w:color="534AB7" w:sz="6"/>
              <w:right w:val="single" w:color="534AB7" w:sz="6"/>
            </w:tcBorders>
            <w:shd w:fill="534AB7" w:val="clear"/>
            <w:tcMar>
              <w:top w:type="dxa" w:w="90"/>
              <w:left w:type="dxa" w:w="130"/>
              <w:bottom w:type="dxa" w:w="90"/>
              <w:right w:type="dxa" w:w="130"/>
            </w:tcMar>
          </w:tcPr>
          <w:p>
            <w:r>
              <w:rPr>
                <w:rFonts w:ascii="Calibri" w:cs="Calibri" w:eastAsia="Calibri" w:hAnsi="Calibri"/>
                <w:b/>
                <w:bCs/>
                <w:color w:val="FFFFFF"/>
                <w:sz w:val="18"/>
                <w:szCs w:val="18"/>
              </w:rPr>
              <w:t xml:space="preserve">Role</w:t>
            </w:r>
          </w:p>
        </w:tc>
      </w:tr>
      <w:tr>
        <w:tc>
          <w:tcPr>
            <w:tcW w:type="dxa" w:w="28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Growth Pool Fund</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3,008.561 units</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$110.08</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$331,182</w:t>
            </w:r>
          </w:p>
        </w:tc>
        <w:tc>
          <w:tcPr>
            <w:tcW w:type="dxa" w:w="25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US large cap growth — active managed</w:t>
            </w:r>
          </w:p>
        </w:tc>
      </w:tr>
      <w:tr>
        <w:tc>
          <w:tcPr>
            <w:tcW w:type="dxa" w:w="28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Vanguard Total Intl</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253.363 units</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$200.91</w:t>
            </w:r>
          </w:p>
        </w:tc>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$50,903</w:t>
            </w:r>
          </w:p>
        </w:tc>
        <w:tc>
          <w:tcPr>
            <w:tcW w:type="dxa" w:w="25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Global ex-US all cap — passive index</w:t>
            </w:r>
          </w:p>
        </w:tc>
      </w:tr>
      <w:tr>
        <w:tc>
          <w:tcPr>
            <w:tcW w:type="dxa" w:w="2880"/>
            <w:tcBorders>
              <w:top w:val="single" w:color="CCCCCC" w:sz="3"/>
              <w:left w:val="single" w:color="CCCCCC" w:sz="3"/>
              <w:bottom w:val="single" w:color="CCCCCC" w:sz="3"/>
              <w:right w:val="single" w:color="CCCCCC" w:sz="3"/>
            </w:tcBorders>
            <w:shd w:fill="EEEDFE" w:val="clear"/>
            <w:tcMar>
              <w:top w:type="dxa" w:w="70"/>
              <w:left w:type="dxa" w:w="130"/>
              <w:bottom w:type="dxa" w:w="70"/>
              <w:right w:type="dxa" w:w="130"/>
            </w:tcMar>
          </w:tcPr>
          <w:p>
            <w:pPr>
              <w:jc w:val="left"/>
            </w:pPr>
            <w:r>
              <w:rPr>
                <w:rFonts w:ascii="Calibri" w:cs="Calibri" w:eastAsia="Calibri" w:hAnsi="Calibri"/>
                <w:b/>
                <w:bCs/>
                <w:i w:val="false"/>
                <w:iCs w:val="false"/>
                <w:color w:val="534AB7"/>
                <w:sz w:val="18"/>
                <w:szCs w:val="18"/>
              </w:rPr>
              <w:t xml:space="preserve">401k Total</w:t>
            </w:r>
          </w:p>
        </w:tc>
        <w:tc>
          <w:tcPr>
            <w:tcW w:type="dxa" w:w="1080"/>
            <w:tcBorders>
              <w:top w:val="single" w:color="CCCCCC" w:sz="3"/>
              <w:left w:val="single" w:color="CCCCCC" w:sz="3"/>
              <w:bottom w:val="single" w:color="CCCCCC" w:sz="3"/>
              <w:right w:val="single" w:color="CCCCCC" w:sz="3"/>
            </w:tcBorders>
            <w:shd w:fill="EEEDFE"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c>
          <w:tcPr>
            <w:tcW w:type="dxa" w:w="1080"/>
            <w:tcBorders>
              <w:top w:val="single" w:color="CCCCCC" w:sz="3"/>
              <w:left w:val="single" w:color="CCCCCC" w:sz="3"/>
              <w:bottom w:val="single" w:color="CCCCCC" w:sz="3"/>
              <w:right w:val="single" w:color="CCCCCC" w:sz="3"/>
            </w:tcBorders>
            <w:shd w:fill="EEEDFE"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c>
          <w:tcPr>
            <w:tcW w:type="dxa" w:w="1800"/>
            <w:tcBorders>
              <w:top w:val="single" w:color="CCCCCC" w:sz="3"/>
              <w:left w:val="single" w:color="CCCCCC" w:sz="3"/>
              <w:bottom w:val="single" w:color="CCCCCC" w:sz="3"/>
              <w:right w:val="single" w:color="CCCCCC" w:sz="3"/>
            </w:tcBorders>
            <w:shd w:fill="EEEDFE" w:val="clear"/>
            <w:tcMar>
              <w:top w:type="dxa" w:w="70"/>
              <w:left w:type="dxa" w:w="130"/>
              <w:bottom w:type="dxa" w:w="70"/>
              <w:right w:type="dxa" w:w="130"/>
            </w:tcMar>
          </w:tcPr>
          <w:p>
            <w:pPr>
              <w:jc w:val="left"/>
            </w:pPr>
            <w:r>
              <w:rPr>
                <w:rFonts w:ascii="Calibri" w:cs="Calibri" w:eastAsia="Calibri" w:hAnsi="Calibri"/>
                <w:b/>
                <w:bCs/>
                <w:i w:val="false"/>
                <w:iCs w:val="false"/>
                <w:color w:val="534AB7"/>
                <w:sz w:val="18"/>
                <w:szCs w:val="18"/>
              </w:rPr>
              <w:t>$382,086</w:t>
            </w:r>
          </w:p>
        </w:tc>
        <w:tc>
          <w:tcPr>
            <w:tcW w:type="dxa" w:w="2520"/>
            <w:tcBorders>
              <w:top w:val="single" w:color="CCCCCC" w:sz="3"/>
              <w:left w:val="single" w:color="CCCCCC" w:sz="3"/>
              <w:bottom w:val="single" w:color="CCCCCC" w:sz="3"/>
              <w:right w:val="single" w:color="CCCCCC" w:sz="3"/>
            </w:tcBorders>
            <w:shd w:fill="EEEDFE"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Fidelity 401k · Brad only</w:t>
            </w:r>
          </w:p>
        </w:tc>
      </w:tr>
    </w:tbl>
    <w:p>
      <w:pPr>
        <w:spacing w:after="0" w:before="80"/>
      </w:pPr>
      <w:r>
        <w:t xml:space="preserve"/>
      </w:r>
    </w:p>
    <w:p>
      <w:pPr>
        <w:spacing w:after="40" w:before="40"/>
      </w:pPr>
      <w:r>
        <w:rPr>
          <w:rFonts w:ascii="Calibri" w:cs="Calibri" w:eastAsia="Calibri" w:hAnsi="Calibri"/>
          <w:i/>
          <w:iCs/>
          <w:color w:val="888780"/>
          <w:sz w:val="17"/>
          <w:szCs w:val="17"/>
        </w:rPr>
        <w:t>Brad contributes ~$28,000/yr pre-tax. No withdrawals planned until RMDs at age 73 (2035). No matching contribution information on file — confirm with Oracle HR.</w:t>
      </w:r>
    </w:p>
    <w:p>
      <w:pPr>
        <w:spacing w:after="0" w:before="160"/>
      </w:pPr>
      <w:r>
        <w:t xml:space="preserve"/>
      </w:r>
    </w:p>
    <w:p>
      <w:pPr>
        <w:spacing w:after="80" w:before="160"/>
      </w:pPr>
      <w:r>
        <w:rPr>
          <w:rFonts w:ascii="Calibri" w:cs="Calibri" w:eastAsia="Calibri" w:hAnsi="Calibri"/>
          <w:b/>
          <w:bCs/>
          <w:color w:val="534AB7"/>
          <w:sz w:val="24"/>
          <w:szCs w:val="24"/>
        </w:rPr>
        <w:t xml:space="preserve">Growth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c>
          <w:tcPr>
            <w:tcW w:type="dxa" w:w="2160"/>
            <w:tcBorders>
              <w:top w:val="single" w:color="534AB7" w:sz="6"/>
              <w:left w:val="single" w:color="534AB7" w:sz="6"/>
              <w:bottom w:val="single" w:color="534AB7" w:sz="6"/>
              <w:right w:val="single" w:color="534AB7" w:sz="6"/>
            </w:tcBorders>
            <w:shd w:fill="534AB7" w:val="clear"/>
            <w:tcMar>
              <w:top w:type="dxa" w:w="90"/>
              <w:left w:type="dxa" w:w="130"/>
              <w:bottom w:type="dxa" w:w="90"/>
              <w:right w:type="dxa" w:w="130"/>
            </w:tcMar>
          </w:tcPr>
          <w:p>
            <w:r>
              <w:rPr>
                <w:rFonts w:ascii="Calibri" w:cs="Calibri" w:eastAsia="Calibri" w:hAnsi="Calibri"/>
                <w:b/>
                <w:bCs/>
                <w:color w:val="FFFFFF"/>
                <w:sz w:val="18"/>
                <w:szCs w:val="18"/>
              </w:rPr>
              <w:t xml:space="preserve">Year</w:t>
            </w:r>
          </w:p>
        </w:tc>
        <w:tc>
          <w:tcPr>
            <w:tcW w:type="dxa" w:w="2160"/>
            <w:tcBorders>
              <w:top w:val="single" w:color="534AB7" w:sz="6"/>
              <w:left w:val="single" w:color="534AB7" w:sz="6"/>
              <w:bottom w:val="single" w:color="534AB7" w:sz="6"/>
              <w:right w:val="single" w:color="534AB7" w:sz="6"/>
            </w:tcBorders>
            <w:shd w:fill="534AB7" w:val="clear"/>
            <w:tcMar>
              <w:top w:type="dxa" w:w="90"/>
              <w:left w:type="dxa" w:w="130"/>
              <w:bottom w:type="dxa" w:w="90"/>
              <w:right w:type="dxa" w:w="130"/>
            </w:tcMar>
          </w:tcPr>
          <w:p>
            <w:r>
              <w:rPr>
                <w:rFonts w:ascii="Calibri" w:cs="Calibri" w:eastAsia="Calibri" w:hAnsi="Calibri"/>
                <w:b/>
                <w:bCs/>
                <w:color w:val="FFFFFF"/>
                <w:sz w:val="18"/>
                <w:szCs w:val="18"/>
              </w:rPr>
              <w:t xml:space="preserve">7% CAGR (average)</w:t>
            </w:r>
          </w:p>
        </w:tc>
        <w:tc>
          <w:tcPr>
            <w:tcW w:type="dxa" w:w="2160"/>
            <w:tcBorders>
              <w:top w:val="single" w:color="534AB7" w:sz="6"/>
              <w:left w:val="single" w:color="534AB7" w:sz="6"/>
              <w:bottom w:val="single" w:color="534AB7" w:sz="6"/>
              <w:right w:val="single" w:color="534AB7" w:sz="6"/>
            </w:tcBorders>
            <w:shd w:fill="534AB7" w:val="clear"/>
            <w:tcMar>
              <w:top w:type="dxa" w:w="90"/>
              <w:left w:type="dxa" w:w="130"/>
              <w:bottom w:type="dxa" w:w="90"/>
              <w:right w:type="dxa" w:w="130"/>
            </w:tcMar>
          </w:tcPr>
          <w:p>
            <w:r>
              <w:rPr>
                <w:rFonts w:ascii="Calibri" w:cs="Calibri" w:eastAsia="Calibri" w:hAnsi="Calibri"/>
                <w:b/>
                <w:bCs/>
                <w:color w:val="FFFFFF"/>
                <w:sz w:val="18"/>
                <w:szCs w:val="18"/>
              </w:rPr>
              <w:t xml:space="preserve">9% CAGR (above avg)</w:t>
            </w:r>
          </w:p>
        </w:tc>
        <w:tc>
          <w:tcPr>
            <w:tcW w:type="dxa" w:w="2880"/>
            <w:tcBorders>
              <w:top w:val="single" w:color="534AB7" w:sz="6"/>
              <w:left w:val="single" w:color="534AB7" w:sz="6"/>
              <w:bottom w:val="single" w:color="534AB7" w:sz="6"/>
              <w:right w:val="single" w:color="534AB7" w:sz="6"/>
            </w:tcBorders>
            <w:shd w:fill="534AB7" w:val="clear"/>
            <w:tcMar>
              <w:top w:type="dxa" w:w="90"/>
              <w:left w:type="dxa" w:w="130"/>
              <w:bottom w:type="dxa" w:w="90"/>
              <w:right w:type="dxa" w:w="130"/>
            </w:tcMar>
          </w:tcPr>
          <w:p>
            <w:r>
              <w:rPr>
                <w:rFonts w:ascii="Calibri" w:cs="Calibri" w:eastAsia="Calibri" w:hAnsi="Calibri"/>
                <w:b/>
                <w:bCs/>
                <w:color w:val="FFFFFF"/>
                <w:sz w:val="18"/>
                <w:szCs w:val="18"/>
              </w:rPr>
              <w:t xml:space="preserve">Notes</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Today</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$403,812</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$403,812</w:t>
            </w:r>
          </w:p>
        </w:tc>
        <w:tc>
          <w:tcPr>
            <w:tcW w:type="dxa" w:w="28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Starting value</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Year 3</w:t>
            </w:r>
          </w:p>
        </w:tc>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$499,119</w:t>
            </w:r>
          </w:p>
        </w:tc>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$527,634</w:t>
            </w:r>
          </w:p>
        </w:tc>
        <w:tc>
          <w:tcPr>
            <w:tcW w:type="dxa" w:w="28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Year 5</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$571,442</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$626,882</w:t>
            </w:r>
          </w:p>
        </w:tc>
        <w:tc>
          <w:tcPr>
            <w:tcW w:type="dxa" w:w="28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r>
      <w:tr>
        <w:tc>
          <w:tcPr>
            <w:tcW w:type="dxa" w:w="2160"/>
            <w:tcBorders>
              <w:top w:val="single" w:color="CCCCCC" w:sz="3"/>
              <w:left w:val="single" w:color="CCCCCC" w:sz="3"/>
              <w:bottom w:val="single" w:color="CCCCCC" w:sz="3"/>
              <w:right w:val="single" w:color="CCCCCC" w:sz="3"/>
            </w:tcBorders>
            <w:shd w:fill="EEEDFE" w:val="clear"/>
            <w:tcMar>
              <w:top w:type="dxa" w:w="70"/>
              <w:left w:type="dxa" w:w="130"/>
              <w:bottom w:type="dxa" w:w="70"/>
              <w:right w:type="dxa" w:w="130"/>
            </w:tcMar>
          </w:tcPr>
          <w:p>
            <w:pPr>
              <w:jc w:val="left"/>
            </w:pPr>
            <w:r>
              <w:rPr>
                <w:rFonts w:ascii="Calibri" w:cs="Calibri" w:eastAsia="Calibri" w:hAnsi="Calibri"/>
                <w:b/>
                <w:bCs/>
                <w:i w:val="false"/>
                <w:iCs w:val="false"/>
                <w:color w:val="534AB7"/>
                <w:sz w:val="18"/>
                <w:szCs w:val="18"/>
              </w:rPr>
              <w:t xml:space="preserve">Year 10</w:t>
            </w:r>
          </w:p>
        </w:tc>
        <w:tc>
          <w:tcPr>
            <w:tcW w:type="dxa" w:w="2160"/>
            <w:tcBorders>
              <w:top w:val="single" w:color="CCCCCC" w:sz="3"/>
              <w:left w:val="single" w:color="CCCCCC" w:sz="3"/>
              <w:bottom w:val="single" w:color="CCCCCC" w:sz="3"/>
              <w:right w:val="single" w:color="CCCCCC" w:sz="3"/>
            </w:tcBorders>
            <w:shd w:fill="EEEDFE" w:val="clear"/>
            <w:tcMar>
              <w:top w:type="dxa" w:w="70"/>
              <w:left w:type="dxa" w:w="130"/>
              <w:bottom w:type="dxa" w:w="70"/>
              <w:right w:type="dxa" w:w="130"/>
            </w:tcMar>
          </w:tcPr>
          <w:p>
            <w:pPr>
              <w:jc w:val="left"/>
            </w:pPr>
            <w:r>
              <w:rPr>
                <w:rFonts w:ascii="Calibri" w:cs="Calibri" w:eastAsia="Calibri" w:hAnsi="Calibri"/>
                <w:b/>
                <w:bCs/>
                <w:i w:val="false"/>
                <w:iCs w:val="false"/>
                <w:color w:val="534AB7"/>
                <w:sz w:val="18"/>
                <w:szCs w:val="18"/>
              </w:rPr>
              <w:t xml:space="preserve">$801,476</w:t>
            </w:r>
          </w:p>
        </w:tc>
        <w:tc>
          <w:tcPr>
            <w:tcW w:type="dxa" w:w="2160"/>
            <w:tcBorders>
              <w:top w:val="single" w:color="CCCCCC" w:sz="3"/>
              <w:left w:val="single" w:color="CCCCCC" w:sz="3"/>
              <w:bottom w:val="single" w:color="CCCCCC" w:sz="3"/>
              <w:right w:val="single" w:color="CCCCCC" w:sz="3"/>
            </w:tcBorders>
            <w:shd w:fill="EEEDFE"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534AB7"/>
                <w:sz w:val="18"/>
                <w:szCs w:val="18"/>
              </w:rPr>
              <w:t xml:space="preserve">$964,535</w:t>
            </w:r>
          </w:p>
        </w:tc>
        <w:tc>
          <w:tcPr>
            <w:tcW w:type="dxa" w:w="2880"/>
            <w:tcBorders>
              <w:top w:val="single" w:color="CCCCCC" w:sz="3"/>
              <w:left w:val="single" w:color="CCCCCC" w:sz="3"/>
              <w:bottom w:val="single" w:color="CCCCCC" w:sz="3"/>
              <w:right w:val="single" w:color="CCCCCC" w:sz="3"/>
            </w:tcBorders>
            <w:shd w:fill="EEEDFE"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Doubles at avg · approaches $1M above avg</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Year 15</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$1,124,112</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$1,484,057</w:t>
            </w:r>
          </w:p>
        </w:tc>
        <w:tc>
          <w:tcPr>
            <w:tcW w:type="dxa" w:w="28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r>
    </w:tbl>
    <w:p>
      <w:pPr>
        <w:spacing w:after="0" w:before="160"/>
      </w:pPr>
      <w:r>
        <w:t xml:space="preserve"/>
      </w:r>
    </w:p>
    <w:p>
      <w:pPr>
        <w:spacing w:after="80" w:before="160"/>
      </w:pPr>
      <w:r>
        <w:rPr>
          <w:rFonts w:ascii="Calibri" w:cs="Calibri" w:eastAsia="Calibri" w:hAnsi="Calibri"/>
          <w:b/>
          <w:bCs/>
          <w:color w:val="1F3864"/>
          <w:sz w:val="24"/>
          <w:szCs w:val="24"/>
        </w:rPr>
        <w:t xml:space="preserve">Combined portfolio trajectory — average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2160"/>
        <w:gridCol w:w="1080"/>
      </w:tblGrid>
      <w:tr>
        <w:tc>
          <w:tcPr>
            <w:tcW w:type="dxa" w:w="180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Year</w:t>
            </w:r>
          </w:p>
        </w:tc>
        <w:tc>
          <w:tcPr>
            <w:tcW w:type="dxa" w:w="216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Pillar 1 Income</w:t>
            </w:r>
          </w:p>
        </w:tc>
        <w:tc>
          <w:tcPr>
            <w:tcW w:type="dxa" w:w="216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Pillar 2 Growth</w:t>
            </w:r>
          </w:p>
        </w:tc>
        <w:tc>
          <w:tcPr>
            <w:tcW w:type="dxa" w:w="216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Pillar 3 LTC</w:t>
            </w:r>
          </w:p>
        </w:tc>
        <w:tc>
          <w:tcPr>
            <w:tcW w:type="dxa" w:w="108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Total Portfolio</w:t>
            </w:r>
          </w:p>
        </w:tc>
      </w:tr>
      <w:tr>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Today</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$82,058/yr</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$403,812</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$408,597</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~$2.09M</w:t>
            </w:r>
          </w:p>
        </w:tc>
      </w:tr>
      <w:tr>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Year 5</w:t>
            </w:r>
          </w:p>
        </w:tc>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$93,114/yr</w:t>
            </w:r>
          </w:p>
        </w:tc>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$571,442</w:t>
            </w:r>
          </w:p>
        </w:tc>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$631,781</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~$2.38M</w:t>
            </w:r>
          </w:p>
        </w:tc>
      </w:tr>
      <w:tr>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Year 10</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$110,279/yr</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$801,476</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$949,982</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~$2.93M</w:t>
            </w:r>
          </w:p>
        </w:tc>
      </w:tr>
    </w:tbl>
    <w:p>
      <w:pPr>
        <w:spacing w:after="40" w:before="40"/>
      </w:pPr>
      <w:r>
        <w:rPr>
          <w:rFonts w:ascii="Calibri" w:cs="Calibri" w:eastAsia="Calibri" w:hAnsi="Calibri"/>
          <w:i/>
          <w:iCs/>
          <w:color w:val="888780"/>
          <w:sz w:val="17"/>
          <w:szCs w:val="17"/>
        </w:rPr>
        <w:t xml:space="preserve">Projections are estimates based on historical average returns by asset class. Past performance does not guarantee future results.</w:t>
      </w:r>
    </w:p>
    <w:p>
      <w:r>
        <w:br w:type="page"/>
      </w:r>
    </w:p>
    <w:p>
      <w:pPr>
        <w:pBdr>
          <w:bottom w:val="single" w:color="185FA5" w:sz="12" w:space="4"/>
        </w:pBdr>
        <w:spacing w:after="100" w:before="200"/>
      </w:pPr>
      <w:r>
        <w:rPr>
          <w:rFonts w:ascii="Calibri" w:cs="Calibri" w:eastAsia="Calibri" w:hAnsi="Calibri"/>
          <w:b/>
          <w:bCs/>
          <w:color w:val="1F3864"/>
          <w:sz w:val="32"/>
          <w:szCs w:val="32"/>
        </w:rPr>
        <w:t xml:space="preserve">Pillar 3 — Health / LTC Self-Insurance</w:t>
      </w:r>
    </w:p>
    <w:p>
      <w:pPr>
        <w:spacing w:after="80" w:before="60"/>
        <w:jc w:val="left"/>
      </w:pPr>
      <w:r>
        <w:rPr>
          <w:rFonts w:ascii="Calibri" w:cs="Calibri" w:eastAsia="Calibri" w:hAnsi="Calibri"/>
          <w:b w:val="false"/>
          <w:bCs w:val="false"/>
          <w:i/>
          <w:iCs/>
          <w:color w:val="595959"/>
          <w:sz w:val="19"/>
          <w:szCs w:val="19"/>
        </w:rPr>
        <w:t>$408,597 · pure growth · no income counted · both average LTC scenarios covered TODAY</w:t>
      </w:r>
    </w:p>
    <w:p>
      <w:pPr>
        <w:spacing w:after="160" w:before="40"/>
        <w:jc w:val="left"/>
      </w:pPr>
      <w:r>
        <w:rPr>
          <w:rFonts w:ascii="Calibri" w:cs="Calibri" w:eastAsia="Calibri" w:hAnsi="Calibri"/>
          <w:b w:val="false"/>
          <w:bCs w:val="false"/>
          <w:i w:val="false"/>
          <w:iCs w:val="false"/>
          <w:color w:val="595959"/>
          <w:sz w:val="19"/>
          <w:szCs w:val="19"/>
        </w:rPr>
        <w:t xml:space="preserve">This account is our self-funded long-term care reserve. It replaces traditional LTC insurance. It is a VIRTUAL account — the positions are held inside Brad IRA and Lisa IRA but are mentally designated as the LTC fund and no income is counted from them.</w:t>
      </w:r>
    </w:p>
    <w:p>
      <w:pPr>
        <w:spacing w:after="80" w:before="160"/>
      </w:pPr>
      <w:r>
        <w:rPr>
          <w:rFonts w:ascii="Calibri" w:cs="Calibri" w:eastAsia="Calibri" w:hAnsi="Calibri"/>
          <w:b/>
          <w:bCs/>
          <w:color w:val="185FA5"/>
          <w:sz w:val="24"/>
          <w:szCs w:val="24"/>
        </w:rPr>
        <w:t xml:space="preserve">Holdings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1080"/>
        <w:gridCol w:w="1440"/>
        <w:gridCol w:w="720"/>
        <w:gridCol w:w="3600"/>
      </w:tblGrid>
      <w:tr>
        <w:tc>
          <w:tcPr>
            <w:tcW w:type="dxa" w:w="1440"/>
            <w:tcBorders>
              <w:top w:val="single" w:color="185FA5" w:sz="6"/>
              <w:left w:val="single" w:color="185FA5" w:sz="6"/>
              <w:bottom w:val="single" w:color="185FA5" w:sz="6"/>
              <w:right w:val="single" w:color="185FA5" w:sz="6"/>
            </w:tcBorders>
            <w:shd w:fill="185FA5" w:val="clear"/>
            <w:tcMar>
              <w:top w:type="dxa" w:w="90"/>
              <w:left w:type="dxa" w:w="130"/>
              <w:bottom w:type="dxa" w:w="90"/>
              <w:right w:type="dxa" w:w="130"/>
            </w:tcMar>
          </w:tcPr>
          <w:p>
            <w:r>
              <w:rPr>
                <w:rFonts w:ascii="Calibri" w:cs="Calibri" w:eastAsia="Calibri" w:hAnsi="Calibri"/>
                <w:b/>
                <w:bCs/>
                <w:color w:val="FFFFFF"/>
                <w:sz w:val="18"/>
                <w:szCs w:val="18"/>
              </w:rPr>
              <w:t xml:space="preserve">Position</w:t>
            </w:r>
          </w:p>
        </w:tc>
        <w:tc>
          <w:tcPr>
            <w:tcW w:type="dxa" w:w="1080"/>
            <w:tcBorders>
              <w:top w:val="single" w:color="185FA5" w:sz="6"/>
              <w:left w:val="single" w:color="185FA5" w:sz="6"/>
              <w:bottom w:val="single" w:color="185FA5" w:sz="6"/>
              <w:right w:val="single" w:color="185FA5" w:sz="6"/>
            </w:tcBorders>
            <w:shd w:fill="185FA5" w:val="clear"/>
            <w:tcMar>
              <w:top w:type="dxa" w:w="90"/>
              <w:left w:type="dxa" w:w="130"/>
              <w:bottom w:type="dxa" w:w="90"/>
              <w:right w:type="dxa" w:w="130"/>
            </w:tcMar>
          </w:tcPr>
          <w:p>
            <w:r>
              <w:rPr>
                <w:rFonts w:ascii="Calibri" w:cs="Calibri" w:eastAsia="Calibri" w:hAnsi="Calibri"/>
                <w:b/>
                <w:bCs/>
                <w:color w:val="FFFFFF"/>
                <w:sz w:val="18"/>
                <w:szCs w:val="18"/>
              </w:rPr>
              <w:t xml:space="preserve">Account</w:t>
            </w:r>
          </w:p>
        </w:tc>
        <w:tc>
          <w:tcPr>
            <w:tcW w:type="dxa" w:w="1080"/>
            <w:tcBorders>
              <w:top w:val="single" w:color="185FA5" w:sz="6"/>
              <w:left w:val="single" w:color="185FA5" w:sz="6"/>
              <w:bottom w:val="single" w:color="185FA5" w:sz="6"/>
              <w:right w:val="single" w:color="185FA5" w:sz="6"/>
            </w:tcBorders>
            <w:shd w:fill="185FA5" w:val="clear"/>
            <w:tcMar>
              <w:top w:type="dxa" w:w="90"/>
              <w:left w:type="dxa" w:w="130"/>
              <w:bottom w:type="dxa" w:w="90"/>
              <w:right w:type="dxa" w:w="130"/>
            </w:tcMar>
          </w:tcPr>
          <w:p>
            <w:r>
              <w:rPr>
                <w:rFonts w:ascii="Calibri" w:cs="Calibri" w:eastAsia="Calibri" w:hAnsi="Calibri"/>
                <w:b/>
                <w:bCs/>
                <w:color w:val="FFFFFF"/>
                <w:sz w:val="18"/>
                <w:szCs w:val="18"/>
              </w:rPr>
              <w:t xml:space="preserve">Shares</w:t>
            </w:r>
          </w:p>
        </w:tc>
        <w:tc>
          <w:tcPr>
            <w:tcW w:type="dxa" w:w="1440"/>
            <w:tcBorders>
              <w:top w:val="single" w:color="185FA5" w:sz="6"/>
              <w:left w:val="single" w:color="185FA5" w:sz="6"/>
              <w:bottom w:val="single" w:color="185FA5" w:sz="6"/>
              <w:right w:val="single" w:color="185FA5" w:sz="6"/>
            </w:tcBorders>
            <w:shd w:fill="185FA5" w:val="clear"/>
            <w:tcMar>
              <w:top w:type="dxa" w:w="90"/>
              <w:left w:type="dxa" w:w="130"/>
              <w:bottom w:type="dxa" w:w="90"/>
              <w:right w:type="dxa" w:w="130"/>
            </w:tcMar>
          </w:tcPr>
          <w:p>
            <w:r>
              <w:rPr>
                <w:rFonts w:ascii="Calibri" w:cs="Calibri" w:eastAsia="Calibri" w:hAnsi="Calibri"/>
                <w:b/>
                <w:bCs/>
                <w:color w:val="FFFFFF"/>
                <w:sz w:val="18"/>
                <w:szCs w:val="18"/>
              </w:rPr>
              <w:t xml:space="preserve">Value</w:t>
            </w:r>
          </w:p>
        </w:tc>
        <w:tc>
          <w:tcPr>
            <w:tcW w:type="dxa" w:w="720"/>
            <w:tcBorders>
              <w:top w:val="single" w:color="185FA5" w:sz="6"/>
              <w:left w:val="single" w:color="185FA5" w:sz="6"/>
              <w:bottom w:val="single" w:color="185FA5" w:sz="6"/>
              <w:right w:val="single" w:color="185FA5" w:sz="6"/>
            </w:tcBorders>
            <w:shd w:fill="185FA5" w:val="clear"/>
            <w:tcMar>
              <w:top w:type="dxa" w:w="90"/>
              <w:left w:type="dxa" w:w="130"/>
              <w:bottom w:type="dxa" w:w="90"/>
              <w:right w:type="dxa" w:w="130"/>
            </w:tcMar>
          </w:tcPr>
          <w:p>
            <w:r>
              <w:rPr>
                <w:rFonts w:ascii="Calibri" w:cs="Calibri" w:eastAsia="Calibri" w:hAnsi="Calibri"/>
                <w:b/>
                <w:bCs/>
                <w:color w:val="FFFFFF"/>
                <w:sz w:val="18"/>
                <w:szCs w:val="18"/>
              </w:rPr>
              <w:t xml:space="preserve">%</w:t>
            </w:r>
          </w:p>
        </w:tc>
        <w:tc>
          <w:tcPr>
            <w:tcW w:type="dxa" w:w="3600"/>
            <w:tcBorders>
              <w:top w:val="single" w:color="185FA5" w:sz="6"/>
              <w:left w:val="single" w:color="185FA5" w:sz="6"/>
              <w:bottom w:val="single" w:color="185FA5" w:sz="6"/>
              <w:right w:val="single" w:color="185FA5" w:sz="6"/>
            </w:tcBorders>
            <w:shd w:fill="185FA5" w:val="clear"/>
            <w:tcMar>
              <w:top w:type="dxa" w:w="90"/>
              <w:left w:type="dxa" w:w="130"/>
              <w:bottom w:type="dxa" w:w="90"/>
              <w:right w:type="dxa" w:w="130"/>
            </w:tcMar>
          </w:tcPr>
          <w:p>
            <w:r>
              <w:rPr>
                <w:rFonts w:ascii="Calibri" w:cs="Calibri" w:eastAsia="Calibri" w:hAnsi="Calibri"/>
                <w:b/>
                <w:bCs/>
                <w:color w:val="FFFFFF"/>
                <w:sz w:val="18"/>
                <w:szCs w:val="18"/>
              </w:rPr>
              <w:t xml:space="preserve">Role</w:t>
            </w:r>
          </w:p>
        </w:tc>
      </w:tr>
      <w:tr>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FDGRX (100%)</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IRA</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876u</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$51,250</w:t>
            </w:r>
          </w:p>
        </w:tc>
        <w:tc>
          <w:tcPr>
            <w:tcW w:type="dxa" w:w="7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12.2%</w:t>
            </w:r>
          </w:p>
        </w:tc>
        <w:tc>
          <w:tcPr>
            <w:tcW w:type="dxa" w:w="36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US large cap growth — active (Fidelity Growth Company Fund)</w:t>
            </w:r>
          </w:p>
        </w:tc>
      </w:tr>
      <w:tr>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VUG</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IRA</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365sh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$31,744</w:t>
            </w:r>
          </w:p>
        </w:tc>
        <w:tc>
          <w:tcPr>
            <w:tcW w:type="dxa" w:w="7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7.6%</w:t>
            </w:r>
          </w:p>
        </w:tc>
        <w:tc>
          <w:tcPr>
            <w:tcW w:type="dxa" w:w="36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US large cap growth — passive (Vanguard Growth ETF) · 0.03%</w:t>
            </w:r>
          </w:p>
        </w:tc>
      </w:tr>
      <w:tr>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VTV</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IRA</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100sh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$21,999</w:t>
            </w:r>
          </w:p>
        </w:tc>
        <w:tc>
          <w:tcPr>
            <w:tcW w:type="dxa" w:w="7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5.2%</w:t>
            </w:r>
          </w:p>
        </w:tc>
        <w:tc>
          <w:tcPr>
            <w:tcW w:type="dxa" w:w="36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US large cap value — passive (Vanguard Value ETF) · 0.03%</w:t>
            </w:r>
          </w:p>
        </w:tc>
      </w:tr>
      <w:tr>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SPDW</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IRA</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1,896sh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$97,739</w:t>
            </w:r>
          </w:p>
        </w:tc>
        <w:tc>
          <w:tcPr>
            <w:tcW w:type="dxa" w:w="7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23.3%</w:t>
            </w:r>
          </w:p>
        </w:tc>
        <w:tc>
          <w:tcPr>
            <w:tcW w:type="dxa" w:w="36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International developed large/mid (SPDR Portfolio Dev World)</w:t>
            </w:r>
          </w:p>
        </w:tc>
      </w:tr>
      <w:tr>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SCHM (1,410)</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IRA</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1,410sh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$50,831</w:t>
            </w:r>
          </w:p>
        </w:tc>
        <w:tc>
          <w:tcPr>
            <w:tcW w:type="dxa" w:w="7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12.1%</w:t>
            </w:r>
          </w:p>
        </w:tc>
        <w:tc>
          <w:tcPr>
            <w:tcW w:type="dxa" w:w="36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US mid cap passive (Schwab Mid Cap ETF) — reduced from 2,910sh</w:t>
            </w:r>
          </w:p>
        </w:tc>
      </w:tr>
      <w:tr>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SCHA</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IRA</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3,029sh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$105,577</w:t>
            </w:r>
          </w:p>
        </w:tc>
        <w:tc>
          <w:tcPr>
            <w:tcW w:type="dxa" w:w="7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25.1%</w:t>
            </w:r>
          </w:p>
        </w:tc>
        <w:tc>
          <w:tcPr>
            <w:tcW w:type="dxa" w:w="36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US small cap passive (Schwab Small Cap ETF)</w:t>
            </w:r>
          </w:p>
        </w:tc>
      </w:tr>
      <w:tr>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SCHC</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IRA</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452sh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$22,697</w:t>
            </w:r>
          </w:p>
        </w:tc>
        <w:tc>
          <w:tcPr>
            <w:tcW w:type="dxa" w:w="7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5.4%</w:t>
            </w:r>
          </w:p>
        </w:tc>
        <w:tc>
          <w:tcPr>
            <w:tcW w:type="dxa" w:w="36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Intl small cap developed — FULLY KEPT in LTC ✓ confirmed</w:t>
            </w:r>
          </w:p>
        </w:tc>
      </w:tr>
      <w:tr>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SCHE</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IRA</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1,049sh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$38,327</w:t>
            </w:r>
          </w:p>
        </w:tc>
        <w:tc>
          <w:tcPr>
            <w:tcW w:type="dxa" w:w="7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9.1%</w:t>
            </w:r>
          </w:p>
        </w:tc>
        <w:tc>
          <w:tcPr>
            <w:tcW w:type="dxa" w:w="36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Emerging markets — 50% sell AFTER Jun 24 (keep 525sh in LTC)</w:t>
            </w:r>
          </w:p>
        </w:tc>
      </w:tr>
      <w:tr>
        <w:tc>
          <w:tcPr>
            <w:tcW w:type="dxa" w:w="144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bCs/>
                <w:i w:val="false"/>
                <w:iCs w:val="false"/>
                <w:color w:val="0C447C"/>
                <w:sz w:val="18"/>
                <w:szCs w:val="18"/>
              </w:rPr>
              <w:t xml:space="preserve">LTC Total</w:t>
            </w:r>
          </w:p>
        </w:tc>
        <w:tc>
          <w:tcPr>
            <w:tcW w:type="dxa" w:w="108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 accounts</w:t>
            </w:r>
          </w:p>
        </w:tc>
        <w:tc>
          <w:tcPr>
            <w:tcW w:type="dxa" w:w="108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c>
          <w:tcPr>
            <w:tcW w:type="dxa" w:w="144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bCs/>
                <w:i w:val="false"/>
                <w:iCs w:val="false"/>
                <w:color w:val="0C447C"/>
                <w:sz w:val="18"/>
                <w:szCs w:val="18"/>
              </w:rPr>
              <w:t>$408,597</w:t>
            </w:r>
          </w:p>
        </w:tc>
        <w:tc>
          <w:tcPr>
            <w:tcW w:type="dxa" w:w="72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c>
          <w:tcPr>
            <w:tcW w:type="dxa" w:w="360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C447C"/>
                <w:sz w:val="18"/>
                <w:szCs w:val="18"/>
              </w:rPr>
              <w:t xml:space="preserve">24% large · 36% small/mid · 30% intl · 9% EM</w:t>
            </w:r>
          </w:p>
        </w:tc>
      </w:tr>
    </w:tbl>
    <w:p>
      <w:pPr>
        <w:spacing w:after="0" w:before="160"/>
      </w:pPr>
      <w:r>
        <w:t xml:space="preserve"/>
      </w:r>
    </w:p>
    <w:p>
      <w:pPr>
        <w:spacing w:after="80" w:before="160"/>
      </w:pPr>
      <w:r>
        <w:rPr>
          <w:rFonts w:ascii="Calibri" w:cs="Calibri" w:eastAsia="Calibri" w:hAnsi="Calibri"/>
          <w:b/>
          <w:bCs/>
          <w:color w:val="185FA5"/>
          <w:sz w:val="24"/>
          <w:szCs w:val="24"/>
        </w:rPr>
        <w:t xml:space="preserve">Growth projections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1800"/>
        <w:gridCol w:w="3240"/>
      </w:tblGrid>
      <w:tr>
        <w:tc>
          <w:tcPr>
            <w:tcW w:type="dxa" w:w="1440"/>
            <w:tcBorders>
              <w:top w:val="single" w:color="185FA5" w:sz="6"/>
              <w:left w:val="single" w:color="185FA5" w:sz="6"/>
              <w:bottom w:val="single" w:color="185FA5" w:sz="6"/>
              <w:right w:val="single" w:color="185FA5" w:sz="6"/>
            </w:tcBorders>
            <w:shd w:fill="185FA5" w:val="clear"/>
            <w:tcMar>
              <w:top w:type="dxa" w:w="90"/>
              <w:left w:type="dxa" w:w="130"/>
              <w:bottom w:type="dxa" w:w="90"/>
              <w:right w:type="dxa" w:w="130"/>
            </w:tcMar>
          </w:tcPr>
          <w:p>
            <w:r>
              <w:rPr>
                <w:rFonts w:ascii="Calibri" w:cs="Calibri" w:eastAsia="Calibri" w:hAnsi="Calibri"/>
                <w:b/>
                <w:bCs/>
                <w:color w:val="FFFFFF"/>
                <w:sz w:val="18"/>
                <w:szCs w:val="18"/>
              </w:rPr>
              <w:t xml:space="preserve">Year</w:t>
            </w:r>
          </w:p>
        </w:tc>
        <w:tc>
          <w:tcPr>
            <w:tcW w:type="dxa" w:w="1800"/>
            <w:tcBorders>
              <w:top w:val="single" w:color="185FA5" w:sz="6"/>
              <w:left w:val="single" w:color="185FA5" w:sz="6"/>
              <w:bottom w:val="single" w:color="185FA5" w:sz="6"/>
              <w:right w:val="single" w:color="185FA5" w:sz="6"/>
            </w:tcBorders>
            <w:shd w:fill="185FA5" w:val="clear"/>
            <w:tcMar>
              <w:top w:type="dxa" w:w="90"/>
              <w:left w:type="dxa" w:w="130"/>
              <w:bottom w:type="dxa" w:w="90"/>
              <w:right w:type="dxa" w:w="130"/>
            </w:tcMar>
          </w:tcPr>
          <w:p>
            <w:r>
              <w:rPr>
                <w:rFonts w:ascii="Calibri" w:cs="Calibri" w:eastAsia="Calibri" w:hAnsi="Calibri"/>
                <w:b/>
                <w:bCs/>
                <w:color w:val="FFFFFF"/>
                <w:sz w:val="18"/>
                <w:szCs w:val="18"/>
              </w:rPr>
              <w:t xml:space="preserve">Below avg (6.6%)</w:t>
            </w:r>
          </w:p>
        </w:tc>
        <w:tc>
          <w:tcPr>
            <w:tcW w:type="dxa" w:w="1800"/>
            <w:tcBorders>
              <w:top w:val="single" w:color="185FA5" w:sz="6"/>
              <w:left w:val="single" w:color="185FA5" w:sz="6"/>
              <w:bottom w:val="single" w:color="185FA5" w:sz="6"/>
              <w:right w:val="single" w:color="185FA5" w:sz="6"/>
            </w:tcBorders>
            <w:shd w:fill="185FA5" w:val="clear"/>
            <w:tcMar>
              <w:top w:type="dxa" w:w="90"/>
              <w:left w:type="dxa" w:w="130"/>
              <w:bottom w:type="dxa" w:w="90"/>
              <w:right w:type="dxa" w:w="130"/>
            </w:tcMar>
          </w:tcPr>
          <w:p>
            <w:r>
              <w:rPr>
                <w:rFonts w:ascii="Calibri" w:cs="Calibri" w:eastAsia="Calibri" w:hAnsi="Calibri"/>
                <w:b/>
                <w:bCs/>
                <w:color w:val="FFFFFF"/>
                <w:sz w:val="18"/>
                <w:szCs w:val="18"/>
              </w:rPr>
              <w:t xml:space="preserve">Average (8.5%)</w:t>
            </w:r>
          </w:p>
        </w:tc>
        <w:tc>
          <w:tcPr>
            <w:tcW w:type="dxa" w:w="1800"/>
            <w:tcBorders>
              <w:top w:val="single" w:color="185FA5" w:sz="6"/>
              <w:left w:val="single" w:color="185FA5" w:sz="6"/>
              <w:bottom w:val="single" w:color="185FA5" w:sz="6"/>
              <w:right w:val="single" w:color="185FA5" w:sz="6"/>
            </w:tcBorders>
            <w:shd w:fill="185FA5" w:val="clear"/>
            <w:tcMar>
              <w:top w:type="dxa" w:w="90"/>
              <w:left w:type="dxa" w:w="130"/>
              <w:bottom w:type="dxa" w:w="90"/>
              <w:right w:type="dxa" w:w="130"/>
            </w:tcMar>
          </w:tcPr>
          <w:p>
            <w:r>
              <w:rPr>
                <w:rFonts w:ascii="Calibri" w:cs="Calibri" w:eastAsia="Calibri" w:hAnsi="Calibri"/>
                <w:b/>
                <w:bCs/>
                <w:color w:val="FFFFFF"/>
                <w:sz w:val="18"/>
                <w:szCs w:val="18"/>
              </w:rPr>
              <w:t xml:space="preserve">Above avg (10.7%)</w:t>
            </w:r>
          </w:p>
        </w:tc>
        <w:tc>
          <w:tcPr>
            <w:tcW w:type="dxa" w:w="3240"/>
            <w:tcBorders>
              <w:top w:val="single" w:color="185FA5" w:sz="6"/>
              <w:left w:val="single" w:color="185FA5" w:sz="6"/>
              <w:bottom w:val="single" w:color="185FA5" w:sz="6"/>
              <w:right w:val="single" w:color="185FA5" w:sz="6"/>
            </w:tcBorders>
            <w:shd w:fill="185FA5" w:val="clear"/>
            <w:tcMar>
              <w:top w:type="dxa" w:w="90"/>
              <w:left w:type="dxa" w:w="130"/>
              <w:bottom w:type="dxa" w:w="90"/>
              <w:right w:type="dxa" w:w="130"/>
            </w:tcMar>
          </w:tcPr>
          <w:p>
            <w:r>
              <w:rPr>
                <w:rFonts w:ascii="Calibri" w:cs="Calibri" w:eastAsia="Calibri" w:hAnsi="Calibri"/>
                <w:b/>
                <w:bCs/>
                <w:color w:val="FFFFFF"/>
                <w:sz w:val="18"/>
                <w:szCs w:val="18"/>
              </w:rPr>
              <w:t xml:space="preserve">Coverage milestone</w:t>
            </w:r>
          </w:p>
        </w:tc>
      </w:tr>
      <w:tr>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Today</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$408,597</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$408,597</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$408,597</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Both 1-person average covered TODAY</w:t>
            </w:r>
          </w:p>
        </w:tc>
      </w:tr>
      <w:tr>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Year 2</w:t>
            </w:r>
          </w:p>
        </w:tc>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$477,455</w:t>
            </w:r>
          </w:p>
        </w:tc>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$494,626</w:t>
            </w:r>
          </w:p>
        </w:tc>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$514,888</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Both people combined average ($400K)</w:t>
            </w:r>
          </w:p>
        </w:tc>
      </w:tr>
      <w:tr>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Year 5</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$578,367</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$631,781</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$698,483</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1-person extended (5 yrs · $500K)</w:t>
            </w:r>
          </w:p>
        </w:tc>
      </w:tr>
      <w:tr>
        <w:tc>
          <w:tcPr>
            <w:tcW w:type="dxa" w:w="14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 xml:space="preserve">Year 10</w:t>
            </w:r>
          </w:p>
        </w:tc>
        <w:tc>
          <w:tcPr>
            <w:tcW w:type="dxa" w:w="180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$796,141</w:t>
            </w:r>
          </w:p>
        </w:tc>
        <w:tc>
          <w:tcPr>
            <w:tcW w:type="dxa" w:w="180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 xml:space="preserve">$949,982</w:t>
            </w:r>
          </w:p>
        </w:tc>
        <w:tc>
          <w:tcPr>
            <w:tcW w:type="dxa" w:w="180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$1,161,165</w:t>
            </w:r>
          </w:p>
        </w:tc>
        <w:tc>
          <w:tcPr>
            <w:tcW w:type="dxa" w:w="32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 xml:space="preserve">Both extended (8 yrs · $800K) covered ✓</w:t>
            </w:r>
          </w:p>
        </w:tc>
      </w:tr>
      <w:tr>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Year 15</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$1,095,912</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$1,428,446</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$1,930,332</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Both worst case ($1.2M) covered</w:t>
            </w:r>
          </w:p>
        </w:tc>
      </w:tr>
    </w:tbl>
    <w:p>
      <w:pPr>
        <w:spacing w:after="0" w:before="160"/>
      </w:pPr>
      <w:r>
        <w:t xml:space="preserve"/>
      </w:r>
    </w:p>
    <w:p>
      <w:pPr>
        <w:spacing w:after="80" w:before="160"/>
      </w:pPr>
      <w:r>
        <w:rPr>
          <w:rFonts w:ascii="Calibri" w:cs="Calibri" w:eastAsia="Calibri" w:hAnsi="Calibri"/>
          <w:b/>
          <w:bCs/>
          <w:color w:val="185FA5"/>
          <w:sz w:val="24"/>
          <w:szCs w:val="24"/>
        </w:rPr>
        <w:t xml:space="preserve">LTC cost benchmarks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40"/>
        <w:gridCol w:w="3720"/>
      </w:tblGrid>
      <w:tr>
        <w:tc>
          <w:tcPr>
            <w:tcW w:type="dxa" w:w="2400"/>
            <w:tcBorders>
              <w:top w:val="single" w:color="185FA5" w:sz="6"/>
              <w:left w:val="single" w:color="185FA5" w:sz="6"/>
              <w:bottom w:val="single" w:color="185FA5" w:sz="6"/>
              <w:right w:val="single" w:color="185FA5" w:sz="6"/>
            </w:tcBorders>
            <w:shd w:fill="185FA5" w:val="clear"/>
            <w:tcMar>
              <w:top w:type="dxa" w:w="90"/>
              <w:left w:type="dxa" w:w="130"/>
              <w:bottom w:type="dxa" w:w="90"/>
              <w:right w:type="dxa" w:w="130"/>
            </w:tcMar>
          </w:tcPr>
          <w:p>
            <w:r>
              <w:rPr>
                <w:rFonts w:ascii="Calibri" w:cs="Calibri" w:eastAsia="Calibri" w:hAnsi="Calibri"/>
                <w:b/>
                <w:bCs/>
                <w:color w:val="FFFFFF"/>
                <w:sz w:val="18"/>
                <w:szCs w:val="18"/>
              </w:rPr>
              <w:t xml:space="preserve">Scenario</w:t>
            </w:r>
          </w:p>
        </w:tc>
        <w:tc>
          <w:tcPr>
            <w:tcW w:type="dxa" w:w="1800"/>
            <w:tcBorders>
              <w:top w:val="single" w:color="185FA5" w:sz="6"/>
              <w:left w:val="single" w:color="185FA5" w:sz="6"/>
              <w:bottom w:val="single" w:color="185FA5" w:sz="6"/>
              <w:right w:val="single" w:color="185FA5" w:sz="6"/>
            </w:tcBorders>
            <w:shd w:fill="185FA5" w:val="clear"/>
            <w:tcMar>
              <w:top w:type="dxa" w:w="90"/>
              <w:left w:type="dxa" w:w="130"/>
              <w:bottom w:type="dxa" w:w="90"/>
              <w:right w:type="dxa" w:w="130"/>
            </w:tcMar>
          </w:tcPr>
          <w:p>
            <w:r>
              <w:rPr>
                <w:rFonts w:ascii="Calibri" w:cs="Calibri" w:eastAsia="Calibri" w:hAnsi="Calibri"/>
                <w:b/>
                <w:bCs/>
                <w:color w:val="FFFFFF"/>
                <w:sz w:val="18"/>
                <w:szCs w:val="18"/>
              </w:rPr>
              <w:t xml:space="preserve">Duration</w:t>
            </w:r>
          </w:p>
        </w:tc>
        <w:tc>
          <w:tcPr>
            <w:tcW w:type="dxa" w:w="1440"/>
            <w:tcBorders>
              <w:top w:val="single" w:color="185FA5" w:sz="6"/>
              <w:left w:val="single" w:color="185FA5" w:sz="6"/>
              <w:bottom w:val="single" w:color="185FA5" w:sz="6"/>
              <w:right w:val="single" w:color="185FA5" w:sz="6"/>
            </w:tcBorders>
            <w:shd w:fill="185FA5" w:val="clear"/>
            <w:tcMar>
              <w:top w:type="dxa" w:w="90"/>
              <w:left w:type="dxa" w:w="130"/>
              <w:bottom w:type="dxa" w:w="90"/>
              <w:right w:type="dxa" w:w="130"/>
            </w:tcMar>
          </w:tcPr>
          <w:p>
            <w:r>
              <w:rPr>
                <w:rFonts w:ascii="Calibri" w:cs="Calibri" w:eastAsia="Calibri" w:hAnsi="Calibri"/>
                <w:b/>
                <w:bCs/>
                <w:color w:val="FFFFFF"/>
                <w:sz w:val="18"/>
                <w:szCs w:val="18"/>
              </w:rPr>
              <w:t xml:space="preserve">Est. Cost</w:t>
            </w:r>
          </w:p>
        </w:tc>
        <w:tc>
          <w:tcPr>
            <w:tcW w:type="dxa" w:w="3720"/>
            <w:tcBorders>
              <w:top w:val="single" w:color="185FA5" w:sz="6"/>
              <w:left w:val="single" w:color="185FA5" w:sz="6"/>
              <w:bottom w:val="single" w:color="185FA5" w:sz="6"/>
              <w:right w:val="single" w:color="185FA5" w:sz="6"/>
            </w:tcBorders>
            <w:shd w:fill="185FA5" w:val="clear"/>
            <w:tcMar>
              <w:top w:type="dxa" w:w="90"/>
              <w:left w:type="dxa" w:w="130"/>
              <w:bottom w:type="dxa" w:w="90"/>
              <w:right w:type="dxa" w:w="130"/>
            </w:tcMar>
          </w:tcPr>
          <w:p>
            <w:r>
              <w:rPr>
                <w:rFonts w:ascii="Calibri" w:cs="Calibri" w:eastAsia="Calibri" w:hAnsi="Calibri"/>
                <w:b/>
                <w:bCs/>
                <w:color w:val="FFFFFF"/>
                <w:sz w:val="18"/>
                <w:szCs w:val="18"/>
              </w:rPr>
              <w:t xml:space="preserve">Coverage status</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 person average care</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2.5 yrs</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$250,000</w:t>
            </w:r>
          </w:p>
        </w:tc>
        <w:tc>
          <w:tcPr>
            <w:tcW w:type="dxa" w:w="37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Covered TODAY — $381K exceeds this</w:t>
            </w:r>
          </w:p>
        </w:tc>
      </w:tr>
      <w:tr>
        <w:tc>
          <w:tcPr>
            <w:tcW w:type="dxa" w:w="24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Both people average</w:t>
            </w:r>
          </w:p>
        </w:tc>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 yrs combined</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$400,000</w:t>
            </w:r>
          </w:p>
        </w:tc>
        <w:tc>
          <w:tcPr>
            <w:tcW w:type="dxa" w:w="37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Covered by Year 2 — all scenarios</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 person extended care</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 yrs</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$500,000</w:t>
            </w:r>
          </w:p>
        </w:tc>
        <w:tc>
          <w:tcPr>
            <w:tcW w:type="dxa" w:w="37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Average case: Year 4</w:t>
            </w:r>
          </w:p>
        </w:tc>
      </w:tr>
      <w:tr>
        <w:tc>
          <w:tcPr>
            <w:tcW w:type="dxa" w:w="24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Both people extended</w:t>
            </w:r>
          </w:p>
        </w:tc>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8 yrs combined</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$800,000</w:t>
            </w:r>
          </w:p>
        </w:tc>
        <w:tc>
          <w:tcPr>
            <w:tcW w:type="dxa" w:w="37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Average case: Year 10 ✓</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Both worst case</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10+ yrs combined</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$949,982</w:t>
            </w:r>
          </w:p>
        </w:tc>
        <w:tc>
          <w:tcPr>
            <w:tcW w:type="dxa" w:w="37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Average case: Year 13</w:t>
            </w:r>
          </w:p>
        </w:tc>
      </w:tr>
    </w:tbl>
    <w:p>
      <w:pPr>
        <w:spacing w:after="40" w:before="40"/>
      </w:pPr>
      <w:r>
        <w:rPr>
          <w:rFonts w:ascii="Calibri" w:cs="Calibri" w:eastAsia="Calibri" w:hAnsi="Calibri"/>
          <w:i/>
          <w:iCs/>
          <w:color w:val="888780"/>
          <w:sz w:val="17"/>
          <w:szCs w:val="17"/>
        </w:rPr>
        <w:t xml:space="preserve">LTC cost benchmark: ~$100,000/yr national median nursing home (2026). Actual costs vary by location and care type.</w:t>
      </w:r>
    </w:p>
    <w:p>
      <w:pPr>
        <w:spacing w:after="0" w:before="160"/>
      </w:pPr>
      <w:r>
        <w:t xml:space="preserve"/>
      </w:r>
    </w:p>
    <w:p>
      <w:pPr>
        <w:spacing w:after="80" w:before="160"/>
      </w:pPr>
      <w:r>
        <w:rPr>
          <w:rFonts w:ascii="Calibri" w:cs="Calibri" w:eastAsia="Calibri" w:hAnsi="Calibri"/>
          <w:b/>
          <w:bCs/>
          <w:color w:val="854F0B"/>
          <w:sz w:val="24"/>
          <w:szCs w:val="24"/>
        </w:rPr>
        <w:t xml:space="preserve">Insurance — pending cancellation (saves $7,575/yr)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2160"/>
        <w:gridCol w:w="3960"/>
      </w:tblGrid>
      <w:tr>
        <w:tc>
          <w:tcPr>
            <w:tcW w:type="dxa" w:w="1800"/>
            <w:tcBorders>
              <w:top w:val="single" w:color="854F0B" w:sz="6"/>
              <w:left w:val="single" w:color="854F0B" w:sz="6"/>
              <w:bottom w:val="single" w:color="854F0B" w:sz="6"/>
              <w:right w:val="single" w:color="854F0B" w:sz="6"/>
            </w:tcBorders>
            <w:shd w:fill="854F0B" w:val="clear"/>
            <w:tcMar>
              <w:top w:type="dxa" w:w="90"/>
              <w:left w:type="dxa" w:w="130"/>
              <w:bottom w:type="dxa" w:w="90"/>
              <w:right w:type="dxa" w:w="130"/>
            </w:tcMar>
          </w:tcPr>
          <w:p>
            <w:r>
              <w:rPr>
                <w:rFonts w:ascii="Calibri" w:cs="Calibri" w:eastAsia="Calibri" w:hAnsi="Calibri"/>
                <w:b/>
                <w:bCs/>
                <w:color w:val="FFFFFF"/>
                <w:sz w:val="18"/>
                <w:szCs w:val="18"/>
              </w:rPr>
              <w:t xml:space="preserve">Policy</w:t>
            </w:r>
          </w:p>
        </w:tc>
        <w:tc>
          <w:tcPr>
            <w:tcW w:type="dxa" w:w="1440"/>
            <w:tcBorders>
              <w:top w:val="single" w:color="854F0B" w:sz="6"/>
              <w:left w:val="single" w:color="854F0B" w:sz="6"/>
              <w:bottom w:val="single" w:color="854F0B" w:sz="6"/>
              <w:right w:val="single" w:color="854F0B" w:sz="6"/>
            </w:tcBorders>
            <w:shd w:fill="854F0B" w:val="clear"/>
            <w:tcMar>
              <w:top w:type="dxa" w:w="90"/>
              <w:left w:type="dxa" w:w="130"/>
              <w:bottom w:type="dxa" w:w="90"/>
              <w:right w:type="dxa" w:w="130"/>
            </w:tcMar>
          </w:tcPr>
          <w:p>
            <w:r>
              <w:rPr>
                <w:rFonts w:ascii="Calibri" w:cs="Calibri" w:eastAsia="Calibri" w:hAnsi="Calibri"/>
                <w:b/>
                <w:bCs/>
                <w:color w:val="FFFFFF"/>
                <w:sz w:val="18"/>
                <w:szCs w:val="18"/>
              </w:rPr>
              <w:t xml:space="preserve">Annual Premium</w:t>
            </w:r>
          </w:p>
        </w:tc>
        <w:tc>
          <w:tcPr>
            <w:tcW w:type="dxa" w:w="2160"/>
            <w:tcBorders>
              <w:top w:val="single" w:color="854F0B" w:sz="6"/>
              <w:left w:val="single" w:color="854F0B" w:sz="6"/>
              <w:bottom w:val="single" w:color="854F0B" w:sz="6"/>
              <w:right w:val="single" w:color="854F0B" w:sz="6"/>
            </w:tcBorders>
            <w:shd w:fill="854F0B" w:val="clear"/>
            <w:tcMar>
              <w:top w:type="dxa" w:w="90"/>
              <w:left w:type="dxa" w:w="130"/>
              <w:bottom w:type="dxa" w:w="90"/>
              <w:right w:type="dxa" w:w="130"/>
            </w:tcMar>
          </w:tcPr>
          <w:p>
            <w:r>
              <w:rPr>
                <w:rFonts w:ascii="Calibri" w:cs="Calibri" w:eastAsia="Calibri" w:hAnsi="Calibri"/>
                <w:b/>
                <w:bCs/>
                <w:color w:val="FFFFFF"/>
                <w:sz w:val="18"/>
                <w:szCs w:val="18"/>
              </w:rPr>
              <w:t xml:space="preserve">Status</w:t>
            </w:r>
          </w:p>
        </w:tc>
        <w:tc>
          <w:tcPr>
            <w:tcW w:type="dxa" w:w="3960"/>
            <w:tcBorders>
              <w:top w:val="single" w:color="854F0B" w:sz="6"/>
              <w:left w:val="single" w:color="854F0B" w:sz="6"/>
              <w:bottom w:val="single" w:color="854F0B" w:sz="6"/>
              <w:right w:val="single" w:color="854F0B" w:sz="6"/>
            </w:tcBorders>
            <w:shd w:fill="854F0B" w:val="clear"/>
            <w:tcMar>
              <w:top w:type="dxa" w:w="90"/>
              <w:left w:type="dxa" w:w="130"/>
              <w:bottom w:type="dxa" w:w="90"/>
              <w:right w:type="dxa" w:w="130"/>
            </w:tcMar>
          </w:tcPr>
          <w:p>
            <w:r>
              <w:rPr>
                <w:rFonts w:ascii="Calibri" w:cs="Calibri" w:eastAsia="Calibri" w:hAnsi="Calibri"/>
                <w:b/>
                <w:bCs/>
                <w:color w:val="FFFFFF"/>
                <w:sz w:val="18"/>
                <w:szCs w:val="18"/>
              </w:rPr>
              <w:t xml:space="preserve">Action Required</w:t>
            </w:r>
          </w:p>
        </w:tc>
      </w:tr>
      <w:tr>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Trustmark UL+LTC</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$3,787/yr</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PENDING — request in-force illustration first</w:t>
            </w:r>
          </w:p>
        </w:tc>
        <w:tc>
          <w:tcPr>
            <w:tcW w:type="dxa" w:w="39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Universal Life with LTC rider — must get illustration before cancelling to check surrender charges, cash value, and optimal cancel timing. Policy is ~2 years old and may still have surrender penalties. See action plan.</w:t>
            </w:r>
          </w:p>
        </w:tc>
      </w:tr>
      <w:tr>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Term Life (reinstated)</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$3,788/yr</w:t>
            </w:r>
          </w:p>
        </w:tc>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READY TO CANCEL</w:t>
            </w:r>
          </w:p>
        </w:tc>
        <w:tc>
          <w:tcPr>
            <w:tcW w:type="dxa" w:w="39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No surrender penalty on term · purpose replaced by LTC self-insurance</w:t>
            </w:r>
          </w:p>
        </w:tc>
      </w:tr>
    </w:tbl>
    <w:p>
      <w:pPr>
        <w:spacing w:after="40" w:before="40"/>
      </w:pPr>
      <w:r>
        <w:rPr>
          <w:rFonts w:ascii="Calibri" w:cs="Calibri" w:eastAsia="Calibri" w:hAnsi="Calibri"/>
          <w:i/>
          <w:iCs/>
          <w:color w:val="888780"/>
          <w:sz w:val="17"/>
          <w:szCs w:val="17"/>
        </w:rPr>
        <w:t xml:space="preserve">Combined savings when cancelled: $7,575/yr redirected to monthly cash flow.</w:t>
      </w:r>
    </w:p>
    <w:p>
      <w:pPr>
        <w:spacing w:after="0" w:before="160"/>
      </w:pPr>
      <w:r>
        <w:t xml:space="preserve"/>
      </w:r>
    </w:p>
    <w:p>
      <w:pPr>
        <w:spacing w:after="80" w:before="160"/>
      </w:pPr>
      <w:r>
        <w:rPr>
          <w:rFonts w:ascii="Calibri" w:cs="Calibri" w:eastAsia="Calibri" w:hAnsi="Calibri"/>
          <w:b/>
          <w:bCs/>
          <w:color w:val="A32D2D"/>
          <w:sz w:val="24"/>
          <w:szCs w:val="24"/>
        </w:rPr>
        <w:t xml:space="preserve">Oracle MetLife — CRITICAL TIME-SENSITIVE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0"/>
              <w:left w:val="single" w:color="A32D2D" w:sz="10"/>
              <w:bottom w:val="single" w:color="A32D2D" w:sz="10"/>
              <w:right w:val="single" w:color="A32D2D" w:sz="10"/>
            </w:tcBorders>
            <w:shd w:fill="FCEBEB" w:val="clear"/>
            <w:tcMar>
              <w:top w:type="dxa" w:w="120"/>
              <w:left w:type="dxa" w:w="180"/>
              <w:bottom w:type="dxa" w:w="120"/>
              <w:right w:type="dxa" w:w="180"/>
            </w:tcMar>
          </w:tcPr>
          <w:p>
            <w:r>
              <w:rPr>
                <w:rFonts w:ascii="Calibri" w:cs="Calibri" w:eastAsia="Calibri" w:hAnsi="Calibri"/>
                <w:b/>
                <w:bCs/>
                <w:color w:val="A32D2D"/>
                <w:sz w:val="20"/>
                <w:szCs w:val="20"/>
              </w:rPr>
              <w:t xml:space="preserve">ORACLE METLIFE: Brad must port this life insurance policy within 31 DAYS of his last day at Oracle. If this window is missed, coverage cannot be reinstated without medical underwriting. Mark departure date on calendar immediately.</w:t>
            </w:r>
          </w:p>
        </w:tc>
      </w:tr>
    </w:tbl>
    <w:p>
      <w:r>
        <w:br w:type="page"/>
      </w:r>
    </w:p>
    <w:p>
      <w:pPr>
        <w:pBdr>
          <w:bottom w:val="single" w:color="854F0B" w:sz="12" w:space="4"/>
        </w:pBdr>
        <w:spacing w:after="100" w:before="200"/>
      </w:pPr>
      <w:r>
        <w:rPr>
          <w:rFonts w:ascii="Calibri" w:cs="Calibri" w:eastAsia="Calibri" w:hAnsi="Calibri"/>
          <w:b/>
          <w:bCs/>
          <w:color w:val="1F3864"/>
          <w:sz w:val="32"/>
          <w:szCs w:val="32"/>
        </w:rPr>
        <w:t xml:space="preserve">Additional Accounts</w:t>
      </w:r>
    </w:p>
    <w:p>
      <w:pPr>
        <w:spacing w:after="0" w:before="80"/>
      </w:pPr>
      <w:r>
        <w:t xml:space="preserve"/>
      </w:r>
    </w:p>
    <w:p>
      <w:pPr>
        <w:spacing w:after="80" w:before="160"/>
      </w:pPr>
      <w:r>
        <w:rPr>
          <w:rFonts w:ascii="Calibri" w:cs="Calibri" w:eastAsia="Calibri" w:hAnsi="Calibri"/>
          <w:b/>
          <w:bCs/>
          <w:color w:val="0F6E56"/>
          <w:sz w:val="24"/>
          <w:szCs w:val="24"/>
        </w:rPr>
        <w:t xml:space="preserve">Lisa Roth IRA — $104 (building)</w:t>
      </w:r>
    </w:p>
    <w:p>
      <w:pPr>
        <w:spacing w:after="40" w:before="40"/>
      </w:pPr>
      <w:r>
        <w:rPr>
          <w:rFonts w:ascii="Calibri" w:cs="Calibri" w:eastAsia="Calibri" w:hAnsi="Calibri"/>
          <w:i/>
          <w:iCs/>
          <w:color w:val="888780"/>
          <w:sz w:val="17"/>
          <w:szCs w:val="17"/>
        </w:rPr>
        <w:t xml:space="preserve">Schwab Roth IRA · Tax-free growth · No RMDs · Building via annual Q4 Roth conversions</w:t>
      </w:r>
    </w:p>
    <w:p>
      <w:pPr>
        <w:spacing w:after="60" w:before="60"/>
        <w:jc w:val="left"/>
      </w:pPr>
      <w:r>
        <w:rPr>
          <w:rFonts w:ascii="Calibri" w:cs="Calibri" w:eastAsia="Calibri" w:hAnsi="Calibri"/>
          <w:b w:val="false"/>
          <w:bCs w:val="false"/>
          <w:i w:val="false"/>
          <w:iCs w:val="false"/>
          <w:color w:val="595959"/>
          <w:sz w:val="19"/>
          <w:szCs w:val="19"/>
        </w:rPr>
        <w:t xml:space="preserve">Current balance: $104 (money market). This account is designated as the dedicated LTC supplement. Each Q4 we evaluate tax bracket room and convert $15-20K from Lisa's Traditional IRA to this Roth IRA. Invested in SCHG + VTI + VXUS only — pure growth, never income positions. At $15-20K/yr contributions, this account grows to approximately $241,000 by Year 10 as a bonus LTC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Year</w:t>
            </w:r>
          </w:p>
        </w:tc>
        <w:tc>
          <w:tcPr>
            <w:tcW w:type="dxa" w:w="216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Roth Balance (est.)</w:t>
            </w:r>
          </w:p>
        </w:tc>
        <w:tc>
          <w:tcPr>
            <w:tcW w:type="dxa" w:w="504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Notes</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Today</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$104</w:t>
            </w:r>
          </w:p>
        </w:tc>
        <w:tc>
          <w:tcPr>
            <w:tcW w:type="dxa" w:w="50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Placeholder — building via Q4 conversions</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Year 5</w:t>
            </w:r>
          </w:p>
        </w:tc>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~$100,000</w:t>
            </w:r>
          </w:p>
        </w:tc>
        <w:tc>
          <w:tcPr>
            <w:tcW w:type="dxa" w:w="50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$15-20K/yr at 7% CAGR</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Year 10</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~$241,000</w:t>
            </w:r>
          </w:p>
        </w:tc>
        <w:tc>
          <w:tcPr>
            <w:tcW w:type="dxa" w:w="50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Bonus LTC supplement layer</w:t>
            </w:r>
          </w:p>
        </w:tc>
      </w:tr>
    </w:tbl>
    <w:p>
      <w:pPr>
        <w:spacing w:after="0" w:before="160"/>
      </w:pPr>
      <w:r>
        <w:t xml:space="preserve"/>
      </w:r>
    </w:p>
    <w:p>
      <w:pPr>
        <w:spacing w:after="80" w:before="160"/>
      </w:pPr>
      <w:r>
        <w:rPr>
          <w:rFonts w:ascii="Calibri" w:cs="Calibri" w:eastAsia="Calibri" w:hAnsi="Calibri"/>
          <w:b/>
          <w:bCs/>
          <w:color w:val="1F3864"/>
          <w:sz w:val="24"/>
          <w:szCs w:val="24"/>
        </w:rPr>
        <w:t xml:space="preserve">Capital One Savings — $60,000 (SACRED)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0"/>
              <w:left w:val="single" w:color="1F3864" w:sz="10"/>
              <w:bottom w:val="single" w:color="1F3864" w:sz="10"/>
              <w:right w:val="single" w:color="1F3864" w:sz="10"/>
            </w:tcBorders>
            <w:shd w:fill="D6E4F0" w:val="clear"/>
            <w:tcMar>
              <w:top w:type="dxa" w:w="120"/>
              <w:left w:type="dxa" w:w="180"/>
              <w:bottom w:type="dxa" w:w="120"/>
              <w:right w:type="dxa" w:w="180"/>
            </w:tcMar>
          </w:tcPr>
          <w:p>
            <w:r>
              <w:rPr>
                <w:rFonts w:ascii="Calibri" w:cs="Calibri" w:eastAsia="Calibri" w:hAnsi="Calibri"/>
                <w:b/>
                <w:bCs/>
                <w:color w:val="1F3864"/>
                <w:sz w:val="20"/>
                <w:szCs w:val="20"/>
              </w:rPr>
              <w:t xml:space="preserve">SACRED ACCOUNT — The $60,000 principal is NEVER used for income, investment, or expenses. This is the emergency reserve. Only the interest earned is transferred to the joint brokerage account for reinvestment.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Account</w:t>
            </w:r>
          </w:p>
        </w:tc>
        <w:tc>
          <w:tcPr>
            <w:tcW w:type="dxa" w:w="216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Balance</w:t>
            </w:r>
          </w:p>
        </w:tc>
        <w:tc>
          <w:tcPr>
            <w:tcW w:type="dxa" w:w="504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Purpose</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Capital One Savings Acct 1</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$21,433.74</w:t>
            </w:r>
          </w:p>
        </w:tc>
        <w:tc>
          <w:tcPr>
            <w:tcW w:type="dxa" w:w="50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Emergency reserve — Brad &amp; Lisa</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Capital One Savings Acct 2</w:t>
            </w:r>
          </w:p>
        </w:tc>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$41,140.37</w:t>
            </w:r>
          </w:p>
        </w:tc>
        <w:tc>
          <w:tcPr>
            <w:tcW w:type="dxa" w:w="50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Emergency reserve — Brad &amp; Lisa</w:t>
            </w:r>
          </w:p>
        </w:tc>
      </w:tr>
      <w:tr>
        <w:tc>
          <w:tcPr>
            <w:tcW w:type="dxa" w:w="216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bCs/>
                <w:i w:val="false"/>
                <w:iCs w:val="false"/>
                <w:color w:val="1F3864"/>
                <w:sz w:val="18"/>
                <w:szCs w:val="18"/>
              </w:rPr>
              <w:t xml:space="preserve">Total</w:t>
            </w:r>
          </w:p>
        </w:tc>
        <w:tc>
          <w:tcPr>
            <w:tcW w:type="dxa" w:w="216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bCs/>
                <w:i w:val="false"/>
                <w:iCs w:val="false"/>
                <w:color w:val="1F3864"/>
                <w:sz w:val="18"/>
                <w:szCs w:val="18"/>
              </w:rPr>
              <w:t xml:space="preserve">$60,000.00</w:t>
            </w:r>
          </w:p>
        </w:tc>
        <w:tc>
          <w:tcPr>
            <w:tcW w:type="dxa" w:w="504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Principal SACRED · interest (~$1,800/yr) → joint for reinvestment</w:t>
            </w:r>
          </w:p>
        </w:tc>
      </w:tr>
    </w:tbl>
    <w:p>
      <w:pPr>
        <w:spacing w:after="0" w:before="80"/>
      </w:pPr>
      <w:r>
        <w:t xml:space="preserve"/>
      </w:r>
    </w:p>
    <w:p>
      <w:pPr>
        <w:spacing w:after="40" w:before="40"/>
      </w:pPr>
      <w:r>
        <w:rPr>
          <w:rFonts w:ascii="Calibri" w:cs="Calibri" w:eastAsia="Calibri" w:hAnsi="Calibri"/>
          <w:i/>
          <w:iCs/>
          <w:color w:val="888780"/>
          <w:sz w:val="17"/>
          <w:szCs w:val="17"/>
        </w:rPr>
        <w:t xml:space="preserve">APY estimated at 3.00% — confirm exact rate from Capital One statement. Interest accrues daily and compounds monthly.</w:t>
      </w:r>
    </w:p>
    <w:p>
      <w:pPr>
        <w:spacing w:after="0" w:before="160"/>
      </w:pPr>
      <w:r>
        <w:t xml:space="preserve"/>
      </w:r>
    </w:p>
    <w:p>
      <w:pPr>
        <w:spacing w:after="80" w:before="160"/>
      </w:pPr>
      <w:r>
        <w:rPr>
          <w:rFonts w:ascii="Calibri" w:cs="Calibri" w:eastAsia="Calibri" w:hAnsi="Calibri"/>
          <w:b/>
          <w:bCs/>
          <w:color w:val="8B4513"/>
          <w:sz w:val="24"/>
          <w:szCs w:val="24"/>
        </w:rPr>
        <w:t xml:space="preserve">Crypto Holdings — ~$27,326 (SPECULATIVE)</w:t>
      </w:r>
    </w:p>
    <w:p>
      <w:pPr>
        <w:spacing w:after="40" w:before="40"/>
      </w:pPr>
      <w:r>
        <w:rPr>
          <w:rFonts w:ascii="Calibri" w:cs="Calibri" w:eastAsia="Calibri" w:hAnsi="Calibri"/>
          <w:i/>
          <w:iCs/>
          <w:color w:val="888780"/>
          <w:sz w:val="17"/>
          <w:szCs w:val="17"/>
        </w:rPr>
        <w:t xml:space="preserve">Market values are approximate and highly volatile. Do not rely on these for income or planning. Values change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2880"/>
      </w:tblGrid>
      <w:tr>
        <w:tc>
          <w:tcPr>
            <w:tcW w:type="dxa" w:w="2160"/>
            <w:tcBorders>
              <w:top w:val="single" w:color="8B4513" w:sz="6"/>
              <w:left w:val="single" w:color="8B4513" w:sz="6"/>
              <w:bottom w:val="single" w:color="8B4513" w:sz="6"/>
              <w:right w:val="single" w:color="8B4513" w:sz="6"/>
            </w:tcBorders>
            <w:shd w:fill="8B4513" w:val="clear"/>
            <w:tcMar>
              <w:top w:type="dxa" w:w="90"/>
              <w:left w:type="dxa" w:w="130"/>
              <w:bottom w:type="dxa" w:w="90"/>
              <w:right w:type="dxa" w:w="130"/>
            </w:tcMar>
          </w:tcPr>
          <w:p>
            <w:r>
              <w:rPr>
                <w:rFonts w:ascii="Calibri" w:cs="Calibri" w:eastAsia="Calibri" w:hAnsi="Calibri"/>
                <w:b/>
                <w:bCs/>
                <w:color w:val="FFFFFF"/>
                <w:sz w:val="18"/>
                <w:szCs w:val="18"/>
              </w:rPr>
              <w:t xml:space="preserve">Platform</w:t>
            </w:r>
          </w:p>
        </w:tc>
        <w:tc>
          <w:tcPr>
            <w:tcW w:type="dxa" w:w="1440"/>
            <w:tcBorders>
              <w:top w:val="single" w:color="8B4513" w:sz="6"/>
              <w:left w:val="single" w:color="8B4513" w:sz="6"/>
              <w:bottom w:val="single" w:color="8B4513" w:sz="6"/>
              <w:right w:val="single" w:color="8B4513" w:sz="6"/>
            </w:tcBorders>
            <w:shd w:fill="8B4513" w:val="clear"/>
            <w:tcMar>
              <w:top w:type="dxa" w:w="90"/>
              <w:left w:type="dxa" w:w="130"/>
              <w:bottom w:type="dxa" w:w="90"/>
              <w:right w:type="dxa" w:w="130"/>
            </w:tcMar>
          </w:tcPr>
          <w:p>
            <w:r>
              <w:rPr>
                <w:rFonts w:ascii="Calibri" w:cs="Calibri" w:eastAsia="Calibri" w:hAnsi="Calibri"/>
                <w:b/>
                <w:bCs/>
                <w:color w:val="FFFFFF"/>
                <w:sz w:val="18"/>
                <w:szCs w:val="18"/>
              </w:rPr>
              <w:t xml:space="preserve">Asset</w:t>
            </w:r>
          </w:p>
        </w:tc>
        <w:tc>
          <w:tcPr>
            <w:tcW w:type="dxa" w:w="1440"/>
            <w:tcBorders>
              <w:top w:val="single" w:color="8B4513" w:sz="6"/>
              <w:left w:val="single" w:color="8B4513" w:sz="6"/>
              <w:bottom w:val="single" w:color="8B4513" w:sz="6"/>
              <w:right w:val="single" w:color="8B4513" w:sz="6"/>
            </w:tcBorders>
            <w:shd w:fill="8B4513" w:val="clear"/>
            <w:tcMar>
              <w:top w:type="dxa" w:w="90"/>
              <w:left w:type="dxa" w:w="130"/>
              <w:bottom w:type="dxa" w:w="90"/>
              <w:right w:type="dxa" w:w="130"/>
            </w:tcMar>
          </w:tcPr>
          <w:p>
            <w:r>
              <w:rPr>
                <w:rFonts w:ascii="Calibri" w:cs="Calibri" w:eastAsia="Calibri" w:hAnsi="Calibri"/>
                <w:b/>
                <w:bCs/>
                <w:color w:val="FFFFFF"/>
                <w:sz w:val="18"/>
                <w:szCs w:val="18"/>
              </w:rPr>
              <w:t xml:space="preserve">Amount</w:t>
            </w:r>
          </w:p>
        </w:tc>
        <w:tc>
          <w:tcPr>
            <w:tcW w:type="dxa" w:w="1440"/>
            <w:tcBorders>
              <w:top w:val="single" w:color="8B4513" w:sz="6"/>
              <w:left w:val="single" w:color="8B4513" w:sz="6"/>
              <w:bottom w:val="single" w:color="8B4513" w:sz="6"/>
              <w:right w:val="single" w:color="8B4513" w:sz="6"/>
            </w:tcBorders>
            <w:shd w:fill="8B4513" w:val="clear"/>
            <w:tcMar>
              <w:top w:type="dxa" w:w="90"/>
              <w:left w:type="dxa" w:w="130"/>
              <w:bottom w:type="dxa" w:w="90"/>
              <w:right w:type="dxa" w:w="130"/>
            </w:tcMar>
          </w:tcPr>
          <w:p>
            <w:r>
              <w:rPr>
                <w:rFonts w:ascii="Calibri" w:cs="Calibri" w:eastAsia="Calibri" w:hAnsi="Calibri"/>
                <w:b/>
                <w:bCs/>
                <w:color w:val="FFFFFF"/>
                <w:sz w:val="18"/>
                <w:szCs w:val="18"/>
              </w:rPr>
              <w:t xml:space="preserve">Approx Value</w:t>
            </w:r>
          </w:p>
        </w:tc>
        <w:tc>
          <w:tcPr>
            <w:tcW w:type="dxa" w:w="2880"/>
            <w:tcBorders>
              <w:top w:val="single" w:color="8B4513" w:sz="6"/>
              <w:left w:val="single" w:color="8B4513" w:sz="6"/>
              <w:bottom w:val="single" w:color="8B4513" w:sz="6"/>
              <w:right w:val="single" w:color="8B4513" w:sz="6"/>
            </w:tcBorders>
            <w:shd w:fill="8B4513" w:val="clear"/>
            <w:tcMar>
              <w:top w:type="dxa" w:w="90"/>
              <w:left w:type="dxa" w:w="130"/>
              <w:bottom w:type="dxa" w:w="90"/>
              <w:right w:type="dxa" w:w="130"/>
            </w:tcMar>
          </w:tcPr>
          <w:p>
            <w:r>
              <w:rPr>
                <w:rFonts w:ascii="Calibri" w:cs="Calibri" w:eastAsia="Calibri" w:hAnsi="Calibri"/>
                <w:b/>
                <w:bCs/>
                <w:color w:val="FFFFFF"/>
                <w:sz w:val="18"/>
                <w:szCs w:val="18"/>
              </w:rPr>
              <w:t xml:space="preserve">Notes</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iTrust Capital (Lisa IRA)</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Bitcoin (BTC)</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0.3164 BTC</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~$29,425</w:t>
            </w:r>
          </w:p>
        </w:tc>
        <w:tc>
          <w:tcPr>
            <w:tcW w:type="dxa" w:w="28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crypto IRA — tax-advantaged</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iTrust Capital (Lisa IRA)</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Ethereum (ETH)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2.3467 ETH</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~$4,224</w:t>
            </w:r>
          </w:p>
        </w:tc>
        <w:tc>
          <w:tcPr>
            <w:tcW w:type="dxa" w:w="28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iTrust Capital (Lisa IRA)</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Cardano (ADA)</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2,201 ADA</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~$1,541</w:t>
            </w:r>
          </w:p>
        </w:tc>
        <w:tc>
          <w:tcPr>
            <w:tcW w:type="dxa" w:w="28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iTrust Capital (Lisa IRA)</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Solana (SOL)</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19.61 SOL</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~$2,843</w:t>
            </w:r>
          </w:p>
        </w:tc>
        <w:tc>
          <w:tcPr>
            <w:tcW w:type="dxa" w:w="28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iTrust Capital (Lisa IRA)</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Polkadot (DOT)</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22.28 DOT</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~$100</w:t>
            </w:r>
          </w:p>
        </w:tc>
        <w:tc>
          <w:tcPr>
            <w:tcW w:type="dxa" w:w="28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Crypto.com</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Bitcoin (BTC)</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0.0084 BTC</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~$781</w:t>
            </w:r>
          </w:p>
        </w:tc>
        <w:tc>
          <w:tcPr>
            <w:tcW w:type="dxa" w:w="28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Crypto.com</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Ethereum (ETH)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0.314 ETH</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~$565</w:t>
            </w:r>
          </w:p>
        </w:tc>
        <w:tc>
          <w:tcPr>
            <w:tcW w:type="dxa" w:w="28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Crypto.com</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Cardano (ADA)</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1,112 ADA</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~$779</w:t>
            </w:r>
          </w:p>
        </w:tc>
        <w:tc>
          <w:tcPr>
            <w:tcW w:type="dxa" w:w="28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Crypto.com</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Solana (SOL)</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1.6261 SOL</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~$236</w:t>
            </w:r>
          </w:p>
        </w:tc>
        <w:tc>
          <w:tcPr>
            <w:tcW w:type="dxa" w:w="28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Crypto.com</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Polkadot (DOT)</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13.80 DOT</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~$62</w:t>
            </w:r>
          </w:p>
        </w:tc>
        <w:tc>
          <w:tcPr>
            <w:tcW w:type="dxa" w:w="28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r>
      <w:tr>
        <w:tc>
          <w:tcPr>
            <w:tcW w:type="dxa" w:w="2160"/>
            <w:tcBorders>
              <w:top w:val="single" w:color="CCCCCC" w:sz="3"/>
              <w:left w:val="single" w:color="CCCCCC" w:sz="3"/>
              <w:bottom w:val="single" w:color="CCCCCC" w:sz="3"/>
              <w:right w:val="single" w:color="CCCCCC" w:sz="3"/>
            </w:tcBorders>
            <w:shd w:fill="FFF3E0" w:val="clear"/>
            <w:tcMar>
              <w:top w:type="dxa" w:w="70"/>
              <w:left w:type="dxa" w:w="130"/>
              <w:bottom w:type="dxa" w:w="70"/>
              <w:right w:type="dxa" w:w="130"/>
            </w:tcMar>
          </w:tcPr>
          <w:p>
            <w:pPr>
              <w:jc w:val="left"/>
            </w:pPr>
            <w:r>
              <w:rPr>
                <w:rFonts w:ascii="Calibri" w:cs="Calibri" w:eastAsia="Calibri" w:hAnsi="Calibri"/>
                <w:b/>
                <w:bCs/>
                <w:i w:val="false"/>
                <w:iCs w:val="false"/>
                <w:color w:val="8B4513"/>
                <w:sz w:val="18"/>
                <w:szCs w:val="18"/>
              </w:rPr>
              <w:t xml:space="preserve">Crypto Total</w:t>
            </w:r>
          </w:p>
        </w:tc>
        <w:tc>
          <w:tcPr>
            <w:tcW w:type="dxa" w:w="1440"/>
            <w:tcBorders>
              <w:top w:val="single" w:color="CCCCCC" w:sz="3"/>
              <w:left w:val="single" w:color="CCCCCC" w:sz="3"/>
              <w:bottom w:val="single" w:color="CCCCCC" w:sz="3"/>
              <w:right w:val="single" w:color="CCCCCC" w:sz="3"/>
            </w:tcBorders>
            <w:shd w:fill="FFF3E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c>
          <w:tcPr>
            <w:tcW w:type="dxa" w:w="1440"/>
            <w:tcBorders>
              <w:top w:val="single" w:color="CCCCCC" w:sz="3"/>
              <w:left w:val="single" w:color="CCCCCC" w:sz="3"/>
              <w:bottom w:val="single" w:color="CCCCCC" w:sz="3"/>
              <w:right w:val="single" w:color="CCCCCC" w:sz="3"/>
            </w:tcBorders>
            <w:shd w:fill="FFF3E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c>
          <w:tcPr>
            <w:tcW w:type="dxa" w:w="1440"/>
            <w:tcBorders>
              <w:top w:val="single" w:color="CCCCCC" w:sz="3"/>
              <w:left w:val="single" w:color="CCCCCC" w:sz="3"/>
              <w:bottom w:val="single" w:color="CCCCCC" w:sz="3"/>
              <w:right w:val="single" w:color="CCCCCC" w:sz="3"/>
            </w:tcBorders>
            <w:shd w:fill="FFF3E0" w:val="clear"/>
            <w:tcMar>
              <w:top w:type="dxa" w:w="70"/>
              <w:left w:type="dxa" w:w="130"/>
              <w:bottom w:type="dxa" w:w="70"/>
              <w:right w:type="dxa" w:w="130"/>
            </w:tcMar>
          </w:tcPr>
          <w:p>
            <w:pPr>
              <w:jc w:val="left"/>
            </w:pPr>
            <w:r>
              <w:rPr>
                <w:rFonts w:ascii="Calibri" w:cs="Calibri" w:eastAsia="Calibri" w:hAnsi="Calibri"/>
                <w:b/>
                <w:bCs/>
                <w:i w:val="false"/>
                <w:iCs w:val="false"/>
                <w:color w:val="8B4513"/>
                <w:sz w:val="18"/>
                <w:szCs w:val="18"/>
              </w:rPr>
              <w:t xml:space="preserve">~$27,326</w:t>
            </w:r>
          </w:p>
        </w:tc>
        <w:tc>
          <w:tcPr>
            <w:tcW w:type="dxa" w:w="2880"/>
            <w:tcBorders>
              <w:top w:val="single" w:color="CCCCCC" w:sz="3"/>
              <w:left w:val="single" w:color="CCCCCC" w:sz="3"/>
              <w:bottom w:val="single" w:color="CCCCCC" w:sz="3"/>
              <w:right w:val="single" w:color="CCCCCC" w:sz="3"/>
            </w:tcBorders>
            <w:shd w:fill="FFF3E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Approximate — verify at itrustcapital.com and crypto.com</w:t>
            </w:r>
          </w:p>
        </w:tc>
      </w:tr>
    </w:tbl>
    <w:p>
      <w:r>
        <w:br w:type="page"/>
      </w:r>
    </w:p>
    <w:p>
      <w:pPr>
        <w:pBdr>
          <w:bottom w:val="single" w:color="A32D2D" w:sz="12" w:space="4"/>
        </w:pBdr>
        <w:spacing w:after="100" w:before="200"/>
      </w:pPr>
      <w:r>
        <w:rPr>
          <w:rFonts w:ascii="Calibri" w:cs="Calibri" w:eastAsia="Calibri" w:hAnsi="Calibri"/>
          <w:b/>
          <w:bCs/>
          <w:color w:val="1F3864"/>
          <w:sz w:val="32"/>
          <w:szCs w:val="32"/>
        </w:rPr>
        <w:t xml:space="preserve">Debt &amp; Financial Obligations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0"/>
              <w:left w:val="single" w:color="A32D2D" w:sz="10"/>
              <w:bottom w:val="single" w:color="A32D2D" w:sz="10"/>
              <w:right w:val="single" w:color="A32D2D" w:sz="10"/>
            </w:tcBorders>
            <w:shd w:fill="FCEBEB" w:val="clear"/>
            <w:tcMar>
              <w:top w:type="dxa" w:w="120"/>
              <w:left w:type="dxa" w:w="180"/>
              <w:bottom w:type="dxa" w:w="120"/>
              <w:right w:type="dxa" w:w="180"/>
            </w:tcMar>
          </w:tcPr>
          <w:p>
            <w:r>
              <w:rPr>
                <w:rFonts w:ascii="Calibri" w:cs="Calibri" w:eastAsia="Calibri" w:hAnsi="Calibri"/>
                <w:b/>
                <w:bCs/>
                <w:color w:val="A32D2D"/>
                <w:sz w:val="20"/>
                <w:szCs w:val="20"/>
              </w:rPr>
              <w:t>✅ PAID OFF — Zero-interest credit card cleared August 21, 2026</w:t>
            </w:r>
          </w:p>
        </w:tc>
      </w:tr>
    </w:tbl>
    <w:p>
      <w:pPr>
        <w:spacing w:after="0" w:before="160"/>
      </w:pPr>
      <w:r>
        <w:t xml:space="preserve"/>
      </w:r>
    </w:p>
    <w:p>
      <w:pPr>
        <w:spacing w:after="80" w:before="160"/>
      </w:pPr>
      <w:r>
        <w:rPr>
          <w:rFonts w:ascii="Calibri" w:cs="Calibri" w:eastAsia="Calibri" w:hAnsi="Calibri"/>
          <w:b/>
          <w:bCs/>
          <w:color w:val="1F3864"/>
          <w:sz w:val="24"/>
          <w:szCs w:val="24"/>
        </w:rPr>
        <w:t xml:space="preserve">Current debt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900"/>
        <w:gridCol w:w="900"/>
        <w:gridCol w:w="4320"/>
      </w:tblGrid>
      <w:tr>
        <w:tc>
          <w:tcPr>
            <w:tcW w:type="dxa" w:w="180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Debt</w:t>
            </w:r>
          </w:p>
        </w:tc>
        <w:tc>
          <w:tcPr>
            <w:tcW w:type="dxa" w:w="144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Balance</w:t>
            </w:r>
          </w:p>
        </w:tc>
        <w:tc>
          <w:tcPr>
            <w:tcW w:type="dxa" w:w="90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Rate</w:t>
            </w:r>
          </w:p>
        </w:tc>
        <w:tc>
          <w:tcPr>
            <w:tcW w:type="dxa" w:w="90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Priority</w:t>
            </w:r>
          </w:p>
        </w:tc>
        <w:tc>
          <w:tcPr>
            <w:tcW w:type="dxa" w:w="432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When to Pay</w:t>
            </w:r>
          </w:p>
        </w:tc>
      </w:tr>
      <w:tr>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 Zero-interest card</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$0</w:t>
            </w:r>
          </w:p>
        </w:tc>
        <w:tc>
          <w:tcPr>
            <w:tcW w:type="dxa" w:w="9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PAID</w:t>
            </w:r>
          </w:p>
        </w:tc>
        <w:tc>
          <w:tcPr>
            <w:tcW w:type="dxa" w:w="9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August 21, 2026 ✅</w:t>
            </w:r>
          </w:p>
        </w:tc>
        <w:tc>
          <w:tcPr>
            <w:tcW w:type="dxa" w:w="43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Paid off — saved 17%+ interest</w:t>
            </w:r>
          </w:p>
        </w:tc>
      </w:tr>
      <w:tr>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 Parent Plus Loan #1</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$17,726.78</w:t>
            </w:r>
          </w:p>
        </w:tc>
        <w:tc>
          <w:tcPr>
            <w:tcW w:type="dxa" w:w="9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7.90%</w:t>
            </w:r>
          </w:p>
        </w:tc>
        <w:tc>
          <w:tcPr>
            <w:tcW w:type="dxa" w:w="9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Q4 2026</w:t>
            </w:r>
          </w:p>
        </w:tc>
        <w:tc>
          <w:tcPr>
            <w:tcW w:type="dxa" w:w="43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Highest rate — Brad IRA distribution · saves $1,400/yr</w:t>
            </w:r>
          </w:p>
        </w:tc>
      </w:tr>
      <w:tr>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 Parent Plus Loan #2</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$49,071.35</w:t>
            </w:r>
          </w:p>
        </w:tc>
        <w:tc>
          <w:tcPr>
            <w:tcW w:type="dxa" w:w="9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7.00%</w:t>
            </w:r>
          </w:p>
        </w:tc>
        <w:tc>
          <w:tcPr>
            <w:tcW w:type="dxa" w:w="9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2027</w:t>
            </w:r>
          </w:p>
        </w:tc>
        <w:tc>
          <w:tcPr>
            <w:tcW w:type="dxa" w:w="43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Second highest rate — Q4 2027 IRA distribution</w:t>
            </w:r>
          </w:p>
        </w:tc>
      </w:tr>
      <w:tr>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 Parent Plus Loan #3</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$48,734.80</w:t>
            </w:r>
          </w:p>
        </w:tc>
        <w:tc>
          <w:tcPr>
            <w:tcW w:type="dxa" w:w="9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6.55%</w:t>
            </w:r>
          </w:p>
        </w:tc>
        <w:tc>
          <w:tcPr>
            <w:tcW w:type="dxa" w:w="9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2027-2028</w:t>
            </w:r>
          </w:p>
        </w:tc>
        <w:tc>
          <w:tcPr>
            <w:tcW w:type="dxa" w:w="43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Coordinate with Q4 bracket window</w:t>
            </w:r>
          </w:p>
        </w:tc>
      </w:tr>
      <w:tr>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 Parent Plus Loan #4</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$50,904.83</w:t>
            </w:r>
          </w:p>
        </w:tc>
        <w:tc>
          <w:tcPr>
            <w:tcW w:type="dxa" w:w="9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6.41%</w:t>
            </w:r>
          </w:p>
        </w:tc>
        <w:tc>
          <w:tcPr>
            <w:tcW w:type="dxa" w:w="9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2027-2029</w:t>
            </w:r>
          </w:p>
        </w:tc>
        <w:tc>
          <w:tcPr>
            <w:tcW w:type="dxa" w:w="43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Coordinate with Q4 bracket window</w:t>
            </w:r>
          </w:p>
        </w:tc>
      </w:tr>
      <w:tr>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 Anderson Windows (last)</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$36,500</w:t>
            </w:r>
          </w:p>
        </w:tc>
        <w:tc>
          <w:tcPr>
            <w:tcW w:type="dxa" w:w="9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4.99%</w:t>
            </w:r>
          </w:p>
        </w:tc>
        <w:tc>
          <w:tcPr>
            <w:tcW w:type="dxa" w:w="9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Last — ongoing</w:t>
            </w:r>
          </w:p>
        </w:tc>
        <w:tc>
          <w:tcPr>
            <w:tcW w:type="dxa" w:w="43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Lowest rate · $400/mo · no urgency — pay last</w:t>
            </w:r>
          </w:p>
        </w:tc>
      </w:tr>
      <w:tr>
        <w:tc>
          <w:tcPr>
            <w:tcW w:type="dxa" w:w="1800"/>
            <w:tcBorders>
              <w:top w:val="single" w:color="CCCCCC" w:sz="3"/>
              <w:left w:val="single" w:color="CCCCCC" w:sz="3"/>
              <w:bottom w:val="single" w:color="CCCCCC" w:sz="3"/>
              <w:right w:val="single" w:color="CCCCCC" w:sz="3"/>
            </w:tcBorders>
            <w:shd w:fill="FCEBEB" w:val="clear"/>
            <w:tcMar>
              <w:top w:type="dxa" w:w="70"/>
              <w:left w:type="dxa" w:w="130"/>
              <w:bottom w:type="dxa" w:w="70"/>
              <w:right w:type="dxa" w:w="130"/>
            </w:tcMar>
          </w:tcPr>
          <w:p>
            <w:pPr>
              <w:jc w:val="left"/>
            </w:pPr>
            <w:r>
              <w:rPr>
                <w:rFonts w:ascii="Calibri" w:cs="Calibri" w:eastAsia="Calibri" w:hAnsi="Calibri"/>
                <w:b/>
                <w:bCs/>
                <w:i w:val="false"/>
                <w:iCs w:val="false"/>
                <w:color w:val="A32D2D"/>
                <w:sz w:val="18"/>
                <w:szCs w:val="18"/>
              </w:rPr>
              <w:t xml:space="preserve">Total Debt</w:t>
            </w:r>
          </w:p>
        </w:tc>
        <w:tc>
          <w:tcPr>
            <w:tcW w:type="dxa" w:w="1440"/>
            <w:tcBorders>
              <w:top w:val="single" w:color="CCCCCC" w:sz="3"/>
              <w:left w:val="single" w:color="CCCCCC" w:sz="3"/>
              <w:bottom w:val="single" w:color="CCCCCC" w:sz="3"/>
              <w:right w:val="single" w:color="CCCCCC" w:sz="3"/>
            </w:tcBorders>
            <w:shd w:fill="FCEBEB" w:val="clear"/>
            <w:tcMar>
              <w:top w:type="dxa" w:w="70"/>
              <w:left w:type="dxa" w:w="130"/>
              <w:bottom w:type="dxa" w:w="70"/>
              <w:right w:type="dxa" w:w="130"/>
            </w:tcMar>
          </w:tcPr>
          <w:p>
            <w:pPr>
              <w:jc w:val="left"/>
            </w:pPr>
            <w:r>
              <w:rPr>
                <w:rFonts w:ascii="Calibri" w:cs="Calibri" w:eastAsia="Calibri" w:hAnsi="Calibri"/>
                <w:b/>
                <w:bCs/>
                <w:i w:val="false"/>
                <w:iCs w:val="false"/>
                <w:color w:val="A32D2D"/>
                <w:sz w:val="18"/>
                <w:szCs w:val="18"/>
              </w:rPr>
              <w:t>$202,937.76</w:t>
            </w:r>
          </w:p>
        </w:tc>
        <w:tc>
          <w:tcPr>
            <w:tcW w:type="dxa" w:w="900"/>
            <w:tcBorders>
              <w:top w:val="single" w:color="CCCCCC" w:sz="3"/>
              <w:left w:val="single" w:color="CCCCCC" w:sz="3"/>
              <w:bottom w:val="single" w:color="CCCCCC" w:sz="3"/>
              <w:right w:val="single" w:color="CCCCCC" w:sz="3"/>
            </w:tcBorders>
            <w:shd w:fill="FCEBEB"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c>
          <w:tcPr>
            <w:tcW w:type="dxa" w:w="900"/>
            <w:tcBorders>
              <w:top w:val="single" w:color="CCCCCC" w:sz="3"/>
              <w:left w:val="single" w:color="CCCCCC" w:sz="3"/>
              <w:bottom w:val="single" w:color="CCCCCC" w:sz="3"/>
              <w:right w:val="single" w:color="CCCCCC" w:sz="3"/>
            </w:tcBorders>
            <w:shd w:fill="FCEBEB"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c>
          <w:tcPr>
            <w:tcW w:type="dxa" w:w="4320"/>
            <w:tcBorders>
              <w:top w:val="single" w:color="CCCCCC" w:sz="3"/>
              <w:left w:val="single" w:color="CCCCCC" w:sz="3"/>
              <w:bottom w:val="single" w:color="CCCCCC" w:sz="3"/>
              <w:right w:val="single" w:color="CCCCCC" w:sz="3"/>
            </w:tcBorders>
            <w:shd w:fill="FCEBEB"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Parent Plus loans: children's education debt</w:t>
            </w:r>
          </w:p>
        </w:tc>
      </w:tr>
    </w:tbl>
    <w:p>
      <w:pPr>
        <w:spacing w:after="0" w:before="160"/>
      </w:pPr>
      <w:r>
        <w:t xml:space="preserve"/>
      </w:r>
    </w:p>
    <w:p>
      <w:pPr>
        <w:spacing w:after="80" w:before="160"/>
      </w:pPr>
      <w:r>
        <w:rPr>
          <w:rFonts w:ascii="Calibri" w:cs="Calibri" w:eastAsia="Calibri" w:hAnsi="Calibri"/>
          <w:b/>
          <w:bCs/>
          <w:color w:val="1F3864"/>
          <w:sz w:val="24"/>
          <w:szCs w:val="24"/>
        </w:rPr>
        <w:t xml:space="preserve">Q4 2026 debt payoff plan</w:t>
      </w:r>
    </w:p>
    <w:p>
      <w:pPr>
        <w:spacing w:after="50" w:before="50"/>
      </w:pPr>
      <w:r>
        <w:rPr>
          <w:rFonts w:ascii="Calibri" w:cs="Calibri" w:eastAsia="Calibri" w:hAnsi="Calibri"/>
          <w:b w:val="false"/>
          <w:bCs w:val="false"/>
          <w:i w:val="false"/>
          <w:iCs w:val="false"/>
          <w:color w:val="000000"/>
          <w:sz w:val="19"/>
          <w:szCs w:val="19"/>
        </w:rPr>
        <w:t xml:space="preserve">Parent Plus #1 ($17,726.78 at 7.90%): Take Brad IRA distribution in Q4 2026. Highest rate debt — eliminate first. Net ~$13,500 after 24% bracket tax. Saves ~$1,400/yr in interest permanently.</w:t>
      </w:r>
    </w:p>
    <w:p>
      <w:pPr>
        <w:spacing w:after="0" w:before="80"/>
      </w:pPr>
      <w:r>
        <w:t xml:space="preserve"/>
      </w:r>
    </w:p>
    <w:p>
      <w:pPr>
        <w:spacing w:after="50" w:before="50"/>
      </w:pPr>
      <w:r>
        <w:rPr>
          <w:rFonts w:ascii="Calibri" w:cs="Calibri" w:eastAsia="Calibri" w:hAnsi="Calibri"/>
          <w:b w:val="false"/>
          <w:bCs w:val="false"/>
          <w:i w:val="false"/>
          <w:iCs w:val="false"/>
          <w:color w:val="000000"/>
          <w:sz w:val="19"/>
          <w:szCs w:val="19"/>
        </w:rPr>
        <w:t xml:space="preserve">Remaining Parent Plus loans (#2, #3, #4): Target $49K+ payoffs in 2027-2028 using coordinated IRA distributions within the 24% bracket window each Q4.</w:t>
      </w:r>
    </w:p>
    <w:p>
      <w:r>
        <w:br w:type="page"/>
      </w:r>
    </w:p>
    <w:p>
      <w:r>
        <w:br w:type="page"/>
      </w:r>
    </w:p>
    <w:p>
      <w:pPr>
        <w:pBdr>
          <w:bottom w:val="single" w:color="534AB7" w:sz="12" w:space="4"/>
        </w:pBdr>
        <w:spacing w:after="100" w:before="200"/>
      </w:pPr>
      <w:r>
        <w:rPr>
          <w:rFonts w:ascii="Calibri" w:cs="Calibri" w:eastAsia="Calibri" w:hAnsi="Calibri"/>
          <w:b/>
          <w:bCs/>
          <w:color w:val="1F3864"/>
          <w:sz w:val="32"/>
          <w:szCs w:val="32"/>
        </w:rPr>
        <w:t xml:space="preserve">Tax Strategy, IRMAA &amp; RMD Planning</w:t>
      </w:r>
    </w:p>
    <w:p>
      <w:pPr>
        <w:spacing w:after="160" w:before="60"/>
        <w:jc w:val="left"/>
      </w:pPr>
      <w:r>
        <w:rPr>
          <w:rFonts w:ascii="Calibri" w:cs="Calibri" w:eastAsia="Calibri" w:hAnsi="Calibri"/>
          <w:b w:val="false"/>
          <w:bCs w:val="false"/>
          <w:i/>
          <w:iCs/>
          <w:color w:val="595959"/>
          <w:sz w:val="19"/>
          <w:szCs w:val="19"/>
        </w:rPr>
        <w:t xml:space="preserve">This section documents our confirmed tax strategy and Medicare/RMD planning decisions.</w:t>
      </w:r>
    </w:p>
    <w:p>
      <w:pPr>
        <w:spacing w:after="80" w:before="160"/>
      </w:pPr>
      <w:r>
        <w:rPr>
          <w:rFonts w:ascii="Calibri" w:cs="Calibri" w:eastAsia="Calibri" w:hAnsi="Calibri"/>
          <w:b/>
          <w:bCs/>
          <w:color w:val="0F6E56"/>
          <w:sz w:val="24"/>
          <w:szCs w:val="24"/>
        </w:rPr>
        <w:t xml:space="preserve">Confirmed Strategy — Three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Decision</w:t>
            </w:r>
          </w:p>
        </w:tc>
        <w:tc>
          <w:tcPr>
            <w:tcW w:type="dxa" w:w="288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What We Do</w:t>
            </w:r>
          </w:p>
        </w:tc>
        <w:tc>
          <w:tcPr>
            <w:tcW w:type="dxa" w:w="432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Why</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401k contributions</w:t>
            </w:r>
          </w:p>
        </w:tc>
        <w:tc>
          <w:tcPr>
            <w:tcW w:type="dxa" w:w="28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Stay Traditional pre-tax — maximize including super catch-up (4,750/yr while Brad age 60-63)</w:t>
            </w:r>
          </w:p>
        </w:tc>
        <w:tc>
          <w:tcPr>
            <w:tcW w:type="dxa" w:w="43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Reduces current MAGI · preserves bracket room for Roth conversions · deduction too valuable to give up in final 2 working years</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Roth conversions</w:t>
            </w:r>
          </w:p>
        </w:tc>
        <w:tc>
          <w:tcPr>
            <w:tcW w:type="dxa" w:w="28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Convert maximum each Q4 within 24% bracket — Lisa IRA → Lisa Roth IRA · invest in SCHG+VTI+VXUS only</w:t>
            </w:r>
          </w:p>
        </w:tc>
        <w:tc>
          <w:tcPr>
            <w:tcW w:type="dxa" w:w="43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Permanently removes dollars from future RMDs · grows tax-free forever · no RMDs on Roth accounts · best asset to pass to children</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IRMAA</w:t>
            </w:r>
          </w:p>
        </w:tc>
        <w:tc>
          <w:tcPr>
            <w:tcW w:type="dxa" w:w="28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File SSA Form SSA-44 on retirement day — converts 2027 premium to retirement-year MAGI</w:t>
            </w:r>
          </w:p>
        </w:tc>
        <w:tc>
          <w:tcPr>
            <w:tcW w:type="dxa" w:w="43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One form · 15 minutes · saves ,968 in year one · IRMAA never an issue after that</w:t>
            </w:r>
          </w:p>
        </w:tc>
      </w:tr>
    </w:tbl>
    <w:p>
      <w:pPr>
        <w:spacing w:after="0" w:before="160"/>
      </w:pPr>
      <w:r>
        <w:t xml:space="preserve"/>
      </w:r>
    </w:p>
    <w:p>
      <w:pPr>
        <w:spacing w:after="80" w:before="160"/>
      </w:pPr>
      <w:r>
        <w:rPr>
          <w:rFonts w:ascii="Calibri" w:cs="Calibri" w:eastAsia="Calibri" w:hAnsi="Calibri"/>
          <w:b/>
          <w:bCs/>
          <w:color w:val="0C447C"/>
          <w:sz w:val="24"/>
          <w:szCs w:val="24"/>
        </w:rPr>
        <w:t xml:space="preserve">IRMAA — What It Is and When It Applies</w:t>
      </w:r>
    </w:p>
    <w:p>
      <w:pPr>
        <w:spacing w:after="100" w:before="40"/>
        <w:jc w:val="left"/>
      </w:pPr>
      <w:r>
        <w:rPr>
          <w:rFonts w:ascii="Calibri" w:cs="Calibri" w:eastAsia="Calibri" w:hAnsi="Calibri"/>
          <w:b w:val="false"/>
          <w:bCs w:val="false"/>
          <w:i w:val="false"/>
          <w:iCs w:val="false"/>
          <w:color w:val="595959"/>
          <w:sz w:val="19"/>
          <w:szCs w:val="19"/>
        </w:rPr>
        <w:t xml:space="preserve">IRMAA (Income-Related Monthly Adjustment Amount) is a Medicare surcharge added to standard Part B and Part D premiums when household MAGI exceeds certain thresholds. It uses a two-year lookback — 2027 Medicare premiums are based on 2025 income. Both Brad and Lisa enroll in Medicare in 2027 (both turn 65 that year — Brad in June, Lisa in November).</w:t>
      </w:r>
    </w:p>
    <w:p>
      <w:pPr>
        <w:spacing w:after="80" w:before="160"/>
      </w:pPr>
      <w:r>
        <w:rPr>
          <w:rFonts w:ascii="Calibri" w:cs="Calibri" w:eastAsia="Calibri" w:hAnsi="Calibri"/>
          <w:b/>
          <w:bCs/>
          <w:color w:val="0C447C"/>
          <w:sz w:val="24"/>
          <w:szCs w:val="24"/>
        </w:rPr>
        <w:t xml:space="preserve">IRMAA Thresholds (2026 — MFJ)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1800"/>
        <w:gridCol w:w="2880"/>
      </w:tblGrid>
      <w:tr>
        <w:tc>
          <w:tcPr>
            <w:tcW w:type="dxa" w:w="324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MAGI (Married Filing Jointly)</w:t>
            </w:r>
          </w:p>
        </w:tc>
        <w:tc>
          <w:tcPr>
            <w:tcW w:type="dxa" w:w="144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Part B/mo each</w:t>
            </w:r>
          </w:p>
        </w:tc>
        <w:tc>
          <w:tcPr>
            <w:tcW w:type="dxa" w:w="180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Surcharge vs standard</w:t>
            </w:r>
          </w:p>
        </w:tc>
        <w:tc>
          <w:tcPr>
            <w:tcW w:type="dxa" w:w="288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Household extra/yr</w:t>
            </w:r>
          </w:p>
        </w:tc>
      </w:tr>
      <w:tr>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Up to 12,000</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85/mo</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w:t>
            </w:r>
          </w:p>
        </w:tc>
        <w:tc>
          <w:tcPr>
            <w:tcW w:type="dxa" w:w="28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/bin/sh — no surcharge</w:t>
            </w:r>
          </w:p>
        </w:tc>
      </w:tr>
      <w:tr>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12,001 – 66,000 (Tier 1)</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59/mo</w:t>
            </w:r>
          </w:p>
        </w:tc>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+4/mo each</w:t>
            </w:r>
          </w:p>
        </w:tc>
        <w:tc>
          <w:tcPr>
            <w:tcW w:type="dxa" w:w="28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,776/yr</w:t>
            </w:r>
          </w:p>
        </w:tc>
      </w:tr>
      <w:tr>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66,001 – 34,000 (Tier 2)</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96/mo</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+11/mo each</w:t>
            </w:r>
          </w:p>
        </w:tc>
        <w:tc>
          <w:tcPr>
            <w:tcW w:type="dxa" w:w="28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,664/yr + Part D</w:t>
            </w:r>
          </w:p>
        </w:tc>
      </w:tr>
      <w:tr>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34,001 – 00,000 (Tier 3)</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07/mo</w:t>
            </w:r>
          </w:p>
        </w:tc>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+22/mo each</w:t>
            </w:r>
          </w:p>
        </w:tc>
        <w:tc>
          <w:tcPr>
            <w:tcW w:type="dxa" w:w="28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,328/yr + Part D</w:t>
            </w:r>
          </w:p>
        </w:tc>
      </w:tr>
      <w:tr>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00,001 – 50,000 (Tier 4)</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18/mo</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+33/mo each</w:t>
            </w:r>
          </w:p>
        </w:tc>
        <w:tc>
          <w:tcPr>
            <w:tcW w:type="dxa" w:w="28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,992/yr + Part D</w:t>
            </w:r>
          </w:p>
        </w:tc>
      </w:tr>
    </w:tbl>
    <w:p>
      <w:pPr>
        <w:spacing w:after="60" w:before="60"/>
        <w:jc w:val="left"/>
      </w:pPr>
      <w:r>
        <w:rPr>
          <w:rFonts w:ascii="Calibri" w:cs="Calibri" w:eastAsia="Calibri" w:hAnsi="Calibri"/>
          <w:b w:val="false"/>
          <w:bCs w:val="false"/>
          <w:i/>
          <w:iCs/>
          <w:color w:val="595959"/>
          <w:sz w:val="17"/>
          <w:szCs w:val="17"/>
        </w:rPr>
        <w:t xml:space="preserve">Total household surcharge in Tier 2 (our working years) is approximately ,968/yr including Part D. Thresholds adjust annually with inflation — projected to be ~53,000 by 2035.</w:t>
      </w:r>
    </w:p>
    <w:p>
      <w:pPr>
        <w:spacing w:after="0" w:before="160"/>
      </w:pPr>
      <w:r>
        <w:t xml:space="preserve"/>
      </w:r>
    </w:p>
    <w:p>
      <w:pPr>
        <w:spacing w:after="80" w:before="160"/>
      </w:pPr>
      <w:r>
        <w:rPr>
          <w:rFonts w:ascii="Calibri" w:cs="Calibri" w:eastAsia="Calibri" w:hAnsi="Calibri"/>
          <w:b/>
          <w:bCs/>
          <w:color w:val="0C447C"/>
          <w:sz w:val="24"/>
          <w:szCs w:val="24"/>
        </w:rPr>
        <w:t xml:space="preserve">Our Complete IRMAA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080"/>
        <w:gridCol w:w="1440"/>
        <w:gridCol w:w="3960"/>
      </w:tblGrid>
      <w:tr>
        <w:tc>
          <w:tcPr>
            <w:tcW w:type="dxa" w:w="144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Year</w:t>
            </w:r>
          </w:p>
        </w:tc>
        <w:tc>
          <w:tcPr>
            <w:tcW w:type="dxa" w:w="144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MAGI Est.</w:t>
            </w:r>
          </w:p>
        </w:tc>
        <w:tc>
          <w:tcPr>
            <w:tcW w:type="dxa" w:w="108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IRMAA Tier</w:t>
            </w:r>
          </w:p>
        </w:tc>
        <w:tc>
          <w:tcPr>
            <w:tcW w:type="dxa" w:w="144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Household Surcharge</w:t>
            </w:r>
          </w:p>
        </w:tc>
        <w:tc>
          <w:tcPr>
            <w:tcW w:type="dxa" w:w="396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Action / Notes</w:t>
            </w:r>
          </w:p>
        </w:tc>
      </w:tr>
      <w:tr>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2025 (working)</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80,866</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Tier 2</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~,968/yr</w:t>
            </w:r>
          </w:p>
        </w:tc>
        <w:tc>
          <w:tcPr>
            <w:tcW w:type="dxa" w:w="39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Not yet enrolled in Medicare — N/A</w:t>
            </w:r>
          </w:p>
        </w:tc>
      </w:tr>
      <w:tr>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2026 (working)</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80,866</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Tier 2</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~,968/yr</w:t>
            </w:r>
          </w:p>
        </w:tc>
        <w:tc>
          <w:tcPr>
            <w:tcW w:type="dxa" w:w="39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Not yet enrolled in Medicare — N/A</w:t>
            </w:r>
          </w:p>
        </w:tc>
      </w:tr>
      <w:tr>
        <w:tc>
          <w:tcPr>
            <w:tcW w:type="dxa" w:w="1440"/>
            <w:tcBorders>
              <w:top w:val="single" w:color="CCCCCC" w:sz="3"/>
              <w:left w:val="single" w:color="CCCCCC" w:sz="3"/>
              <w:bottom w:val="single" w:color="CCCCCC" w:sz="3"/>
              <w:right w:val="single" w:color="CCCCCC" w:sz="3"/>
            </w:tcBorders>
            <w:shd w:fill="FAEEDA" w:val="clear"/>
            <w:tcMar>
              <w:top w:type="dxa" w:w="70"/>
              <w:left w:type="dxa" w:w="130"/>
              <w:bottom w:type="dxa" w:w="70"/>
              <w:right w:type="dxa" w:w="130"/>
            </w:tcMar>
          </w:tcPr>
          <w:p>
            <w:pPr>
              <w:jc w:val="left"/>
            </w:pPr>
            <w:r>
              <w:rPr>
                <w:rFonts w:ascii="Calibri" w:cs="Calibri" w:eastAsia="Calibri" w:hAnsi="Calibri"/>
                <w:b/>
                <w:bCs/>
                <w:i w:val="false"/>
                <w:iCs w:val="false"/>
                <w:color w:val="854F0B"/>
                <w:sz w:val="18"/>
                <w:szCs w:val="18"/>
              </w:rPr>
              <w:t xml:space="preserve">2027 at enrollment</w:t>
            </w:r>
          </w:p>
        </w:tc>
        <w:tc>
          <w:tcPr>
            <w:tcW w:type="dxa" w:w="1440"/>
            <w:tcBorders>
              <w:top w:val="single" w:color="CCCCCC" w:sz="3"/>
              <w:left w:val="single" w:color="CCCCCC" w:sz="3"/>
              <w:bottom w:val="single" w:color="CCCCCC" w:sz="3"/>
              <w:right w:val="single" w:color="CCCCCC" w:sz="3"/>
            </w:tcBorders>
            <w:shd w:fill="FAEEDA"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80,866</w:t>
            </w:r>
          </w:p>
        </w:tc>
        <w:tc>
          <w:tcPr>
            <w:tcW w:type="dxa" w:w="1080"/>
            <w:tcBorders>
              <w:top w:val="single" w:color="CCCCCC" w:sz="3"/>
              <w:left w:val="single" w:color="CCCCCC" w:sz="3"/>
              <w:bottom w:val="single" w:color="CCCCCC" w:sz="3"/>
              <w:right w:val="single" w:color="CCCCCC" w:sz="3"/>
            </w:tcBorders>
            <w:shd w:fill="FAEEDA"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Tier 2</w:t>
            </w:r>
          </w:p>
        </w:tc>
        <w:tc>
          <w:tcPr>
            <w:tcW w:type="dxa" w:w="1440"/>
            <w:tcBorders>
              <w:top w:val="single" w:color="CCCCCC" w:sz="3"/>
              <w:left w:val="single" w:color="CCCCCC" w:sz="3"/>
              <w:bottom w:val="single" w:color="CCCCCC" w:sz="3"/>
              <w:right w:val="single" w:color="CCCCCC" w:sz="3"/>
            </w:tcBorders>
            <w:shd w:fill="FAEEDA"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854F0B"/>
                <w:sz w:val="18"/>
                <w:szCs w:val="18"/>
              </w:rPr>
              <w:t xml:space="preserve">~,968/yr</w:t>
            </w:r>
          </w:p>
        </w:tc>
        <w:tc>
          <w:tcPr>
            <w:tcW w:type="dxa" w:w="3960"/>
            <w:tcBorders>
              <w:top w:val="single" w:color="CCCCCC" w:sz="3"/>
              <w:left w:val="single" w:color="CCCCCC" w:sz="3"/>
              <w:bottom w:val="single" w:color="CCCCCC" w:sz="3"/>
              <w:right w:val="single" w:color="CCCCCC" w:sz="3"/>
            </w:tcBorders>
            <w:shd w:fill="FAEEDA" w:val="clear"/>
            <w:tcMar>
              <w:top w:type="dxa" w:w="70"/>
              <w:left w:type="dxa" w:w="130"/>
              <w:bottom w:type="dxa" w:w="70"/>
              <w:right w:type="dxa" w:w="130"/>
            </w:tcMar>
          </w:tcPr>
          <w:p>
            <w:pPr>
              <w:jc w:val="left"/>
            </w:pPr>
            <w:r>
              <w:rPr>
                <w:rFonts w:ascii="Calibri" w:cs="Calibri" w:eastAsia="Calibri" w:hAnsi="Calibri"/>
                <w:b/>
                <w:bCs/>
                <w:i w:val="false"/>
                <w:iCs w:val="false"/>
                <w:color w:val="854F0B"/>
                <w:sz w:val="18"/>
                <w:szCs w:val="18"/>
              </w:rPr>
              <w:t xml:space="preserve">FILE SSA-44 immediately on retirement day</w:t>
            </w:r>
          </w:p>
        </w:tc>
      </w:tr>
      <w:tr>
        <w:tc>
          <w:tcPr>
            <w:tcW w:type="dxa" w:w="14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 xml:space="preserve">2027 after SSA-44</w:t>
            </w:r>
          </w:p>
        </w:tc>
        <w:tc>
          <w:tcPr>
            <w:tcW w:type="dxa" w:w="14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56,018</w:t>
            </w:r>
          </w:p>
        </w:tc>
        <w:tc>
          <w:tcPr>
            <w:tcW w:type="dxa" w:w="108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 xml:space="preserve">NONE ✓</w:t>
            </w:r>
          </w:p>
        </w:tc>
        <w:tc>
          <w:tcPr>
            <w:tcW w:type="dxa" w:w="14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 xml:space="preserve">/bin/sh</w:t>
            </w:r>
          </w:p>
        </w:tc>
        <w:tc>
          <w:tcPr>
            <w:tcW w:type="dxa" w:w="396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F6E56"/>
                <w:sz w:val="18"/>
                <w:szCs w:val="18"/>
              </w:rPr>
              <w:t xml:space="preserve">Appeal uses 2027 retirement-year income — succeeds automatically</w:t>
            </w:r>
          </w:p>
        </w:tc>
      </w:tr>
      <w:tr>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2028–2034 (retired)</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~5,079</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NONE ✓</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/bin/sh</w:t>
            </w:r>
          </w:p>
        </w:tc>
        <w:tc>
          <w:tcPr>
            <w:tcW w:type="dxa" w:w="39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Roth+HSA shield keeps MAGI very low</w:t>
            </w:r>
          </w:p>
        </w:tc>
      </w:tr>
      <w:tr>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2035+ (RMDs begin)</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~4,590</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NONE ✓</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/bin/sh</w:t>
            </w:r>
          </w:p>
        </w:tc>
        <w:tc>
          <w:tcPr>
            <w:tcW w:type="dxa" w:w="39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RMDs + Pillar 1 still well below 53K threshold</w:t>
            </w:r>
          </w:p>
        </w:tc>
      </w:tr>
    </w:tbl>
    <w:p>
      <w:pPr>
        <w:spacing w:after="0" w:before="160"/>
      </w:pPr>
      <w:r>
        <w:t xml:space="preserve"/>
      </w:r>
    </w:p>
    <w:p>
      <w:pPr>
        <w:spacing w:after="80" w:before="160"/>
      </w:pPr>
      <w:r>
        <w:rPr>
          <w:rFonts w:ascii="Calibri" w:cs="Calibri" w:eastAsia="Calibri" w:hAnsi="Calibri"/>
          <w:b/>
          <w:bCs/>
          <w:color w:val="0F6E56"/>
          <w:sz w:val="24"/>
          <w:szCs w:val="24"/>
        </w:rPr>
        <w:t xml:space="preserve">Why MAGI Is So Low in Retirement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080"/>
        <w:gridCol w:w="4680"/>
      </w:tblGrid>
      <w:tr>
        <w:tc>
          <w:tcPr>
            <w:tcW w:type="dxa" w:w="216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Income Source</w:t>
            </w:r>
          </w:p>
        </w:tc>
        <w:tc>
          <w:tcPr>
            <w:tcW w:type="dxa" w:w="144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Annual</w:t>
            </w:r>
          </w:p>
        </w:tc>
        <w:tc>
          <w:tcPr>
            <w:tcW w:type="dxa" w:w="108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Counts in MAGI?</w:t>
            </w:r>
          </w:p>
        </w:tc>
        <w:tc>
          <w:tcPr>
            <w:tcW w:type="dxa" w:w="4680"/>
            <w:tcBorders>
              <w:top w:val="single" w:color="0F6E56" w:sz="6"/>
              <w:left w:val="single" w:color="0F6E56" w:sz="6"/>
              <w:bottom w:val="single" w:color="0F6E56" w:sz="6"/>
              <w:right w:val="single" w:color="0F6E56" w:sz="6"/>
            </w:tcBorders>
            <w:shd w:fill="0F6E56" w:val="clear"/>
            <w:tcMar>
              <w:top w:type="dxa" w:w="90"/>
              <w:left w:type="dxa" w:w="130"/>
              <w:bottom w:type="dxa" w:w="90"/>
              <w:right w:type="dxa" w:w="130"/>
            </w:tcMar>
          </w:tcPr>
          <w:p>
            <w:r>
              <w:rPr>
                <w:rFonts w:ascii="Calibri" w:cs="Calibri" w:eastAsia="Calibri" w:hAnsi="Calibri"/>
                <w:b/>
                <w:bCs/>
                <w:color w:val="FFFFFF"/>
                <w:sz w:val="18"/>
                <w:szCs w:val="18"/>
              </w:rPr>
              <w:t xml:space="preserve">Why</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IRA withdrawals (living expenses)</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~2,243</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YES</w:t>
            </w:r>
          </w:p>
        </w:tc>
        <w:tc>
          <w:tcPr>
            <w:tcW w:type="dxa" w:w="46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Traditional IRA — taxable on withdrawal</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Capital One interest</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,920</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YES</w:t>
            </w:r>
          </w:p>
        </w:tc>
        <w:tc>
          <w:tcPr>
            <w:tcW w:type="dxa" w:w="46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Ordinary interest income</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Joint brokerage taxable divs</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16</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YES</w:t>
            </w:r>
          </w:p>
        </w:tc>
        <w:tc>
          <w:tcPr>
            <w:tcW w:type="dxa" w:w="46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Qualified dividends</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T.Rowe MD Tax-Free Bond</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,445</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NO</w:t>
            </w:r>
          </w:p>
        </w:tc>
        <w:tc>
          <w:tcPr>
            <w:tcW w:type="dxa" w:w="46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Municipal bond — federally tax-exempt</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Roth IRA income</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8,102</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NO</w:t>
            </w:r>
          </w:p>
        </w:tc>
        <w:tc>
          <w:tcPr>
            <w:tcW w:type="dxa" w:w="46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Roth — tax-free forever · never in MAGI</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HSA income (medical use)</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,534</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NO</w:t>
            </w:r>
          </w:p>
        </w:tc>
        <w:tc>
          <w:tcPr>
            <w:tcW w:type="dxa" w:w="46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Triple tax-free — invisible to IRS</w:t>
            </w:r>
          </w:p>
        </w:tc>
      </w:tr>
      <w:tr>
        <w:tc>
          <w:tcPr>
            <w:tcW w:type="dxa" w:w="216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 xml:space="preserve">Estimated retirement MAGI</w:t>
            </w:r>
          </w:p>
        </w:tc>
        <w:tc>
          <w:tcPr>
            <w:tcW w:type="dxa" w:w="144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bCs/>
                <w:i w:val="false"/>
                <w:iCs w:val="false"/>
                <w:color w:val="0F6E56"/>
                <w:sz w:val="18"/>
                <w:szCs w:val="18"/>
              </w:rPr>
              <w:t xml:space="preserve">~5,079</w:t>
            </w:r>
          </w:p>
        </w:tc>
        <w:tc>
          <w:tcPr>
            <w:tcW w:type="dxa" w:w="108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c>
          <w:tcPr>
            <w:tcW w:type="dxa" w:w="4680"/>
            <w:tcBorders>
              <w:top w:val="single" w:color="CCCCCC" w:sz="3"/>
              <w:left w:val="single" w:color="CCCCCC" w:sz="3"/>
              <w:bottom w:val="single" w:color="CCCCCC" w:sz="3"/>
              <w:right w:val="single" w:color="CCCCCC" w:sz="3"/>
            </w:tcBorders>
            <w:shd w:fill="D5F0D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F6E56"/>
                <w:sz w:val="18"/>
                <w:szCs w:val="18"/>
              </w:rPr>
              <w:t xml:space="preserve">Well below 12K IRMAA threshold — no surcharge ever</w:t>
            </w:r>
          </w:p>
        </w:tc>
      </w:tr>
    </w:tbl>
    <w:p>
      <w:pPr>
        <w:spacing w:after="0" w:before="160"/>
      </w:pPr>
      <w:r>
        <w:t xml:space="preserve"/>
      </w:r>
    </w:p>
    <w:p>
      <w:pPr>
        <w:spacing w:after="80" w:before="160"/>
      </w:pPr>
      <w:r>
        <w:rPr>
          <w:rFonts w:ascii="Calibri" w:cs="Calibri" w:eastAsia="Calibri" w:hAnsi="Calibri"/>
          <w:b/>
          <w:bCs/>
          <w:color w:val="0C447C"/>
          <w:sz w:val="24"/>
          <w:szCs w:val="24"/>
        </w:rPr>
        <w:t xml:space="preserve">RMDs — Required Minimum Distributions</w:t>
      </w:r>
    </w:p>
    <w:p>
      <w:pPr>
        <w:spacing w:after="100" w:before="40"/>
        <w:jc w:val="left"/>
      </w:pPr>
      <w:r>
        <w:rPr>
          <w:rFonts w:ascii="Calibri" w:cs="Calibri" w:eastAsia="Calibri" w:hAnsi="Calibri"/>
          <w:b w:val="false"/>
          <w:bCs w:val="false"/>
          <w:i w:val="false"/>
          <w:iCs w:val="false"/>
          <w:color w:val="595959"/>
          <w:sz w:val="19"/>
          <w:szCs w:val="19"/>
        </w:rPr>
        <w:t xml:space="preserve">RMDs begin at age 73 (2035 for both Brad and Lisa). The IRS requires minimum annual withdrawals from Traditional IRAs and 401ks. Roth IRAs have NO RMDs. HSAs have NO RMDs. The withdrawal amount equals account balance divided by an IRS life expectancy factor (26.5 at age 73).</w:t>
      </w:r>
    </w:p>
    <w:p>
      <w:pPr>
        <w:spacing w:after="80" w:before="160"/>
      </w:pPr>
      <w:r>
        <w:rPr>
          <w:rFonts w:ascii="Calibri" w:cs="Calibri" w:eastAsia="Calibri" w:hAnsi="Calibri"/>
          <w:b/>
          <w:bCs/>
          <w:color w:val="0C447C"/>
          <w:sz w:val="24"/>
          <w:szCs w:val="24"/>
        </w:rPr>
        <w:t xml:space="preserve">Projected RMDs — 2035 (conservative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080"/>
        <w:gridCol w:w="1440"/>
        <w:gridCol w:w="3240"/>
      </w:tblGrid>
      <w:tr>
        <w:tc>
          <w:tcPr>
            <w:tcW w:type="dxa" w:w="216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Account</w:t>
            </w:r>
          </w:p>
        </w:tc>
        <w:tc>
          <w:tcPr>
            <w:tcW w:type="dxa" w:w="144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Est. 2035 Balance</w:t>
            </w:r>
          </w:p>
        </w:tc>
        <w:tc>
          <w:tcPr>
            <w:tcW w:type="dxa" w:w="108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IRS Factor</w:t>
            </w:r>
          </w:p>
        </w:tc>
        <w:tc>
          <w:tcPr>
            <w:tcW w:type="dxa" w:w="144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First Year RMD</w:t>
            </w:r>
          </w:p>
        </w:tc>
        <w:tc>
          <w:tcPr>
            <w:tcW w:type="dxa" w:w="3240"/>
            <w:tcBorders>
              <w:top w:val="single" w:color="0C447C" w:sz="6"/>
              <w:left w:val="single" w:color="0C447C" w:sz="6"/>
              <w:bottom w:val="single" w:color="0C447C" w:sz="6"/>
              <w:right w:val="single" w:color="0C447C" w:sz="6"/>
            </w:tcBorders>
            <w:shd w:fill="0C447C" w:val="clear"/>
            <w:tcMar>
              <w:top w:type="dxa" w:w="90"/>
              <w:left w:type="dxa" w:w="130"/>
              <w:bottom w:type="dxa" w:w="90"/>
              <w:right w:type="dxa" w:w="130"/>
            </w:tcMar>
          </w:tcPr>
          <w:p>
            <w:r>
              <w:rPr>
                <w:rFonts w:ascii="Calibri" w:cs="Calibri" w:eastAsia="Calibri" w:hAnsi="Calibri"/>
                <w:b/>
                <w:bCs/>
                <w:color w:val="FFFFFF"/>
                <w:sz w:val="18"/>
                <w:szCs w:val="18"/>
              </w:rPr>
              <w:t xml:space="preserve">Notes</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Traditional IRA</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~50,000</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26.5</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~0,755/yr</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Pillar 1 income positions</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401k (Pillar 2)</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~00,000</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26.5</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~2,642/yr</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Conservative — no contributions after retirement</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Traditional IRA</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~80,000</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26.5</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~8,113/yr</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Reduced by annual Roth conversions</w:t>
            </w:r>
          </w:p>
        </w:tc>
      </w:tr>
      <w:tr>
        <w:tc>
          <w:tcPr>
            <w:tcW w:type="dxa" w:w="216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bCs/>
                <w:i w:val="false"/>
                <w:iCs w:val="false"/>
                <w:color w:val="0C447C"/>
                <w:sz w:val="18"/>
                <w:szCs w:val="18"/>
              </w:rPr>
              <w:t xml:space="preserve">Total RMDs</w:t>
            </w:r>
          </w:p>
        </w:tc>
        <w:tc>
          <w:tcPr>
            <w:tcW w:type="dxa" w:w="144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~,630,000</w:t>
            </w:r>
          </w:p>
        </w:tc>
        <w:tc>
          <w:tcPr>
            <w:tcW w:type="dxa" w:w="108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r>
          </w:p>
        </w:tc>
        <w:tc>
          <w:tcPr>
            <w:tcW w:type="dxa" w:w="144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bCs/>
                <w:i w:val="false"/>
                <w:iCs w:val="false"/>
                <w:color w:val="0C447C"/>
                <w:sz w:val="18"/>
                <w:szCs w:val="18"/>
              </w:rPr>
              <w:t xml:space="preserve">~1,509/yr</w:t>
            </w:r>
          </w:p>
        </w:tc>
        <w:tc>
          <w:tcPr>
            <w:tcW w:type="dxa" w:w="3240"/>
            <w:tcBorders>
              <w:top w:val="single" w:color="CCCCCC" w:sz="3"/>
              <w:left w:val="single" w:color="CCCCCC" w:sz="3"/>
              <w:bottom w:val="single" w:color="CCCCCC" w:sz="3"/>
              <w:right w:val="single" w:color="CCCCCC" w:sz="3"/>
            </w:tcBorders>
            <w:shd w:fill="D6E4F0"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C447C"/>
                <w:sz w:val="18"/>
                <w:szCs w:val="18"/>
              </w:rPr>
              <w:t xml:space="preserve">Factor decreases annually — RMDs grow each year</w:t>
            </w:r>
          </w:p>
        </w:tc>
      </w:tr>
    </w:tbl>
    <w:p>
      <w:pPr>
        <w:spacing w:after="60" w:before="60"/>
        <w:jc w:val="left"/>
      </w:pPr>
      <w:r>
        <w:rPr>
          <w:rFonts w:ascii="Calibri" w:cs="Calibri" w:eastAsia="Calibri" w:hAnsi="Calibri"/>
          <w:b w:val="false"/>
          <w:bCs w:val="false"/>
          <w:i/>
          <w:iCs/>
          <w:color w:val="595959"/>
          <w:sz w:val="17"/>
          <w:szCs w:val="17"/>
        </w:rPr>
        <w:t xml:space="preserve">RMDs largely replace IRA withdrawals already planned for living expenses (~2K/yr). The additional ~9K forced above living needs flows into the joint brokerage for reinvestment. Total 2035 MAGI ~4,590 — well below IRMAA threshold.</w:t>
      </w:r>
    </w:p>
    <w:p>
      <w:pPr>
        <w:spacing w:after="0" w:before="160"/>
      </w:pPr>
      <w:r>
        <w:t xml:space="preserve"/>
      </w:r>
    </w:p>
    <w:p>
      <w:pPr>
        <w:spacing w:after="80" w:before="160"/>
      </w:pPr>
      <w:r>
        <w:rPr>
          <w:rFonts w:ascii="Calibri" w:cs="Calibri" w:eastAsia="Calibri" w:hAnsi="Calibri"/>
          <w:b/>
          <w:bCs/>
          <w:color w:val="534AB7"/>
          <w:sz w:val="24"/>
          <w:szCs w:val="24"/>
        </w:rPr>
        <w:t xml:space="preserve">Roth Conversion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534AB7" w:sz="6"/>
              <w:left w:val="single" w:color="534AB7" w:sz="6"/>
              <w:bottom w:val="single" w:color="534AB7" w:sz="6"/>
              <w:right w:val="single" w:color="534AB7" w:sz="6"/>
            </w:tcBorders>
            <w:shd w:fill="534AB7" w:val="clear"/>
            <w:tcMar>
              <w:top w:type="dxa" w:w="90"/>
              <w:left w:type="dxa" w:w="130"/>
              <w:bottom w:type="dxa" w:w="90"/>
              <w:right w:type="dxa" w:w="130"/>
            </w:tcMar>
          </w:tcPr>
          <w:p>
            <w:r>
              <w:rPr>
                <w:rFonts w:ascii="Calibri" w:cs="Calibri" w:eastAsia="Calibri" w:hAnsi="Calibri"/>
                <w:b/>
                <w:bCs/>
                <w:color w:val="FFFFFF"/>
                <w:sz w:val="18"/>
                <w:szCs w:val="18"/>
              </w:rPr>
              <w:t xml:space="preserve">Element</w:t>
            </w:r>
          </w:p>
        </w:tc>
        <w:tc>
          <w:tcPr>
            <w:tcW w:type="dxa" w:w="6840"/>
            <w:tcBorders>
              <w:top w:val="single" w:color="534AB7" w:sz="6"/>
              <w:left w:val="single" w:color="534AB7" w:sz="6"/>
              <w:bottom w:val="single" w:color="534AB7" w:sz="6"/>
              <w:right w:val="single" w:color="534AB7" w:sz="6"/>
            </w:tcBorders>
            <w:shd w:fill="534AB7" w:val="clear"/>
            <w:tcMar>
              <w:top w:type="dxa" w:w="90"/>
              <w:left w:type="dxa" w:w="130"/>
              <w:bottom w:type="dxa" w:w="90"/>
              <w:right w:type="dxa" w:w="130"/>
            </w:tcMar>
          </w:tcPr>
          <w:p>
            <w:r>
              <w:rPr>
                <w:rFonts w:ascii="Calibri" w:cs="Calibri" w:eastAsia="Calibri" w:hAnsi="Calibri"/>
                <w:b/>
                <w:bCs/>
                <w:color w:val="FFFFFF"/>
                <w:sz w:val="18"/>
                <w:szCs w:val="18"/>
              </w:rPr>
              <w:t xml:space="preserve">Detail</w:t>
            </w:r>
          </w:p>
        </w:tc>
      </w:tr>
      <w:tr>
        <w:tc>
          <w:tcPr>
            <w:tcW w:type="dxa" w:w="25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Source account</w:t>
            </w:r>
          </w:p>
        </w:tc>
        <w:tc>
          <w:tcPr>
            <w:tcW w:type="dxa" w:w="68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Traditional IRA (Schwab)</w:t>
            </w:r>
          </w:p>
        </w:tc>
      </w:tr>
      <w:tr>
        <w:tc>
          <w:tcPr>
            <w:tcW w:type="dxa" w:w="25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Target account</w:t>
            </w:r>
          </w:p>
        </w:tc>
        <w:tc>
          <w:tcPr>
            <w:tcW w:type="dxa" w:w="68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Roth IRA (Schwab) — currently 04, building annually</w:t>
            </w:r>
          </w:p>
        </w:tc>
      </w:tr>
      <w:tr>
        <w:tc>
          <w:tcPr>
            <w:tcW w:type="dxa" w:w="25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Invest in</w:t>
            </w:r>
          </w:p>
        </w:tc>
        <w:tc>
          <w:tcPr>
            <w:tcW w:type="dxa" w:w="68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SCHG · VTI · VXUS — pure growth only, never income positions</w:t>
            </w:r>
          </w:p>
        </w:tc>
      </w:tr>
      <w:tr>
        <w:tc>
          <w:tcPr>
            <w:tcW w:type="dxa" w:w="25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Timing</w:t>
            </w:r>
          </w:p>
        </w:tc>
        <w:tc>
          <w:tcPr>
            <w:tcW w:type="dxa" w:w="68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Every Q4 — evaluate bracket room in October/November</w:t>
            </w:r>
          </w:p>
        </w:tc>
      </w:tr>
      <w:tr>
        <w:tc>
          <w:tcPr>
            <w:tcW w:type="dxa" w:w="25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Amount per year</w:t>
            </w:r>
          </w:p>
        </w:tc>
        <w:tc>
          <w:tcPr>
            <w:tcW w:type="dxa" w:w="68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~0-30K — stays within 24% bracket, manageable tax cost</w:t>
            </w:r>
          </w:p>
        </w:tc>
      </w:tr>
      <w:tr>
        <w:tc>
          <w:tcPr>
            <w:tcW w:type="dxa" w:w="25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Bracket ceiling</w:t>
            </w:r>
          </w:p>
        </w:tc>
        <w:tc>
          <w:tcPr>
            <w:tcW w:type="dxa" w:w="68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24% bracket tops at 83,900 MFJ — ~33K room above current income</w:t>
            </w:r>
          </w:p>
        </w:tc>
      </w:tr>
      <w:tr>
        <w:tc>
          <w:tcPr>
            <w:tcW w:type="dxa" w:w="25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Stop when</w:t>
            </w:r>
          </w:p>
        </w:tc>
        <w:tc>
          <w:tcPr>
            <w:tcW w:type="dxa" w:w="68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retires — earned income drops, bracket math changes</w:t>
            </w:r>
          </w:p>
        </w:tc>
      </w:tr>
      <w:tr>
        <w:tc>
          <w:tcPr>
            <w:tcW w:type="dxa" w:w="25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Purpose</w:t>
            </w:r>
          </w:p>
        </w:tc>
        <w:tc>
          <w:tcPr>
            <w:tcW w:type="dxa" w:w="68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Remove dollars from future RMD calculation permanently</w:t>
            </w:r>
          </w:p>
        </w:tc>
      </w:tr>
      <w:tr>
        <w:tc>
          <w:tcPr>
            <w:tcW w:type="dxa" w:w="25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10-yr projection</w:t>
            </w:r>
          </w:p>
        </w:tc>
        <w:tc>
          <w:tcPr>
            <w:tcW w:type="dxa" w:w="68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~41,000 in Lisa Roth by Year 10 at 5-20K/yr conversions</w:t>
            </w:r>
          </w:p>
        </w:tc>
      </w:tr>
    </w:tbl>
    <w:p>
      <w:pPr>
        <w:spacing w:after="0" w:before="160"/>
      </w:pPr>
      <w:r>
        <w:t xml:space="preserve"/>
      </w:r>
    </w:p>
    <w:p>
      <w:pPr>
        <w:spacing w:after="80" w:before="160"/>
      </w:pPr>
      <w:r>
        <w:rPr>
          <w:rFonts w:ascii="Calibri" w:cs="Calibri" w:eastAsia="Calibri" w:hAnsi="Calibri"/>
          <w:b/>
          <w:bCs/>
          <w:color w:val="A32D2D"/>
          <w:sz w:val="24"/>
          <w:szCs w:val="24"/>
        </w:rPr>
        <w:t xml:space="preserve">2027 RSU — Action Required Before Retiring</w:t>
      </w:r>
    </w:p>
    <w:p>
      <w:pPr>
        <w:spacing w:after="60" w:before="40"/>
        <w:jc w:val="left"/>
      </w:pPr>
      <w:r>
        <w:rPr>
          <w:rFonts w:ascii="Calibri" w:cs="Calibri" w:eastAsia="Calibri" w:hAnsi="Calibri"/>
          <w:b w:val="false"/>
          <w:bCs w:val="false"/>
          <w:i w:val="false"/>
          <w:iCs w:val="false"/>
          <w:color w:val="000000"/>
          <w:sz w:val="19"/>
          <w:szCs w:val="19"/>
        </w:rPr>
        <w:t xml:space="preserve">Brad has an RSU vest scheduled for September 2027. If Brad retires in June 2027, this vest may be forfeited depending on Oracle policy. At ~0,000 this is worth one phone call to Oracle HR or the stock plan administrator BEFORE setting a firm retirement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A32D2D" w:sz="6"/>
              <w:left w:val="single" w:color="A32D2D" w:sz="6"/>
              <w:bottom w:val="single" w:color="A32D2D" w:sz="6"/>
              <w:right w:val="single" w:color="A32D2D" w:sz="6"/>
            </w:tcBorders>
            <w:shd w:fill="A32D2D" w:val="clear"/>
            <w:tcMar>
              <w:top w:type="dxa" w:w="90"/>
              <w:left w:type="dxa" w:w="130"/>
              <w:bottom w:type="dxa" w:w="90"/>
              <w:right w:type="dxa" w:w="130"/>
            </w:tcMar>
          </w:tcPr>
          <w:p>
            <w:r>
              <w:rPr>
                <w:rFonts w:ascii="Calibri" w:cs="Calibri" w:eastAsia="Calibri" w:hAnsi="Calibri"/>
                <w:b/>
                <w:bCs/>
                <w:color w:val="FFFFFF"/>
                <w:sz w:val="18"/>
                <w:szCs w:val="18"/>
              </w:rPr>
              <w:t xml:space="preserve">Action</w:t>
            </w:r>
          </w:p>
        </w:tc>
        <w:tc>
          <w:tcPr>
            <w:tcW w:type="dxa" w:w="2520"/>
            <w:tcBorders>
              <w:top w:val="single" w:color="A32D2D" w:sz="6"/>
              <w:left w:val="single" w:color="A32D2D" w:sz="6"/>
              <w:bottom w:val="single" w:color="A32D2D" w:sz="6"/>
              <w:right w:val="single" w:color="A32D2D" w:sz="6"/>
            </w:tcBorders>
            <w:shd w:fill="A32D2D" w:val="clear"/>
            <w:tcMar>
              <w:top w:type="dxa" w:w="90"/>
              <w:left w:type="dxa" w:w="130"/>
              <w:bottom w:type="dxa" w:w="90"/>
              <w:right w:type="dxa" w:w="130"/>
            </w:tcMar>
          </w:tcPr>
          <w:p>
            <w:r>
              <w:rPr>
                <w:rFonts w:ascii="Calibri" w:cs="Calibri" w:eastAsia="Calibri" w:hAnsi="Calibri"/>
                <w:b/>
                <w:bCs/>
                <w:color w:val="FFFFFF"/>
                <w:sz w:val="18"/>
                <w:szCs w:val="18"/>
              </w:rPr>
              <w:t xml:space="preserve">When</w:t>
            </w:r>
          </w:p>
        </w:tc>
        <w:tc>
          <w:tcPr>
            <w:tcW w:type="dxa" w:w="4320"/>
            <w:tcBorders>
              <w:top w:val="single" w:color="A32D2D" w:sz="6"/>
              <w:left w:val="single" w:color="A32D2D" w:sz="6"/>
              <w:bottom w:val="single" w:color="A32D2D" w:sz="6"/>
              <w:right w:val="single" w:color="A32D2D" w:sz="6"/>
            </w:tcBorders>
            <w:shd w:fill="A32D2D" w:val="clear"/>
            <w:tcMar>
              <w:top w:type="dxa" w:w="90"/>
              <w:left w:type="dxa" w:w="130"/>
              <w:bottom w:type="dxa" w:w="90"/>
              <w:right w:type="dxa" w:w="130"/>
            </w:tcMar>
          </w:tcPr>
          <w:p>
            <w:r>
              <w:rPr>
                <w:rFonts w:ascii="Calibri" w:cs="Calibri" w:eastAsia="Calibri" w:hAnsi="Calibri"/>
                <w:b/>
                <w:bCs/>
                <w:color w:val="FFFFFF"/>
                <w:sz w:val="18"/>
                <w:szCs w:val="18"/>
              </w:rPr>
              <w:t xml:space="preserve">Contact</w:t>
            </w:r>
          </w:p>
        </w:tc>
      </w:tr>
      <w:tr>
        <w:tc>
          <w:tcPr>
            <w:tcW w:type="dxa" w:w="25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Call Oracle HR — confirm RSU vesting policy on retirement</w:t>
            </w:r>
          </w:p>
        </w:tc>
        <w:tc>
          <w:tcPr>
            <w:tcW w:type="dxa" w:w="25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Before setting retirement date</w:t>
            </w:r>
          </w:p>
        </w:tc>
        <w:tc>
          <w:tcPr>
            <w:tcW w:type="dxa" w:w="43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Oracle HR / stock plan administrator</w:t>
            </w:r>
          </w:p>
        </w:tc>
      </w:tr>
      <w:tr>
        <w:tc>
          <w:tcPr>
            <w:tcW w:type="dxa" w:w="25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File SSA Form SSA-44 (IRMAA appeal)</w:t>
            </w:r>
          </w:p>
        </w:tc>
        <w:tc>
          <w:tcPr>
            <w:tcW w:type="dxa" w:w="25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Same day as retirement</w:t>
            </w:r>
          </w:p>
        </w:tc>
        <w:tc>
          <w:tcPr>
            <w:tcW w:type="dxa" w:w="43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Social Security Administration — SSA.gov</w:t>
            </w:r>
          </w:p>
        </w:tc>
      </w:tr>
      <w:tr>
        <w:tc>
          <w:tcPr>
            <w:tcW w:type="dxa" w:w="25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Port Oracle MetLife life insurance</w:t>
            </w:r>
          </w:p>
        </w:tc>
        <w:tc>
          <w:tcPr>
            <w:tcW w:type="dxa" w:w="25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Within 31 days of last day</w:t>
            </w:r>
          </w:p>
        </w:tc>
        <w:tc>
          <w:tcPr>
            <w:tcW w:type="dxa" w:w="43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MetLife — time-critical, no exceptions</w:t>
            </w:r>
          </w:p>
        </w:tc>
      </w:tr>
      <w:tr>
        <w:tc>
          <w:tcPr>
            <w:tcW w:type="dxa" w:w="25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Enroll in Medicare Part B</w:t>
            </w:r>
          </w:p>
        </w:tc>
        <w:tc>
          <w:tcPr>
            <w:tcW w:type="dxa" w:w="25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At retirement (or within 8-month SEP)</w:t>
            </w:r>
          </w:p>
        </w:tc>
        <w:tc>
          <w:tcPr>
            <w:tcW w:type="dxa" w:w="43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Medicare.gov / Social Security office</w:t>
            </w:r>
          </w:p>
        </w:tc>
      </w:tr>
    </w:tbl>
    <w:p>
      <w:pPr>
        <w:pBdr>
          <w:bottom w:val="single" w:color="A32D2D" w:sz="12" w:space="4"/>
        </w:pBdr>
        <w:spacing w:after="100" w:before="200"/>
      </w:pPr>
      <w:r>
        <w:rPr>
          <w:rFonts w:ascii="Calibri" w:cs="Calibri" w:eastAsia="Calibri" w:hAnsi="Calibri"/>
          <w:b/>
          <w:bCs/>
          <w:color w:val="1F3864"/>
          <w:sz w:val="32"/>
          <w:szCs w:val="32"/>
        </w:rPr>
        <w:t xml:space="preserve">Action Plan &amp; Emergency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0"/>
              <w:left w:val="single" w:color="A32D2D" w:sz="10"/>
              <w:bottom w:val="single" w:color="A32D2D" w:sz="10"/>
              <w:right w:val="single" w:color="A32D2D" w:sz="10"/>
            </w:tcBorders>
            <w:shd w:fill="FCEBEB" w:val="clear"/>
            <w:tcMar>
              <w:top w:type="dxa" w:w="120"/>
              <w:left w:type="dxa" w:w="180"/>
              <w:bottom w:type="dxa" w:w="120"/>
              <w:right w:type="dxa" w:w="180"/>
            </w:tcMar>
          </w:tcPr>
          <w:p>
            <w:r>
              <w:rPr>
                <w:rFonts w:ascii="Calibri" w:cs="Calibri" w:eastAsia="Calibri" w:hAnsi="Calibri"/>
                <w:b/>
                <w:bCs/>
                <w:color w:val="A32D2D"/>
                <w:sz w:val="20"/>
                <w:szCs w:val="20"/>
              </w:rPr>
              <w:t>LISA — IF READING THIS AFTER BRAD IS GONE: Do not make any immediate financial decisions. Call the financial advisor and Schwab/Fidelity first. The portfolio generates $82,058/yr ($6,848/mo) automatically — you have time to plan carefully.</w:t>
            </w:r>
          </w:p>
        </w:tc>
      </w:tr>
    </w:tbl>
    <w:p>
      <w:pPr>
        <w:spacing w:after="0" w:before="160"/>
      </w:pPr>
      <w:r>
        <w:t xml:space="preserve"/>
      </w:r>
    </w:p>
    <w:p>
      <w:pPr>
        <w:spacing w:after="80" w:before="160"/>
      </w:pPr>
      <w:r>
        <w:rPr>
          <w:rFonts w:ascii="Calibri" w:cs="Calibri" w:eastAsia="Calibri" w:hAnsi="Calibri"/>
          <w:b/>
          <w:bCs/>
          <w:color w:val="0F6E56"/>
          <w:sz w:val="24"/>
          <w:szCs w:val="24"/>
        </w:rPr>
        <w:t xml:space="preserve">Pending trades — complete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1440"/>
        <w:gridCol w:w="1080"/>
        <w:gridCol w:w="3960"/>
      </w:tblGrid>
      <w:tr>
        <w:tc>
          <w:tcPr>
            <w:tcW w:type="dxa" w:w="72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Priority</w:t>
            </w:r>
          </w:p>
        </w:tc>
        <w:tc>
          <w:tcPr>
            <w:tcW w:type="dxa" w:w="216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Trade</w:t>
            </w:r>
          </w:p>
        </w:tc>
        <w:tc>
          <w:tcPr>
            <w:tcW w:type="dxa" w:w="144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Account</w:t>
            </w:r>
          </w:p>
        </w:tc>
        <w:tc>
          <w:tcPr>
            <w:tcW w:type="dxa" w:w="108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Income Added</w:t>
            </w:r>
          </w:p>
        </w:tc>
        <w:tc>
          <w:tcPr>
            <w:tcW w:type="dxa" w:w="396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Timing</w:t>
            </w:r>
          </w:p>
        </w:tc>
      </w:tr>
      <w:tr>
        <w:tc>
          <w:tcPr>
            <w:tcW w:type="dxa" w:w="7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URGENT</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Zero-interest card — PAID ✅</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Personal cash</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Completed August 21, 2026</w:t>
            </w:r>
          </w:p>
        </w:tc>
        <w:tc>
          <w:tcPr>
            <w:tcW w:type="dxa" w:w="39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Done ✅</w:t>
            </w:r>
          </w:p>
        </w:tc>
      </w:tr>
      <w:tr>
        <w:tc>
          <w:tcPr>
            <w:tcW w:type="dxa" w:w="7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PLANNED</w:t>
            </w:r>
          </w:p>
        </w:tc>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Oracle MetLife — port coverage</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Oracle benefit</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Preserves life cover</w:t>
            </w:r>
          </w:p>
        </w:tc>
        <w:tc>
          <w:tcPr>
            <w:tcW w:type="dxa" w:w="39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Within 31 days of Oracle departure · Brad plans to retire in ~2 years · mark calendar on actual departure date</w:t>
            </w:r>
          </w:p>
        </w:tc>
      </w:tr>
      <w:tr>
        <w:tc>
          <w:tcPr>
            <w:tcW w:type="dxa" w:w="7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NOW</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Complete SCHD +563sh remaining</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IRA</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+$707/yr</w:t>
            </w:r>
          </w:p>
        </w:tc>
        <w:tc>
          <w:tcPr>
            <w:tcW w:type="dxa" w:w="39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MM has $21,005 ready</w:t>
            </w:r>
          </w:p>
        </w:tc>
      </w:tr>
      <w:tr>
        <w:tc>
          <w:tcPr>
            <w:tcW w:type="dxa" w:w="7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NOW</w:t>
            </w:r>
          </w:p>
        </w:tc>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Request Trustmark illustration</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Insurance</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Step toward +$3,787/yr</w:t>
            </w:r>
          </w:p>
        </w:tc>
        <w:tc>
          <w:tcPr>
            <w:tcW w:type="dxa" w:w="39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Call this week</w:t>
            </w:r>
          </w:p>
        </w:tc>
      </w:tr>
      <w:tr>
        <w:tc>
          <w:tcPr>
            <w:tcW w:type="dxa" w:w="7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NOW</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Cancel term life policy</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Insurance</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+$3,788/yr</w:t>
            </w:r>
          </w:p>
        </w:tc>
        <w:tc>
          <w:tcPr>
            <w:tcW w:type="dxa" w:w="39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No surrender penalty — call insurer</w:t>
            </w:r>
          </w:p>
        </w:tc>
      </w:tr>
      <w:tr>
        <w:tc>
          <w:tcPr>
            <w:tcW w:type="dxa" w:w="7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JUN 24</w:t>
            </w:r>
          </w:p>
        </w:tc>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Sell SCHE 50% (525sh) → income</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IRA</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+$493/yr</w:t>
            </w:r>
          </w:p>
        </w:tc>
        <w:tc>
          <w:tcPr>
            <w:tcW w:type="dxa" w:w="39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AFTER June 24 ex-div — collect distribution first</w:t>
            </w:r>
          </w:p>
        </w:tc>
      </w:tr>
      <w:tr>
        <w:tc>
          <w:tcPr>
            <w:tcW w:type="dxa" w:w="7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WHEN</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IRA</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r>
          </w:p>
        </w:tc>
        <w:tc>
          <w:tcPr>
            <w:tcW w:type="dxa" w:w="39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IRA MM has ~$18,899 ready</w:t>
            </w:r>
          </w:p>
        </w:tc>
      </w:tr>
      <w:tr>
        <w:tc>
          <w:tcPr>
            <w:tcW w:type="dxa" w:w="7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Q4 2026</w:t>
            </w:r>
          </w:p>
        </w:tc>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Parent Plus #1 payoff</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IRA dist.</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Saves $1,400/yr</w:t>
            </w:r>
          </w:p>
        </w:tc>
        <w:tc>
          <w:tcPr>
            <w:tcW w:type="dxa" w:w="39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October-December 2026 — coordinate with tax bracket</w:t>
            </w:r>
          </w:p>
        </w:tc>
      </w:tr>
      <w:tr>
        <w:tc>
          <w:tcPr>
            <w:tcW w:type="dxa" w:w="7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Q4 2026</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BIP → joint brokerage</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IRA → Joint</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Tax character</w:t>
            </w:r>
          </w:p>
        </w:tc>
        <w:tc>
          <w:tcPr>
            <w:tcW w:type="dxa" w:w="39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Small ~$4K distribution — K-1 cleanup</w:t>
            </w:r>
          </w:p>
        </w:tc>
      </w:tr>
      <w:tr>
        <w:tc>
          <w:tcPr>
            <w:tcW w:type="dxa" w:w="7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Q4 2026</w:t>
            </w:r>
          </w:p>
        </w:tc>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Roth first conversion</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IRA → Lisa Roth</w:t>
            </w:r>
          </w:p>
        </w:tc>
        <w:tc>
          <w:tcPr>
            <w:tcW w:type="dxa" w:w="10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+LTC supplement</w:t>
            </w:r>
          </w:p>
        </w:tc>
        <w:tc>
          <w:tcPr>
            <w:tcW w:type="dxa" w:w="39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$15-20K · use remaining bracket room</w:t>
            </w:r>
          </w:p>
        </w:tc>
      </w:tr>
      <w:tr>
        <w:tc>
          <w:tcPr>
            <w:tcW w:type="dxa" w:w="7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 ANNUAL</w:t>
            </w:r>
          </w:p>
        </w:tc>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Repeat Roth conversion each Q4</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IRA → Lisa Roth</w:t>
            </w:r>
          </w:p>
        </w:tc>
        <w:tc>
          <w:tcPr>
            <w:tcW w:type="dxa" w:w="10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Building LTC</w:t>
            </w:r>
          </w:p>
        </w:tc>
        <w:tc>
          <w:tcPr>
            <w:tcW w:type="dxa" w:w="39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Every Q4 indefinitely</w:t>
            </w:r>
          </w:p>
        </w:tc>
      </w:tr>
    </w:tbl>
    <w:p>
      <w:pPr>
        <w:spacing w:after="0" w:before="160"/>
      </w:pPr>
      <w:r>
        <w:t xml:space="preserve"/>
      </w:r>
    </w:p>
    <w:p>
      <w:pPr>
        <w:spacing w:after="80" w:before="160"/>
      </w:pPr>
      <w:r>
        <w:rPr>
          <w:rFonts w:ascii="Calibri" w:cs="Calibri" w:eastAsia="Calibri" w:hAnsi="Calibri"/>
          <w:b/>
          <w:bCs/>
          <w:color w:val="534AB7"/>
          <w:sz w:val="24"/>
          <w:szCs w:val="24"/>
        </w:rPr>
        <w:t xml:space="preserve">Phase 2 — when Phase 1 complete (more conservative)</w:t>
      </w:r>
    </w:p>
    <w:p>
      <w:pPr>
        <w:spacing w:after="50" w:before="50"/>
      </w:pPr>
      <w:r>
        <w:rPr>
          <w:rFonts w:ascii="Calibri" w:cs="Calibri" w:eastAsia="Calibri" w:hAnsi="Calibri"/>
          <w:b w:val="false"/>
          <w:bCs w:val="false"/>
          <w:i w:val="false"/>
          <w:iCs w:val="false"/>
          <w:color w:val="000000"/>
          <w:sz w:val="19"/>
          <w:szCs w:val="19"/>
        </w:rPr>
        <w:t xml:space="preserve">Once all pending trades execute, the portfolio shifts to Phase 2 — layering in defensive quality without dismantling the income engine: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3240"/>
        <w:gridCol w:w="2520"/>
      </w:tblGrid>
      <w:tr>
        <w:tc>
          <w:tcPr>
            <w:tcW w:type="dxa" w:w="2160"/>
            <w:tcBorders>
              <w:top w:val="single" w:color="534AB7" w:sz="6"/>
              <w:left w:val="single" w:color="534AB7" w:sz="6"/>
              <w:bottom w:val="single" w:color="534AB7" w:sz="6"/>
              <w:right w:val="single" w:color="534AB7" w:sz="6"/>
            </w:tcBorders>
            <w:shd w:fill="534AB7" w:val="clear"/>
            <w:tcMar>
              <w:top w:type="dxa" w:w="90"/>
              <w:left w:type="dxa" w:w="130"/>
              <w:bottom w:type="dxa" w:w="90"/>
              <w:right w:type="dxa" w:w="130"/>
            </w:tcMar>
          </w:tcPr>
          <w:p>
            <w:r>
              <w:rPr>
                <w:rFonts w:ascii="Calibri" w:cs="Calibri" w:eastAsia="Calibri" w:hAnsi="Calibri"/>
                <w:b/>
                <w:bCs/>
                <w:color w:val="FFFFFF"/>
                <w:sz w:val="18"/>
                <w:szCs w:val="18"/>
              </w:rPr>
              <w:t xml:space="preserve">Phase 2 Move</w:t>
            </w:r>
          </w:p>
        </w:tc>
        <w:tc>
          <w:tcPr>
            <w:tcW w:type="dxa" w:w="1440"/>
            <w:tcBorders>
              <w:top w:val="single" w:color="534AB7" w:sz="6"/>
              <w:left w:val="single" w:color="534AB7" w:sz="6"/>
              <w:bottom w:val="single" w:color="534AB7" w:sz="6"/>
              <w:right w:val="single" w:color="534AB7" w:sz="6"/>
            </w:tcBorders>
            <w:shd w:fill="534AB7" w:val="clear"/>
            <w:tcMar>
              <w:top w:type="dxa" w:w="90"/>
              <w:left w:type="dxa" w:w="130"/>
              <w:bottom w:type="dxa" w:w="90"/>
              <w:right w:type="dxa" w:w="130"/>
            </w:tcMar>
          </w:tcPr>
          <w:p>
            <w:r>
              <w:rPr>
                <w:rFonts w:ascii="Calibri" w:cs="Calibri" w:eastAsia="Calibri" w:hAnsi="Calibri"/>
                <w:b/>
                <w:bCs/>
                <w:color w:val="FFFFFF"/>
                <w:sz w:val="18"/>
                <w:szCs w:val="18"/>
              </w:rPr>
              <w:t xml:space="preserve">Account</w:t>
            </w:r>
          </w:p>
        </w:tc>
        <w:tc>
          <w:tcPr>
            <w:tcW w:type="dxa" w:w="3240"/>
            <w:tcBorders>
              <w:top w:val="single" w:color="534AB7" w:sz="6"/>
              <w:left w:val="single" w:color="534AB7" w:sz="6"/>
              <w:bottom w:val="single" w:color="534AB7" w:sz="6"/>
              <w:right w:val="single" w:color="534AB7" w:sz="6"/>
            </w:tcBorders>
            <w:shd w:fill="534AB7" w:val="clear"/>
            <w:tcMar>
              <w:top w:type="dxa" w:w="90"/>
              <w:left w:type="dxa" w:w="130"/>
              <w:bottom w:type="dxa" w:w="90"/>
              <w:right w:type="dxa" w:w="130"/>
            </w:tcMar>
          </w:tcPr>
          <w:p>
            <w:r>
              <w:rPr>
                <w:rFonts w:ascii="Calibri" w:cs="Calibri" w:eastAsia="Calibri" w:hAnsi="Calibri"/>
                <w:b/>
                <w:bCs/>
                <w:color w:val="FFFFFF"/>
                <w:sz w:val="18"/>
                <w:szCs w:val="18"/>
              </w:rPr>
              <w:t xml:space="preserve">Purpose</w:t>
            </w:r>
          </w:p>
        </w:tc>
        <w:tc>
          <w:tcPr>
            <w:tcW w:type="dxa" w:w="2520"/>
            <w:tcBorders>
              <w:top w:val="single" w:color="534AB7" w:sz="6"/>
              <w:left w:val="single" w:color="534AB7" w:sz="6"/>
              <w:bottom w:val="single" w:color="534AB7" w:sz="6"/>
              <w:right w:val="single" w:color="534AB7" w:sz="6"/>
            </w:tcBorders>
            <w:shd w:fill="534AB7" w:val="clear"/>
            <w:tcMar>
              <w:top w:type="dxa" w:w="90"/>
              <w:left w:type="dxa" w:w="130"/>
              <w:bottom w:type="dxa" w:w="90"/>
              <w:right w:type="dxa" w:w="130"/>
            </w:tcMar>
          </w:tcPr>
          <w:p>
            <w:r>
              <w:rPr>
                <w:rFonts w:ascii="Calibri" w:cs="Calibri" w:eastAsia="Calibri" w:hAnsi="Calibri"/>
                <w:b/>
                <w:bCs/>
                <w:color w:val="FFFFFF"/>
                <w:sz w:val="18"/>
                <w:szCs w:val="18"/>
              </w:rPr>
              <w:t xml:space="preserve">Timing</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XLU or VPU — utility ETF (passive)</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IRA</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Defensive ballast · AI electricity demand tailwind</w:t>
            </w:r>
          </w:p>
        </w:tc>
        <w:tc>
          <w:tcPr>
            <w:tcW w:type="dxa" w:w="25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When ready</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BTO — consider adding more</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Roth</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Financial sector diversifier · 15yr div growth</w:t>
            </w:r>
          </w:p>
        </w:tc>
        <w:tc>
          <w:tcPr>
            <w:tcW w:type="dxa" w:w="25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When ready</w:t>
            </w:r>
          </w:p>
        </w:tc>
      </w:tr>
      <w:tr>
        <w:tc>
          <w:tcPr>
            <w:tcW w:type="dxa" w:w="216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ET → joint brokerage</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IRA → Joint</w:t>
            </w:r>
          </w:p>
        </w:tc>
        <w:tc>
          <w:tcPr>
            <w:tcW w:type="dxa" w:w="32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K-1 cleanup · replace with OKE in IRA</w:t>
            </w:r>
          </w:p>
        </w:tc>
        <w:tc>
          <w:tcPr>
            <w:tcW w:type="dxa" w:w="252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Q4 2026 or 2027</w:t>
            </w:r>
          </w:p>
        </w:tc>
      </w:tr>
      <w:tr>
        <w:tc>
          <w:tcPr>
            <w:tcW w:type="dxa" w:w="216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401k — confirm in-service rollover</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401k</w:t>
            </w:r>
          </w:p>
        </w:tc>
        <w:tc>
          <w:tcPr>
            <w:tcW w:type="dxa" w:w="32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Better investment options · increase above 6%</w:t>
            </w:r>
          </w:p>
        </w:tc>
        <w:tc>
          <w:tcPr>
            <w:tcW w:type="dxa" w:w="252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Within 60 days</w:t>
            </w:r>
          </w:p>
        </w:tc>
      </w:tr>
    </w:tbl>
    <w:p>
      <w:pPr>
        <w:spacing w:after="0" w:before="160"/>
      </w:pPr>
      <w:r>
        <w:t xml:space="preserve"/>
      </w:r>
    </w:p>
    <w:p>
      <w:pPr>
        <w:spacing w:after="80" w:before="160"/>
      </w:pPr>
      <w:r>
        <w:rPr>
          <w:rFonts w:ascii="Calibri" w:cs="Calibri" w:eastAsia="Calibri" w:hAnsi="Calibri"/>
          <w:b/>
          <w:bCs/>
          <w:color w:val="1F3864"/>
          <w:sz w:val="24"/>
          <w:szCs w:val="24"/>
        </w:rPr>
        <w:t xml:space="preserve">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800"/>
        <w:gridCol w:w="4680"/>
      </w:tblGrid>
      <w:tr>
        <w:tc>
          <w:tcPr>
            <w:tcW w:type="dxa" w:w="144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Institution</w:t>
            </w:r>
          </w:p>
        </w:tc>
        <w:tc>
          <w:tcPr>
            <w:tcW w:type="dxa" w:w="144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Phone</w:t>
            </w:r>
          </w:p>
        </w:tc>
        <w:tc>
          <w:tcPr>
            <w:tcW w:type="dxa" w:w="180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Website</w:t>
            </w:r>
          </w:p>
        </w:tc>
        <w:tc>
          <w:tcPr>
            <w:tcW w:type="dxa" w:w="4680"/>
            <w:tcBorders>
              <w:top w:val="single" w:color="1F3864" w:sz="6"/>
              <w:left w:val="single" w:color="1F3864" w:sz="6"/>
              <w:bottom w:val="single" w:color="1F3864" w:sz="6"/>
              <w:right w:val="single" w:color="1F3864" w:sz="6"/>
            </w:tcBorders>
            <w:shd w:fill="1F3864" w:val="clear"/>
            <w:tcMar>
              <w:top w:type="dxa" w:w="90"/>
              <w:left w:type="dxa" w:w="130"/>
              <w:bottom w:type="dxa" w:w="90"/>
              <w:right w:type="dxa" w:w="130"/>
            </w:tcMar>
          </w:tcPr>
          <w:p>
            <w:r>
              <w:rPr>
                <w:rFonts w:ascii="Calibri" w:cs="Calibri" w:eastAsia="Calibri" w:hAnsi="Calibri"/>
                <w:b/>
                <w:bCs/>
                <w:color w:val="FFFFFF"/>
                <w:sz w:val="18"/>
                <w:szCs w:val="18"/>
              </w:rPr>
              <w:t xml:space="preserve">Account Type</w:t>
            </w:r>
          </w:p>
        </w:tc>
      </w:tr>
      <w:tr>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Schwab</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1-800-435-4000</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schwab.com</w:t>
            </w:r>
          </w:p>
        </w:tc>
        <w:tc>
          <w:tcPr>
            <w:tcW w:type="dxa" w:w="46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IRA · Lisa IRA · Lisa Roth IRA · Joint Brokerage</w:t>
            </w:r>
          </w:p>
        </w:tc>
      </w:tr>
      <w:tr>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Fidelity</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1-800-343-3548</w:t>
            </w:r>
          </w:p>
        </w:tc>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fidelity.com</w:t>
            </w:r>
          </w:p>
        </w:tc>
        <w:tc>
          <w:tcPr>
            <w:tcW w:type="dxa" w:w="46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Brad Roth IRA · Brad 401k · Brad HSA · Lisa HSA</w:t>
            </w:r>
          </w:p>
        </w:tc>
      </w:tr>
      <w:tr>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Capital One</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1-877-383-4802</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capitalone.com</w:t>
            </w:r>
          </w:p>
        </w:tc>
        <w:tc>
          <w:tcPr>
            <w:tcW w:type="dxa" w:w="46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Emergency savings accounts</w:t>
            </w:r>
          </w:p>
        </w:tc>
      </w:tr>
      <w:tr>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iTrust Capital</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w:t>
            </w:r>
          </w:p>
        </w:tc>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itrustcapital.com</w:t>
            </w:r>
          </w:p>
        </w:tc>
        <w:tc>
          <w:tcPr>
            <w:tcW w:type="dxa" w:w="46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Lisa crypto IRA</w:t>
            </w:r>
          </w:p>
        </w:tc>
      </w:tr>
      <w:tr>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Crypto.com</w:t>
            </w:r>
          </w:p>
        </w:tc>
        <w:tc>
          <w:tcPr>
            <w:tcW w:type="dxa" w:w="144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w:t>
            </w:r>
          </w:p>
        </w:tc>
        <w:tc>
          <w:tcPr>
            <w:tcW w:type="dxa" w:w="180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crypto.com</w:t>
            </w:r>
          </w:p>
        </w:tc>
        <w:tc>
          <w:tcPr>
            <w:tcW w:type="dxa" w:w="4680"/>
            <w:tcBorders>
              <w:top w:val="single" w:color="CCCCCC" w:sz="3"/>
              <w:left w:val="single" w:color="CCCCCC" w:sz="3"/>
              <w:bottom w:val="single" w:color="CCCCCC" w:sz="3"/>
              <w:right w:val="single" w:color="CCCCCC" w:sz="3"/>
            </w:tcBorders>
            <w:shd w:fill="FFFFFF"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Joint crypto holdings</w:t>
            </w:r>
          </w:p>
        </w:tc>
      </w:tr>
      <w:tr>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Oracle HR (benefits)</w:t>
            </w:r>
          </w:p>
        </w:tc>
        <w:tc>
          <w:tcPr>
            <w:tcW w:type="dxa" w:w="144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w:t>
            </w:r>
          </w:p>
        </w:tc>
        <w:tc>
          <w:tcPr>
            <w:tcW w:type="dxa" w:w="180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oracle.com/benefits</w:t>
            </w:r>
          </w:p>
        </w:tc>
        <w:tc>
          <w:tcPr>
            <w:tcW w:type="dxa" w:w="4680"/>
            <w:tcBorders>
              <w:top w:val="single" w:color="CCCCCC" w:sz="3"/>
              <w:left w:val="single" w:color="CCCCCC" w:sz="3"/>
              <w:bottom w:val="single" w:color="CCCCCC" w:sz="3"/>
              <w:right w:val="single" w:color="CCCCCC" w:sz="3"/>
            </w:tcBorders>
            <w:shd w:fill="F5F5F5" w:val="clear"/>
            <w:tcMar>
              <w:top w:type="dxa" w:w="70"/>
              <w:left w:type="dxa" w:w="130"/>
              <w:bottom w:type="dxa" w:w="70"/>
              <w:right w:type="dxa" w:w="130"/>
            </w:tcMar>
          </w:tcPr>
          <w:p>
            <w:pPr>
              <w:jc w:val="left"/>
            </w:pPr>
            <w:r>
              <w:rPr>
                <w:rFonts w:ascii="Calibri" w:cs="Calibri" w:eastAsia="Calibri" w:hAnsi="Calibri"/>
                <w:b w:val="false"/>
                <w:bCs w:val="false"/>
                <w:i w:val="false"/>
                <w:iCs w:val="false"/>
                <w:color w:val="000000"/>
                <w:sz w:val="18"/>
                <w:szCs w:val="18"/>
              </w:rPr>
              <w:t xml:space="preserve">401k · MetLife port — time-sensitive on departure</w:t>
            </w:r>
          </w:p>
        </w:tc>
      </w:tr>
    </w:tbl>
    <w:p>
      <w:pPr>
        <w:spacing w:after="0" w:before="160"/>
      </w:pPr>
      <w:r>
        <w:t xml:space="preserve"/>
      </w:r>
    </w:p>
    <w:p>
      <w:pPr>
        <w:spacing w:after="80" w:before="160"/>
      </w:pPr>
      <w:r>
        <w:rPr>
          <w:rFonts w:ascii="Calibri" w:cs="Calibri" w:eastAsia="Calibri" w:hAnsi="Calibri"/>
          <w:b/>
          <w:bCs/>
          <w:color w:val="1F3864"/>
          <w:sz w:val="24"/>
          <w:szCs w:val="24"/>
        </w:rPr>
        <w:t xml:space="preserve">Trust &amp; legal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0"/>
              <w:left w:val="single" w:color="1F3864" w:sz="10"/>
              <w:bottom w:val="single" w:color="1F3864" w:sz="10"/>
              <w:right w:val="single" w:color="1F3864" w:sz="10"/>
            </w:tcBorders>
            <w:shd w:fill="D6E4F0" w:val="clear"/>
            <w:tcMar>
              <w:top w:type="dxa" w:w="120"/>
              <w:left w:type="dxa" w:w="180"/>
              <w:bottom w:type="dxa" w:w="120"/>
              <w:right w:type="dxa" w:w="180"/>
            </w:tcMar>
          </w:tcPr>
          <w:p>
            <w:r>
              <w:rPr>
                <w:rFonts w:ascii="Calibri" w:cs="Calibri" w:eastAsia="Calibri" w:hAnsi="Calibri"/>
                <w:b/>
                <w:bCs/>
                <w:color w:val="1F3864"/>
                <w:sz w:val="20"/>
                <w:szCs w:val="20"/>
              </w:rPr>
              <w:t xml:space="preserve">A trust structure is in place. All accounts should be held in trust or have trust named as beneficiary. Verify account titling with Schwab and Fidelity — confirm Brad and Lisa are named beneficiaries on all retirement accounts.</w:t>
            </w:r>
          </w:p>
        </w:tc>
      </w:tr>
    </w:tbl>
    <w:p>
      <w:pPr>
        <w:spacing w:after="0" w:before="160"/>
      </w:pPr>
      <w:r>
        <w:t xml:space="preserve"/>
      </w:r>
    </w:p>
    <w:p>
      <w:pPr>
        <w:spacing w:after="80" w:before="160"/>
      </w:pPr>
      <w:r>
        <w:rPr>
          <w:rFonts w:ascii="Calibri" w:cs="Calibri" w:eastAsia="Calibri" w:hAnsi="Calibri"/>
          <w:b/>
          <w:bCs/>
          <w:color w:val="0F6E56"/>
          <w:sz w:val="24"/>
          <w:szCs w:val="24"/>
        </w:rPr>
        <w:t xml:space="preserve">Important notes for Lisa</w:t>
      </w:r>
    </w:p>
    <w:p>
      <w:pPr>
        <w:spacing w:after="50" w:before="50"/>
      </w:pPr>
      <w:r>
        <w:rPr>
          <w:rFonts w:ascii="Calibri" w:cs="Calibri" w:eastAsia="Calibri" w:hAnsi="Calibri"/>
          <w:b/>
          <w:bCs/>
          <w:i w:val="false"/>
          <w:iCs w:val="false"/>
          <w:color w:val="000000"/>
          <w:sz w:val="20"/>
          <w:szCs w:val="20"/>
        </w:rPr>
        <w:t xml:space="preserve">The portfolio is designed to run on autopilot. No action is needed immediately.</w:t>
      </w:r>
    </w:p>
    <w:p>
      <w:pPr>
        <w:spacing w:after="0" w:before="80"/>
      </w:pPr>
      <w:r>
        <w:t xml:space="preserve"/>
      </w:r>
    </w:p>
    <w:p>
      <w:pPr>
        <w:spacing w:after="50" w:before="50"/>
      </w:pPr>
      <w:r>
        <w:rPr>
          <w:rFonts w:ascii="Calibri" w:cs="Calibri" w:eastAsia="Calibri" w:hAnsi="Calibri"/>
          <w:b w:val="false"/>
          <w:bCs w:val="false"/>
          <w:i w:val="false"/>
          <w:iCs w:val="false"/>
          <w:color w:val="000000"/>
          <w:sz w:val="19"/>
          <w:szCs w:val="19"/>
        </w:rPr>
        <w:t xml:space="preserve">Cash accumulates in each account as dividends are paid. It does not get reinvested automatically — Brad manually redeploys dividends periodically. Contact Schwab and Fidelity to understand how to manage this going forward.</w:t>
      </w:r>
    </w:p>
    <w:p>
      <w:pPr>
        <w:spacing w:after="0" w:before="80"/>
      </w:pPr>
      <w:r>
        <w:t xml:space="preserve"/>
      </w:r>
    </w:p>
    <w:p>
      <w:pPr>
        <w:spacing w:after="50" w:before="50"/>
      </w:pPr>
      <w:r>
        <w:rPr>
          <w:rFonts w:ascii="Calibri" w:cs="Calibri" w:eastAsia="Calibri" w:hAnsi="Calibri"/>
          <w:b w:val="false"/>
          <w:bCs w:val="false"/>
          <w:i w:val="false"/>
          <w:iCs w:val="false"/>
          <w:color w:val="000000"/>
          <w:sz w:val="19"/>
          <w:szCs w:val="19"/>
        </w:rPr>
        <w:t xml:space="preserve">The Capital One savings principal ($60,000) should never be touched. Only the interest — approximately $1,800/yr — transfers to the joint brokerage account for reinvestment.</w:t>
      </w:r>
    </w:p>
    <w:p>
      <w:pPr>
        <w:spacing w:after="0" w:before="80"/>
      </w:pPr>
      <w:r>
        <w:t xml:space="preserve"/>
      </w:r>
    </w:p>
    <w:p>
      <w:pPr>
        <w:spacing w:after="50" w:before="50"/>
      </w:pPr>
      <w:r>
        <w:rPr>
          <w:rFonts w:ascii="Calibri" w:cs="Calibri" w:eastAsia="Calibri" w:hAnsi="Calibri"/>
          <w:b w:val="false"/>
          <w:bCs w:val="false"/>
          <w:i w:val="false"/>
          <w:iCs w:val="false"/>
          <w:color w:val="000000"/>
          <w:sz w:val="19"/>
          <w:szCs w:val="19"/>
        </w:rPr>
        <w:t xml:space="preserve">RMDs (Required Minimum Distributions) begin from both IRAs when each person turns 73. Brad: 2035. Lisa: 2035. Consult a tax advisor before those dates.</w:t>
      </w:r>
    </w:p>
    <w:p>
      <w:pPr>
        <w:spacing w:after="0" w:before="80"/>
      </w:pPr>
      <w:r>
        <w:t xml:space="preserve"/>
      </w:r>
    </w:p>
    <w:p>
      <w:pPr>
        <w:spacing w:after="50" w:before="50"/>
      </w:pPr>
      <w:r>
        <w:rPr>
          <w:rFonts w:ascii="Calibri" w:cs="Calibri" w:eastAsia="Calibri" w:hAnsi="Calibri"/>
          <w:b w:val="false"/>
          <w:bCs w:val="false"/>
          <w:i w:val="false"/>
          <w:iCs w:val="false"/>
          <w:color w:val="000000"/>
          <w:sz w:val="19"/>
          <w:szCs w:val="19"/>
        </w:rPr>
        <w:t>The three pillars are: Pillar 1 (Income — all the dividend-paying accounts), Pillar 2 (Growth — Brad's 401k), Pillar 3 (Health/LTC — the self-insurance fund). Pillar 1 generates $6,848/mo that arrives as cash in the accounts.</w:t>
      </w:r>
    </w:p>
    <w:p>
      <w:pPr>
        <w:spacing w:after="0" w:before="160"/>
      </w:pPr>
      <w:r>
        <w:t xml:space="preserve"/>
      </w:r>
    </w:p>
    <w:p>
      <w:pPr>
        <w:spacing w:after="40" w:before="40"/>
      </w:pPr>
      <w:r>
        <w:rPr>
          <w:rFonts w:ascii="Calibri" w:cs="Calibri" w:eastAsia="Calibri" w:hAnsi="Calibri"/>
          <w:i/>
          <w:iCs/>
          <w:color w:val="888780"/>
          <w:sz w:val="17"/>
          <w:szCs w:val="17"/>
        </w:rPr>
        <w:t>Document last updated: August 21, 2026. Dividend rates verified against official sources. Next full review recommended Q4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50" w:before="80"/>
      <w:jc w:val="center"/>
    </w:pPr>
    <w:r>
      <w:rPr>
        <w:rFonts w:ascii="Calibri" w:cs="Calibri" w:eastAsia="Calibri" w:hAnsi="Calibri"/>
        <w:b w:val="false"/>
        <w:bCs w:val="false"/>
        <w:i w:val="false"/>
        <w:iCs w:val="false"/>
        <w:color w:val="888780"/>
        <w:sz w:val="16"/>
        <w:szCs w:val="16"/>
      </w:rPr>
      <w:t xml:space="preserve">Page </w:t>
    </w:r>
    <w:r>
      <w:rPr>
        <w:rFonts w:ascii="Calibri" w:cs="Calibri" w:eastAsia="Calibri" w:hAnsi="Calibri"/>
        <w:color w:val="888780"/>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888780"/>
        <w:sz w:val="16"/>
        <w:szCs w:val="16"/>
      </w:rPr>
      <w:t xml:space="preserve">  |  Pillar 1: Income  ·  Pillar 2: Growth (401k)  ·  Pillar 3: Health/LTC  |  Not financial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80" w:before="50"/>
      <w:jc w:val="left"/>
    </w:pPr>
    <w:r>
      <w:rPr>
        <w:rFonts w:ascii="Calibri" w:cs="Calibri" w:eastAsia="Calibri" w:hAnsi="Calibri"/>
        <w:b w:val="false"/>
        <w:bCs w:val="false"/>
        <w:i w:val="false"/>
        <w:iCs w:val="false"/>
        <w:color w:val="888780"/>
        <w:sz w:val="16"/>
        <w:szCs w:val="16"/>
      </w:rPr>
      <w:t xml:space="preserve">Brad &amp; Lisa Kitchen  —  Complete Portfolio Reference  |  April 22,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2026-05-02T23:49:27.427Z</dcterms:created>
  <dcterms:modified xsi:type="dcterms:W3CDTF">2026-05-02T23:49:27.429Z</dcterms:modified>
</cp:coreProperties>
</file>

<file path=docProps/custom.xml><?xml version="1.0" encoding="utf-8"?>
<Properties xmlns="http://schemas.openxmlformats.org/officeDocument/2006/custom-properties" xmlns:vt="http://schemas.openxmlformats.org/officeDocument/2006/docPropsVTypes"/>
</file>