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Brad &amp; Lisa Kitchen</w:t>
      </w:r>
    </w:p>
    <w:p>
      <w:pPr>
        <w:spacing w:after="40" w:before="0"/>
      </w:pPr>
      <w:r>
        <w:rPr>
          <w:rFonts w:ascii="Calibri" w:cs="Calibri" w:eastAsia="Calibri" w:hAnsi="Calibri"/>
          <w:color w:val="5A5E6B"/>
          <w:sz w:val="20"/>
          <w:szCs w:val="20"/>
        </w:rPr>
        <w:t xml:space="preserve">Action Items — Completed &amp; Outstanding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5A5E6B"/>
          <w:sz w:val="17"/>
          <w:szCs w:val="17"/>
        </w:rPr>
        <w:t>As of August 19, 2026  ·  Three-Pillar Retirement Strategy</w:t>
      </w:r>
    </w:p>
    <w:p>
      <w:pPr>
        <w:spacing w:after="60" w:before="0"/>
      </w:pPr>
      <w:r>
        <w:rPr>
          <w:rFonts w:ascii="Calibri" w:cs="Calibri" w:eastAsia="Calibri" w:hAnsi="Calibri"/>
          <w:i w:val="false"/>
          <w:iCs w:val="false"/>
          <w:color w:val="1F3864"/>
          <w:sz w:val="18"/>
          <w:szCs w:val="18"/>
        </w:rPr>
        <w:t xml:space="preserve">Status Key: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 Completed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DECE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7"/>
                <w:szCs w:val="17"/>
              </w:rPr>
              <w:t xml:space="preserve">🔴  Urgent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EF8E4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 Pending — near term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 Planned — future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EEDFE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A42A8"/>
                <w:sz w:val="17"/>
                <w:szCs w:val="17"/>
              </w:rPr>
              <w:t xml:space="preserve">🔵  Watch / Monitor</w:t>
            </w:r>
          </w:p>
        </w:tc>
      </w:tr>
    </w:tbl>
    <w:p>
      <w:pPr>
        <w:spacing w:after="0" w:before="120"/>
      </w:pPr>
    </w:p>
    <w:p>
      <w:pPr>
        <w:pStyle w:val="Heading1"/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Completed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Action Item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Account / Notes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Target Date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Income Portfolio Builds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Added 12sh UTG → 410 → 422sh · CB $28.50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August 18,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200sh PTY → 1,900 → 2,600sh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100sh DFP → 1,000 → 1,100sh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10sh BTO → 425 → 435sh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125sh JPC → 2,400 → 2,525sh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PDI → 850 → 890sh (Lisa HSA)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300sh SCHD → 2,530 → 2,955sh total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110sh O → 1,460 → 1,590sh total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100sh PTY → 2,000 → 2,100 → 2,600sh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14sh BTO → 435 → 467sh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35sh SCHD → 2,920 → 2,955sh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6sh BTO → 461 → 467sh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16sh AGNC → 1,394 → 1,410sh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O → 1,590 → 1,600sh · CB $58.38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143sh JPC → 2,525 → 2,668sh · CB $7.88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~15.5sh EPD → 330 → 345.5sh · CB $30.13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EPD → 345.5 → 355.5sh · CB $30.30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1sh TPL → 9 → 10sh · CB $405.80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30sh SCHD → 2,955 → 2,985sh · CB $26.40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35sh SCHD → 2,985 → 3,020sh · CB $26.46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50sh SCHD → 3,045 → 3,095sh · CB $26.59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30,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25sh SCHD → 3,095 → 3,120sh · CB $26.63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20sh AMLP → 490 → 510sh · CB $48.64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200sh THW → NEW → 200sh · CB $13.25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20sh AMLP → 510 → 530sh · CB $48.82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37sh JPC → 2,668 → 2,705sh · CB $7.88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20sh SCHD → 3,120 → 3,140sh · CB $26.67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200sh THW → 200 → 400sh · CB $13.18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100sh THW → 400 → 500sh · CB $13.19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35sh AGNC → 1,435 → 1,470sh · CB $11.90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17sh AGNC → 1,470 → 1,487sh · CB $11.89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30sh SCHD → 3,140 → 3,170sh · CB $26.74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5sh EPD → 370 → 375sh · CB $30.69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1sh TPL → 10 → 11sh · CB $399.82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Sold 5sh ORCL → 100 → 95sh @ $153 (planned trim)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23sh BTO → 467 → 490sh · CB $37.10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9sh JEPQ → 218 → 227sh · CB $58.92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5sh PDI → 342 → 347sh · CB $18.10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4.4sh EPD → 365.6 → 370sh · CB $30.59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EPD → 355.6 → 365.6sh · CB $30.51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25sh AGNC → 1,410 → 1435sh · CB $11.93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Opened 75sh BCX (NEW) · CB $11.67 ⚠ auto-added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30sh PDI → 890 → 920sh · CB $17.72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5sh PDI → 337 → 342sh · CB $18.13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5sh JEPQ → 213 → 218sh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4sh PDI → 329 → 337sh (Brad HSA)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10sh EPD → 320 → 330sh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1sh TPL → 8 → 9sh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gridSpan w:val="4"/>
            <w:tcBorders>
              <w:top w:val="single" w:color="155724" w:sz="4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20"/>
                <w:szCs w:val="20"/>
              </w:rPr>
              <w:t xml:space="preserve">Debt Payoff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Paid off zero-interest credit card — $9,500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Saved 17%+ interest rate reset in July 2026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gridSpan w:val="4"/>
            <w:tcBorders>
              <w:top w:val="single" w:color="155724" w:sz="4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20"/>
                <w:szCs w:val="20"/>
              </w:rPr>
              <w:t xml:space="preserve">Capital One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Capital One principal reset to $60,000 (sacred)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Interest sweeps to Joint → buys MDXBX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  <w:tr>
        <w:tc>
          <w:tcPr>
            <w:gridSpan w:val="4"/>
            <w:tcBorders>
              <w:top w:val="single" w:color="155724" w:sz="4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20"/>
                <w:szCs w:val="20"/>
              </w:rPr>
              <w:t xml:space="preserve">Dashboard &amp; Documentation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Built household portfolio dashboard (GitHub Pages)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https://bradk-md.github.io/household-portfolio/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live price refresh (Finnhub API)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Dashboard Update Holdings tab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dividend refresh (Alpha Vantage API)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Dashboard Update Holdings tab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Schwab + Fidelity XLSX/CSV drop zone working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All accounts + LTC virtual accounts updating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</w:tbl>
    <w:p>
      <w:pPr>
        <w:spacing w:after="0" w:before="120"/>
      </w:pPr>
    </w:p>
    <w:p>
      <w:pPr>
        <w:pStyle w:val="Heading1"/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Outstanding — Urgent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Action Item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Account / Notes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Target Date</w:t>
            </w:r>
          </w:p>
        </w:tc>
      </w:tr>
      <w:tr>
        <w:tc>
          <w:tcPr>
            <w:gridSpan w:val="4"/>
            <w:tcBorders>
              <w:top w:val="single" w:color="C0392B" w:sz="4"/>
              <w:left w:val="none" w:color="FFFFFF" w:sz="0"/>
              <w:bottom w:val="single" w:color="E2E4E9" w:sz="1"/>
              <w:right w:val="none" w:color="FFFFFF" w:sz="0"/>
            </w:tcBorders>
            <w:shd w:fill="FDECE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Near Term — Income Portfolio Builds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Buy SCHD +380sh to complete (target 3,520sh)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· +$390/yr · buy in low $30s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 — no rush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Buy BCX ~250sh (commodities exposure)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· +$209/yr · watch NAV discount ~-7%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When discount favorable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Sold SCHE 524.4678sh @ $35.88 = $18,817.90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(LTC) · Q2 div collected first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June 24,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Partial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THW building: 500sh @ CB $13.19 — add on pullback (HQH dropped → THQ preferred)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· +$700/yr so far · ~48% to 1,050sh target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</w:tbl>
    <w:p>
      <w:pPr>
        <w:spacing w:after="0" w:before="120"/>
      </w:pPr>
    </w:p>
    <w:p>
      <w:pPr>
        <w:pStyle w:val="Heading1"/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Outstanding — Planned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Action Item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Account / Notes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Target Date</w:t>
            </w:r>
          </w:p>
        </w:tc>
      </w:tr>
      <w:tr>
        <w:tc>
          <w:tcPr>
            <w:gridSpan w:val="4"/>
            <w:tcBorders>
              <w:top w:val="single" w:color="B8960C" w:sz="4"/>
              <w:left w:val="none" w:color="FFFFFF" w:sz="0"/>
              <w:bottom w:val="single" w:color="E2E4E9" w:sz="1"/>
              <w:right w:val="none" w:color="FFFFFF" w:sz="0"/>
            </w:tcBorders>
            <w:shd w:fill="FEF8E4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B8960C"/>
                <w:sz w:val="20"/>
                <w:szCs w:val="20"/>
              </w:rPr>
              <w:t xml:space="preserve">Insurance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Sign Trustmark surrender document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Value confirmed ~$1,800 · surrender letter drafted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Ready to sign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Cancel term life insurance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Saves $3,788/yr · Pillar 3 replaces need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Ready now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Reduce life insurance amounts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Oracle open enrollment · lower ongoing premium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Q4 2026 (Oracle open enrollment, year-end)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Retirement Planning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Call Oracle HR — confirm 2027 RSU vest on retirement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Sep 2027 vest ~$30K may forfeit if retire Jun 2027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Before setting date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File SSA Form SSA-44 (IRMAA life event appeal)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File same day as retirement · resets to $0 IRMAA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Retirement day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Port Oracle MetLife life insurance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Within 31 days of last day — time critical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Within 31 days of retirement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Enroll in Medicare Part B (both Brad &amp; Lisa)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Both turn 65 in 2027 · use Special Enrollment Period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2027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Debt Payoff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Pay off Parent Plus Loan #1 — $17,726.78 @ 7.90%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 distribution Q4 2026 · highest rate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Q4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Pay off Parent Plus Loans #2–4 (~$148,711)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Q4 2027–2028 · coordinate with bracket window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Q4 2027–2028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Anderson Windows — $36,500 @ 4.99%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Lowest rate · pay last · ~$400/mo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Portfolio Strategy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Sold BIP · redeployed into PTY + O (K-1 eliminated)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Completed — redeployed into PTY + O (K-1 eliminated)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Lisa Roth IRA Q4 conversions — SCHG + VTI + VXUS only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Maximize 24% bracket · pure growth positions only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Q4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Continue 401k Traditional contributions — Brad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Super catch-up $34,750/yr while age 60-63 · cease at retirement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Until retirement</w:t>
            </w:r>
          </w:p>
        </w:tc>
      </w:tr>
      <w:tr>
        <w:tc>
          <w:tcPr>
            <w:gridSpan w:val="4"/>
            <w:tcBorders>
              <w:top w:val="single" w:color="4A42A8" w:sz="4"/>
              <w:left w:val="none" w:color="FFFFFF" w:sz="0"/>
              <w:bottom w:val="single" w:color="E2E4E9" w:sz="1"/>
              <w:right w:val="none" w:color="FFFFFF" w:sz="0"/>
            </w:tcBorders>
            <w:shd w:fill="EEEDFE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4A42A8"/>
                <w:sz w:val="20"/>
                <w:szCs w:val="20"/>
              </w:rPr>
              <w:t xml:space="preserve">Watch List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A42A8"/>
                <w:sz w:val="17"/>
                <w:szCs w:val="17"/>
              </w:rPr>
              <w:t xml:space="preserve">🔵 Watch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MPLX — midstream MLP for Joint brokerage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Target entry $52–$55 · quarterly payer · K-1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Watch $52–55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A42A8"/>
                <w:sz w:val="17"/>
                <w:szCs w:val="17"/>
              </w:rPr>
              <w:t xml:space="preserve">🔵 Watch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>ABR dividend — reduced from $1.20 → $1.07/yr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>Confirmed consistent $0.0697/mo — no cuts · $0.17/qtr confirmed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</w:tbl>
    <w:p>
      <w:pPr>
        <w:spacing w:after="0" w:before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r>
              <w:rPr>
                <w:rFonts w:ascii="Calibri" w:hAnsi="Calibri"/>
              </w:rPr>
              <w:t>Income Summary — August 19, 2026</w:t>
            </w:r>
            <w:r>
              <w:rPr>
                <w:rFonts w:ascii="Calibri" w:hAnsi="Calibri" w:eastAsia="Calibri" w:cs="Calibri"/>
                <w:b/>
                <w:sz w:val="16"/>
              </w:rPr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Annual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Monthly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Current combined income (portfolio + Cap One)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r>
              <w:rPr>
                <w:rFonts w:ascii="Calibri" w:hAnsi="Calibri"/>
              </w:rPr>
              <w:t>$82,162</w:t>
            </w:r>
            <w:r>
              <w:rPr>
                <w:rFonts w:ascii="Calibri" w:hAnsi="Calibri" w:eastAsia="Calibri" w:cs="Calibri"/>
                <w:b/>
                <w:sz w:val="18"/>
              </w:rPr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r>
              <w:rPr>
                <w:rFonts w:ascii="Calibri" w:hAnsi="Calibri"/>
              </w:rPr>
              <w:t>$6,847</w:t>
            </w:r>
            <w:r>
              <w:rPr>
                <w:rFonts w:ascii="Calibri" w:hAnsi="Calibri" w:eastAsia="Calibri" w:cs="Calibri"/>
                <w:b/>
                <w:sz w:val="18"/>
              </w:rPr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5724"/>
                <w:sz w:val="18"/>
                <w:szCs w:val="18"/>
              </w:rPr>
              <w:t xml:space="preserve">Confirmed ✅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Pending: SCHD +350sh + BCX +175sh + THW +550sh (Lisa IRA)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>+$1,270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+$106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Ongoing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Fully loaded target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r>
              <w:rPr>
                <w:rFonts w:ascii="Calibri" w:hAnsi="Calibri"/>
              </w:rPr>
              <w:t>~$83,432</w:t>
            </w:r>
            <w:r>
              <w:rPr>
                <w:rFonts w:ascii="Calibri" w:hAnsi="Calibri" w:eastAsia="Calibri" w:cs="Calibri"/>
                <w:b/>
                <w:sz w:val="18"/>
              </w:rPr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r/>
            <w:r>
              <w:rPr>
                <w:rFonts w:ascii="Calibri" w:hAnsi="Calibri" w:eastAsia="Calibri" w:cs="Calibri"/>
                <w:b/>
                <w:sz w:val="18"/>
              </w:rPr>
              <w:t>$6,953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r>
              <w:rPr>
                <w:rFonts w:ascii="Calibri" w:hAnsi="Calibri"/>
              </w:rPr>
              <w:t>All-in income $91,994 exceeds target ✅</w:t>
            </w:r>
            <w:r>
              <w:rPr>
                <w:rFonts w:ascii="Calibri" w:hAnsi="Calibri" w:eastAsia="Calibri" w:cs="Calibri"/>
                <w:b/>
                <w:sz w:val="18"/>
              </w:rPr>
            </w:r>
          </w:p>
        </w:tc>
      </w:tr>
    </w:tbl>
    <w:p>
      <w:pPr>
        <w:spacing w:after="0" w:before="60"/>
      </w:pPr>
    </w:p>
    <w:p>
      <w:pPr>
        <w:spacing w:after="80" w:before="40"/>
      </w:pPr>
      <w:r>
        <w:rPr>
          <w:rFonts w:ascii="Calibri" w:cs="Calibri" w:eastAsia="Calibri" w:hAnsi="Calibri"/>
          <w:i/>
          <w:iCs/>
          <w:color w:val="5A5E6B"/>
          <w:sz w:val="16"/>
          <w:szCs w:val="16"/>
        </w:rPr>
        <w:t xml:space="preserve">Remaining debt: $202,937.76  ·  Next priority: Parent Plus #1 ($17,726 @ 7.90%) — Q4 2026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Items — Brad &amp; Lisa Kitchen</dc:title>
  <dc:creator>Brad &amp; Lisa Kitchen</dc:creator>
  <cp:lastModifiedBy>Un-named</cp:lastModifiedBy>
  <cp:revision>1</cp:revision>
  <dcterms:created xsi:type="dcterms:W3CDTF">2026-05-27T13:29:06.974Z</dcterms:created>
  <dcterms:modified xsi:type="dcterms:W3CDTF">2026-05-27T13:29:06.991Z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