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80"/>
      </w:pPr>
      <w:r>
        <w:rPr>
          <w:rFonts w:ascii="Calibri" w:cs="Calibri" w:eastAsia="Calibri" w:hAnsi="Calibri"/>
          <w:b/>
          <w:bCs/>
          <w:color w:val="1F3864"/>
          <w:sz w:val="52"/>
          <w:szCs w:val="52"/>
        </w:rPr>
        <w:t xml:space="preserve">Brad &amp; Lisa Kitchen</w:t>
      </w:r>
    </w:p>
    <w:p>
      <w:pPr>
        <w:pBdr>
          <w:bottom w:val="single" w:color="0F6E56" w:sz="20" w:space="6"/>
        </w:pBdr>
        <w:spacing w:after="40" w:before="0"/>
      </w:pPr>
      <w:r>
        <w:rPr>
          <w:rFonts w:ascii="Calibri" w:cs="Calibri" w:eastAsia="Calibri" w:hAnsi="Calibri"/>
          <w:color w:val="0F6E56"/>
          <w:sz w:val="32"/>
          <w:szCs w:val="32"/>
        </w:rPr>
        <w:t xml:space="preserve">Complete Portfolio &amp; Financial Reference</w:t>
      </w:r>
    </w:p>
    <w:p>
      <w:pPr>
        <w:spacing w:after="400" w:before="80"/>
        <w:jc w:val="left"/>
      </w:pPr>
      <w:r>
        <w:rPr>
          <w:rFonts w:ascii="Calibri" w:cs="Calibri" w:eastAsia="Calibri" w:hAnsi="Calibri"/>
          <w:b w:val="false"/>
          <w:bCs w:val="false"/>
          <w:i/>
          <w:iCs/>
          <w:color w:val="595959"/>
          <w:sz w:val="20"/>
          <w:szCs w:val="20"/>
        </w:rPr>
        <w:t>August 18, 2026  |  Confidential  |  Dividend rates verified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F6E56" w:sz="8"/>
              <w:left w:val="single" w:color="0F6E56" w:sz="8"/>
              <w:bottom w:val="single" w:color="0F6E56" w:sz="8"/>
              <w:right w:val="single" w:color="0F6E56" w:sz="8"/>
            </w:tcBorders>
            <w:shd w:fill="D5F0DF" w:val="clear"/>
            <w:tcMar>
              <w:top w:type="dxa" w:w="160"/>
              <w:left w:type="dxa" w:w="200"/>
              <w:bottom w:type="dxa" w:w="160"/>
              <w:right w:type="dxa" w:w="200"/>
            </w:tcMar>
          </w:tcPr>
          <w:p>
            <w:r>
              <w:rPr>
                <w:rFonts w:ascii="Calibri" w:cs="Calibri" w:eastAsia="Calibri" w:hAnsi="Calibri"/>
                <w:b/>
                <w:bCs/>
                <w:color w:val="0F6E56"/>
                <w:sz w:val="22"/>
                <w:szCs w:val="22"/>
              </w:rPr>
              <w:t xml:space="preserve">Brad Kitchen</w:t>
            </w:r>
          </w:p>
          <w:p>
            <w:pPr>
              <w:spacing w:before="40"/>
            </w:pPr>
            <w:r>
              <w:rPr>
                <w:rFonts w:ascii="Calibri" w:cs="Calibri" w:eastAsia="Calibri" w:hAnsi="Calibri"/>
                <w:color w:val="595959"/>
                <w:sz w:val="18"/>
                <w:szCs w:val="18"/>
              </w:rPr>
              <w:t xml:space="preserve">DOB: June 8, 1962  |  Age 63</w:t>
            </w:r>
          </w:p>
          <w:p>
            <w:pPr>
              <w:spacing w:before="20"/>
            </w:pPr>
            <w:r>
              <w:rPr>
                <w:rFonts w:ascii="Calibri" w:cs="Calibri" w:eastAsia="Calibri" w:hAnsi="Calibri"/>
                <w:color w:val="595959"/>
                <w:sz w:val="18"/>
                <w:szCs w:val="18"/>
              </w:rPr>
              <w:t xml:space="preserve">Oracle Corporation  |  bradekitchen@gmail.com</w:t>
            </w:r>
          </w:p>
          <w:p>
            <w:pPr>
              <w:spacing w:before="20"/>
            </w:pPr>
            <w:r>
              <w:rPr>
                <w:rFonts w:ascii="Calibri" w:cs="Calibri" w:eastAsia="Calibri" w:hAnsi="Calibri"/>
                <w:i/>
                <w:iCs/>
                <w:color w:val="595959"/>
                <w:sz w:val="17"/>
                <w:szCs w:val="17"/>
              </w:rPr>
              <w:t xml:space="preserve">SSN: [stored securely — not in document]</w:t>
            </w:r>
          </w:p>
        </w:tc>
        <w:tc>
          <w:tcPr>
            <w:tcW w:type="dxa" w:w="4680"/>
            <w:tcBorders>
              <w:top w:val="single" w:color="185FA5" w:sz="8"/>
              <w:left w:val="single" w:color="185FA5" w:sz="8"/>
              <w:bottom w:val="single" w:color="185FA5" w:sz="8"/>
              <w:right w:val="single" w:color="185FA5" w:sz="8"/>
            </w:tcBorders>
            <w:shd w:fill="D6E4F0" w:val="clear"/>
            <w:tcMar>
              <w:top w:type="dxa" w:w="160"/>
              <w:left w:type="dxa" w:w="200"/>
              <w:bottom w:type="dxa" w:w="160"/>
              <w:right w:type="dxa" w:w="200"/>
            </w:tcMar>
          </w:tcPr>
          <w:p>
            <w:r>
              <w:rPr>
                <w:rFonts w:ascii="Calibri" w:cs="Calibri" w:eastAsia="Calibri" w:hAnsi="Calibri"/>
                <w:b/>
                <w:bCs/>
                <w:color w:val="185FA5"/>
                <w:sz w:val="22"/>
                <w:szCs w:val="22"/>
              </w:rPr>
              <w:t xml:space="preserve">Lisa Kitchen</w:t>
            </w:r>
          </w:p>
          <w:p>
            <w:pPr>
              <w:spacing w:before="40"/>
            </w:pPr>
            <w:r>
              <w:rPr>
                <w:rFonts w:ascii="Calibri" w:cs="Calibri" w:eastAsia="Calibri" w:hAnsi="Calibri"/>
                <w:color w:val="595959"/>
                <w:sz w:val="18"/>
                <w:szCs w:val="18"/>
              </w:rPr>
              <w:t xml:space="preserve">DOB: November 17, 1962  |  Age 63</w:t>
            </w:r>
          </w:p>
          <w:p>
            <w:pPr>
              <w:spacing w:before="20"/>
            </w:pPr>
            <w:r>
              <w:rPr>
                <w:rFonts w:ascii="Calibri" w:cs="Calibri" w:eastAsia="Calibri" w:hAnsi="Calibri"/>
                <w:color w:val="595959"/>
                <w:sz w:val="18"/>
                <w:szCs w:val="18"/>
              </w:rPr>
              <w:t xml:space="preserve">Reed Integration Services  |  $87,500/yr  |  thekitchens2@comcast.net</w:t>
            </w:r>
          </w:p>
          <w:p>
            <w:pPr>
              <w:spacing w:before="20"/>
            </w:pPr>
            <w:r>
              <w:rPr>
                <w:rFonts w:ascii="Calibri" w:cs="Calibri" w:eastAsia="Calibri" w:hAnsi="Calibri"/>
                <w:i/>
                <w:iCs/>
                <w:color w:val="595959"/>
                <w:sz w:val="17"/>
                <w:szCs w:val="17"/>
              </w:rPr>
              <w:t xml:space="preserve">SSN: [stored securely — not in document]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32D2D" w:sz="10"/>
              <w:left w:val="single" w:color="A32D2D" w:sz="10"/>
              <w:bottom w:val="single" w:color="A32D2D" w:sz="10"/>
              <w:right w:val="single" w:color="A32D2D" w:sz="10"/>
            </w:tcBorders>
            <w:shd w:fill="FCEBEB" w:val="clear"/>
            <w:tcMar>
              <w:top w:type="dxa" w:w="120"/>
              <w:left w:type="dxa" w:w="180"/>
              <w:bottom w:type="dxa" w:w="120"/>
              <w:right w:type="dxa" w:w="180"/>
            </w:tcMar>
          </w:tcPr>
          <w:p>
            <w:r>
              <w:rPr>
                <w:rFonts w:ascii="Calibri" w:cs="Calibri" w:eastAsia="Calibri" w:hAnsi="Calibri"/>
                <w:b/>
                <w:bCs/>
                <w:color w:val="A32D2D"/>
                <w:sz w:val="20"/>
                <w:szCs w:val="20"/>
              </w:rPr>
              <w:t xml:space="preserve">IMPORTANT — IF READING THIS DOCUMENT IN AN EMERGENCY: See Section 7 (page last) for immediate action steps, key contacts, and account access information.</w:t>
            </w:r>
          </w:p>
        </w:tc>
      </w:tr>
    </w:tbl>
    <w:p>
      <w:pPr>
        <w:spacing w:after="0" w:before="160"/>
      </w:pPr>
      <w:r>
        <w:t xml:space="preserve"/>
      </w:r>
    </w:p>
    <w:p>
      <w:pPr>
        <w:spacing w:after="80" w:before="160"/>
      </w:pPr>
      <w:r>
        <w:rPr>
          <w:rFonts w:ascii="Calibri" w:cs="Calibri" w:eastAsia="Calibri" w:hAnsi="Calibri"/>
          <w:b/>
          <w:bCs/>
          <w:color w:val="1F3864"/>
          <w:sz w:val="24"/>
          <w:szCs w:val="24"/>
        </w:rPr>
        <w:t>Investment Portfolio Summary — August 18,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2160"/>
        <w:gridCol w:w="3960"/>
      </w:tblGrid>
      <w:tr>
        <w:tc>
          <w:tcPr>
            <w:tcW w:type="dxa" w:w="32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 / Category</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Value</w:t>
            </w:r>
          </w:p>
        </w:tc>
        <w:tc>
          <w:tcPr>
            <w:tcW w:type="dxa" w:w="39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Pillar 1 — Income Portfolio</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$1,234,920</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6 account types · $80,364/yr income</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Pillar 2 — Growth (401k)</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$406,384</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Full growth sleeve · Fidelity + Schwab · pure growth</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Pillar 3 — Health/LTC Reserve</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$403,167</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8 positions · 2 IRAs · pure growth</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Roth IRA</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$104</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Building via Q4 conversions annually</w:t>
            </w:r>
          </w:p>
        </w:tc>
      </w:tr>
      <w:tr>
        <w:tc>
          <w:tcPr>
            <w:tcW w:type="dxa" w:w="32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Three Pillars Subtotal</w:t>
            </w:r>
          </w:p>
        </w:tc>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$2,044,471</w:t>
            </w:r>
          </w:p>
        </w:tc>
        <w:tc>
          <w:tcPr>
            <w:tcW w:type="dxa" w:w="39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Investable portfolio</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Savings (SACRED)</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$60,000</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Emergency reserve — NEVER touch principal</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 (iTrust + Crypto.com)</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$28,080</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Speculative — approx · market prices vary</w:t>
            </w:r>
          </w:p>
        </w:tc>
      </w:tr>
      <w:tr>
        <w:tc>
          <w:tcPr>
            <w:tcW w:type="dxa" w:w="3240"/>
            <w:tcBorders>
              <w:top w:val="single" w:color="1F3864" w:sz="3"/>
              <w:left w:val="single" w:color="1F3864" w:sz="3"/>
              <w:bottom w:val="single" w:color="1F3864" w:sz="3"/>
              <w:right w:val="single" w:color="1F3864" w:sz="3"/>
            </w:tcBorders>
            <w:shd w:fill="1F3864" w:val="clear"/>
            <w:tcMar>
              <w:top w:type="dxa" w:w="70"/>
              <w:left w:type="dxa" w:w="130"/>
              <w:bottom w:type="dxa" w:w="70"/>
              <w:right w:type="dxa" w:w="130"/>
            </w:tcMar>
          </w:tcPr>
          <w:p>
            <w:pPr>
              <w:jc w:val="left"/>
            </w:pPr>
            <w:r>
              <w:rPr>
                <w:rFonts w:ascii="Calibri" w:cs="Calibri" w:eastAsia="Calibri" w:hAnsi="Calibri"/>
                <w:b/>
                <w:bCs/>
                <w:i w:val="false"/>
                <w:iCs w:val="false"/>
                <w:color w:val="FFFFFF"/>
                <w:sz w:val="18"/>
                <w:szCs w:val="18"/>
              </w:rPr>
              <w:t xml:space="preserve">INVESTMENT PORTFOLIO TOTAL</w:t>
            </w:r>
          </w:p>
        </w:tc>
        <w:tc>
          <w:tcPr>
            <w:tcW w:type="dxa" w:w="2160"/>
            <w:tcBorders>
              <w:top w:val="single" w:color="1F3864" w:sz="3"/>
              <w:left w:val="single" w:color="1F3864" w:sz="3"/>
              <w:bottom w:val="single" w:color="1F3864" w:sz="3"/>
              <w:right w:val="single" w:color="1F3864" w:sz="3"/>
            </w:tcBorders>
            <w:shd w:fill="1F3864" w:val="clear"/>
            <w:tcMar>
              <w:top w:type="dxa" w:w="70"/>
              <w:left w:type="dxa" w:w="130"/>
              <w:bottom w:type="dxa" w:w="70"/>
              <w:right w:type="dxa" w:w="130"/>
            </w:tcMar>
          </w:tcPr>
          <w:p>
            <w:r/>
            <w:r>
              <w:rPr>
                <w:rFonts w:ascii="Calibri" w:hAnsi="Calibri" w:eastAsia="Calibri" w:cs="Calibri"/>
                <w:b/>
                <w:sz w:val="18"/>
              </w:rPr>
              <w:t>$2,132,551</w:t>
            </w:r>
          </w:p>
        </w:tc>
        <w:tc>
          <w:tcPr>
            <w:tcW w:type="dxa" w:w="3960"/>
            <w:tcBorders>
              <w:top w:val="single" w:color="1F3864" w:sz="3"/>
              <w:left w:val="single" w:color="1F3864" w:sz="3"/>
              <w:bottom w:val="single" w:color="1F3864" w:sz="3"/>
              <w:right w:val="single" w:color="1F3864" w:sz="3"/>
            </w:tcBorders>
            <w:shd w:fill="1F3864" w:val="clear"/>
            <w:tcMar>
              <w:top w:type="dxa" w:w="70"/>
              <w:left w:type="dxa" w:w="130"/>
              <w:bottom w:type="dxa" w:w="70"/>
              <w:right w:type="dxa" w:w="130"/>
            </w:tcMar>
          </w:tcPr>
          <w:p>
            <w:r/>
            <w:r>
              <w:rPr>
                <w:rFonts w:ascii="Calibri" w:hAnsi="Calibri" w:eastAsia="Calibri" w:cs="Calibri"/>
                <w:b w:val="0"/>
                <w:sz w:val="18"/>
              </w:rPr>
              <w:t>August 18, 2026 — approximate</w:t>
            </w:r>
          </w:p>
        </w:tc>
      </w:tr>
    </w:tbl>
    <w:p>
      <w:pPr>
        <w:spacing w:after="0" w:before="160"/>
      </w:pPr>
      <w:r>
        <w:t xml:space="preserve"/>
      </w:r>
    </w:p>
    <w:p>
      <w:pPr>
        <w:spacing w:after="80" w:before="160"/>
      </w:pPr>
      <w:r>
        <w:rPr>
          <w:rFonts w:ascii="Calibri" w:cs="Calibri" w:eastAsia="Calibri" w:hAnsi="Calibri"/>
          <w:b/>
          <w:bCs/>
          <w:color w:val="0F6E56"/>
          <w:sz w:val="24"/>
          <w:szCs w:val="24"/>
        </w:rPr>
        <w:t xml:space="preserve">Income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800"/>
        <w:gridCol w:w="1440"/>
        <w:gridCol w:w="3240"/>
      </w:tblGrid>
      <w:tr>
        <w:tc>
          <w:tcPr>
            <w:tcW w:type="dxa" w:w="28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Source</w:t>
            </w:r>
          </w:p>
        </w:tc>
        <w:tc>
          <w:tcPr>
            <w:tcW w:type="dxa" w:w="180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Monthly</w:t>
            </w:r>
          </w:p>
        </w:tc>
        <w:tc>
          <w:tcPr>
            <w:tcW w:type="dxa" w:w="32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Portfolio income (confirmed)</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$80,364</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$6,697</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All 6 account types — rates verified</w:t>
            </w:r>
          </w:p>
        </w:tc>
      </w:tr>
      <w:tr>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interest (3.00% APY)</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$1,800</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$150</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Transfers to joint for reinvestment — confirm APY from statement</w:t>
            </w:r>
          </w:p>
        </w:tc>
      </w:tr>
      <w:tr>
        <w:tc>
          <w:tcPr>
            <w:tcW w:type="dxa" w:w="28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Combined income</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$82,164</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val="0"/>
                <w:sz w:val="18"/>
              </w:rPr>
              <w:t>$6,847</w:t>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val="0"/>
                <w:sz w:val="18"/>
              </w:rPr>
              <w:t>All-in income $91,996/yr exceeds $84K target (incl. P2/P3 divs redeployed to P1)</w:t>
            </w:r>
          </w:p>
        </w:tc>
      </w:tr>
    </w:tbl>
    <w:p>
      <w:pPr>
        <w:spacing w:after="40" w:before="40"/>
      </w:pPr>
      <w:r>
        <w:rPr>
          <w:rFonts w:ascii="Calibri" w:cs="Calibri" w:eastAsia="Calibri" w:hAnsi="Calibri"/>
          <w:i/>
          <w:iCs/>
          <w:color w:val="888780"/>
          <w:sz w:val="17"/>
          <w:szCs w:val="17"/>
        </w:rPr>
        <w:t>Capital One APY estimated at 3.00% — Brad to confirm exact rate from account statement. Principal $60,000 is sacred and never used for income.</w:t>
      </w:r>
    </w:p>
    <w:p>
      <w:pPr>
        <w:spacing w:after="0" w:before="160"/>
      </w:pPr>
      <w:r>
        <w:t xml:space="preserve"/>
      </w:r>
    </w:p>
    <w:p>
      <w:pPr>
        <w:spacing w:after="80" w:before="160"/>
      </w:pPr>
      <w:r>
        <w:rPr>
          <w:rFonts w:ascii="Calibri" w:cs="Calibri" w:eastAsia="Calibri" w:hAnsi="Calibri"/>
          <w:b/>
          <w:bCs/>
          <w:color w:val="1F3864"/>
          <w:sz w:val="24"/>
          <w:szCs w:val="24"/>
        </w:rPr>
        <w:t xml:space="preserve">Account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960"/>
        <w:gridCol w:w="3240"/>
      </w:tblGrid>
      <w:tr>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Institution</w:t>
            </w:r>
          </w:p>
        </w:tc>
        <w:tc>
          <w:tcPr>
            <w:tcW w:type="dxa" w:w="39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Accounts Held</w:t>
            </w:r>
          </w:p>
        </w:tc>
        <w:tc>
          <w:tcPr>
            <w:tcW w:type="dxa" w:w="32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Contact / Access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Schwab (schwab.com)</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 Lisa IRA · Lisa Roth IRA · Joint Brokerage</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1-800-435-4000  |  schwab.com</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Fidelity (fidelity.com)</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 IRA · Brad 401k · Brad HSA · Lisa HSA</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1-800-343-3548  |  fidelity.com</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Two 360 Performance Savings accounts</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1-877-383-4802  |  capitalone.com</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crypto IRA (BTC/ETH/ADA/SOL/DOT)</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itrustcapital.com</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Joint crypto (BTC/ETH/ADA/SOL/DOT)</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r>
    </w:tbl>
    <w:p>
      <w:r>
        <w:br w:type="page"/>
      </w:r>
    </w:p>
    <w:p>
      <w:pPr>
        <w:pBdr>
          <w:bottom w:val="single" w:color="0F6E56" w:sz="12" w:space="4"/>
        </w:pBdr>
        <w:spacing w:after="100" w:before="200"/>
      </w:pPr>
      <w:r>
        <w:rPr>
          <w:rFonts w:ascii="Calibri" w:cs="Calibri" w:eastAsia="Calibri" w:hAnsi="Calibri"/>
          <w:b/>
          <w:bCs/>
          <w:color w:val="1F3864"/>
          <w:sz w:val="32"/>
          <w:szCs w:val="32"/>
        </w:rPr>
        <w:t xml:space="preserve">Pillar 1 — Income Portfolio</w:t>
      </w:r>
    </w:p>
    <w:p>
      <w:pPr>
        <w:spacing w:after="160" w:before="60"/>
        <w:jc w:val="left"/>
      </w:pPr>
      <w:r>
        <w:rPr>
          <w:rFonts w:ascii="Calibri" w:cs="Calibri" w:eastAsia="Calibri" w:hAnsi="Calibri"/>
          <w:b w:val="false"/>
          <w:bCs w:val="false"/>
          <w:i/>
          <w:iCs/>
          <w:color w:val="595959"/>
          <w:sz w:val="19"/>
          <w:szCs w:val="19"/>
        </w:rPr>
        <w:t>$80,364/yr · $6,697/mo · 48 positions · 6 account types · rates verified August 18, 2026</w:t>
      </w:r>
    </w:p>
    <w:p>
      <w:pPr>
        <w:spacing w:after="80" w:before="160"/>
      </w:pPr>
      <w:r>
        <w:rPr>
          <w:rFonts w:ascii="Calibri" w:cs="Calibri" w:eastAsia="Calibri" w:hAnsi="Calibri"/>
          <w:b/>
          <w:bCs/>
          <w:color w:val="0F6E56"/>
          <w:sz w:val="24"/>
          <w:szCs w:val="24"/>
        </w:rPr>
        <w:t xml:space="preserve">Income by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1440"/>
        <w:gridCol w:w="1080"/>
        <w:gridCol w:w="2520"/>
      </w:tblGrid>
      <w:tr>
        <w:tc>
          <w:tcPr>
            <w:tcW w:type="dxa" w:w="180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252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Tax Treatment</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Monthly</w:t>
            </w:r>
          </w:p>
        </w:tc>
        <w:tc>
          <w:tcPr>
            <w:tcW w:type="dxa" w:w="252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Asset Value</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IRA</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Traditional (taxable on withdrawal)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$23,126</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$1,927</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$418,965</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Lisa IRA</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Traditional (taxable on withdrawal)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$20,936</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$1,745</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$401,726</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Roth IRA</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TAX-FREE — never taxed again</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$26,702</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$2,225</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$281,391</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Lisa HSA</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TRIPLE TAX-FREE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$6,421</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$535</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$46,721</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HSA</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TRIPLE TAX-FREE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$918</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$77</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$5,254</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Joint Brokerage</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Taxable — long-term cap gains rates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$2,199</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$183</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$59,437</w:t>
            </w:r>
          </w:p>
        </w:tc>
      </w:tr>
      <w:tr>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TOTAL</w:t>
            </w:r>
          </w:p>
        </w:tc>
        <w:tc>
          <w:tcPr>
            <w:tcW w:type="dxa" w:w="252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$80,302/yr</w:t>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$6,692/mo</w:t>
            </w:r>
          </w:p>
        </w:tc>
        <w:tc>
          <w:tcPr>
            <w:tcW w:type="dxa" w:w="252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$1,213,493</w:t>
            </w:r>
          </w:p>
        </w:tc>
      </w:tr>
    </w:tbl>
    <w:p>
      <w:pPr>
        <w:spacing w:after="0" w:before="80"/>
      </w:pPr>
      <w:r>
        <w:t xml:space="preserve"/>
      </w:r>
    </w:p>
    <w:p>
      <w:pPr>
        <w:spacing w:after="40" w:before="40"/>
      </w:pPr>
      <w:r>
        <w:rPr>
          <w:rFonts w:ascii="Calibri" w:cs="Calibri" w:eastAsia="Calibri" w:hAnsi="Calibri"/>
          <w:i/>
          <w:iCs/>
          <w:color w:val="888780"/>
          <w:sz w:val="17"/>
          <w:szCs w:val="17"/>
        </w:rPr>
        <w:t xml:space="preserve">All dividends paid in cash — NO DRIPs. Cash accumulates and is manually redeployed. Brad manages all redeployment decisions.</w:t>
      </w:r>
    </w:p>
    <w:p>
      <w:pPr>
        <w:spacing w:after="0" w:before="160"/>
      </w:pPr>
      <w:r>
        <w:t xml:space="preserve"/>
      </w:r>
    </w:p>
    <w:p>
      <w:pPr>
        <w:spacing w:after="80" w:before="160"/>
      </w:pPr>
      <w:r>
        <w:rPr>
          <w:rFonts w:ascii="Calibri" w:cs="Calibri" w:eastAsia="Calibri" w:hAnsi="Calibri"/>
          <w:b/>
          <w:bCs/>
          <w:color w:val="0C447C"/>
          <w:sz w:val="24"/>
          <w:szCs w:val="24"/>
        </w:rPr>
        <w:t>Brad IRA — $419,775 · $23,121/yr</w:t>
      </w:r>
    </w:p>
    <w:p>
      <w:pPr>
        <w:spacing w:after="40" w:before="40"/>
      </w:pPr>
      <w:r>
        <w:rPr>
          <w:rFonts w:ascii="Calibri" w:cs="Calibri" w:eastAsia="Calibri" w:hAnsi="Calibri"/>
          <w:i/>
          <w:iCs/>
          <w:color w:val="888780"/>
          <w:sz w:val="17"/>
          <w:szCs w:val="17"/>
        </w:rPr>
        <w:t xml:space="preserve">Schwab IRA · Traditional · taxable on withdrawal · RMDs begin at age 73 (Brad turns 73 in 2035)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Category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ARCC — Ares Capital Corp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1,250sh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$2,400/yr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9.8%</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BDC — middle market lending</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DLR — Digital Realty Trust</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150sh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$732/yr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2.5%</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Data center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ET — Energy Transfer LP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1,980sh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$2,693/yr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6.3%</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Midstream energy MLP (K-1) in IRA — UBTI WATCH: check Box 20V on K-1 yearly ($1,000 IRA deduction); sale triggers depreciation-recapture UBTI (990-T, paid from IRA). Do NOT add units in IRA — grows UBTI. Consider moving to taxable; consult CPA before selling. Plan: → joint Q4 2026</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IIPR — Innovative Industrial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75sh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$570/yr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13.8%</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Cannabis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IRM — Iron Mountain</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450sh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$1,555/yr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2.7%</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Data &amp; document storage REIT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LADR — Ladder Capital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800sh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$736/yr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9.3%</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Commercial mortgage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MAIN — Main Street Capital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425sh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$1,352/yr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5.5%</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BDC — LMM equity+debt · monthly (+~$480 supplementals)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O — Realty Income Corp</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1,600sh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$5,203/yr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5.2%</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Net lease REIT — MONTHLY payer · anchor position</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OKE — Oneok Inc</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250sh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$1,070/yr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4.4%</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Natural gas pipeline</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PBA — Pembina Pipeline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275sh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$583/yr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4.3%</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Canadian pipeline (K-1)</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PTY — PIMCO Corp &amp; Income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2,600sh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$3,707/yr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12.2%</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PIMCO credit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SPG — Simon Property Group</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210sh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$1,890/yr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4.1%</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Premier mall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STAG — STAG Industrial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410sh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$636/yr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4.2%</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Industrial REIT — quarterly</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Brad IRA Total</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13 positions</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$23,126/yr</w:t>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5.5% blended</w:t>
            </w:r>
          </w:p>
        </w:tc>
        <w:tc>
          <w:tcPr>
            <w:tcW w:type="dxa" w:w="32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Schwab IRA</w:t>
            </w:r>
          </w:p>
        </w:tc>
      </w:tr>
    </w:tbl>
    <w:p>
      <w:pPr>
        <w:spacing w:after="0" w:before="160"/>
      </w:pPr>
      <w:r>
        <w:t xml:space="preserve"/>
      </w:r>
    </w:p>
    <w:p>
      <w:pPr>
        <w:spacing w:after="80" w:before="160"/>
      </w:pPr>
      <w:r>
        <w:rPr>
          <w:rFonts w:ascii="Calibri" w:cs="Calibri" w:eastAsia="Calibri" w:hAnsi="Calibri"/>
          <w:b/>
          <w:bCs/>
          <w:color w:val="0C447C"/>
          <w:sz w:val="24"/>
          <w:szCs w:val="24"/>
        </w:rPr>
        <w:t>Lisa IRA — $402,806 · $20,232/yr</w:t>
      </w:r>
    </w:p>
    <w:p>
      <w:pPr>
        <w:spacing w:after="40" w:before="40"/>
      </w:pPr>
      <w:r>
        <w:rPr>
          <w:rFonts w:ascii="Calibri" w:cs="Calibri" w:eastAsia="Calibri" w:hAnsi="Calibri"/>
          <w:i/>
          <w:iCs/>
          <w:color w:val="888780"/>
          <w:sz w:val="17"/>
          <w:szCs w:val="17"/>
        </w:rPr>
        <w:t xml:space="preserve">Schwab IRA · Traditional · taxable on withdrawal · RMDs begin at age 73 (Lisa turns 73 in 2035)</w:t>
      </w:r>
    </w:p>
    <w:p>
      <w:pPr>
        <w:spacing w:after="40" w:before="40"/>
      </w:pPr>
      <w:r>
        <w:rPr>
          <w:rFonts w:ascii="Calibri" w:cs="Calibri" w:eastAsia="Calibri" w:hAnsi="Calibri"/>
          <w:i/>
          <w:iCs/>
          <w:color w:val="888780"/>
          <w:sz w:val="17"/>
          <w:szCs w:val="17"/>
        </w:rPr>
        <w:t xml:space="preserve">SCHE: 50% sell pending after June 24 ex-div. SCHC: fully kept in LTC — confirmed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Category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BCX — BlackRock Resources &amp; Commodities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75sh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$63/yr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6.7%</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Resources &amp; commodities CEF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BLOK — Amplify Blockchain ETF</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500sh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$40/yr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0.1%</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Annual Dec distribution</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BME — BlackRock Health Sciences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1,000sh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$3,145/yr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7.0%</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Healthcare sciences CEF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DFP — Flaherty &amp; Crumrine Pref</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1,100sh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$1,734/yr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7.6%</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Preferred securities CEF</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DIS — Walt Disney Co</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25sh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$38/yr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1.4%</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Semi-annual $0.75/pmt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NLOP — Net Lease Office Prop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26sh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$0/yr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0.0%</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Special distributions only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PDO — PIMCO Dynamic Income Opp</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1,500sh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$2,302/yr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12.0%</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PIMCO multi-sector — monthly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PLD — Prologis Inc</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230sh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$984/yr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3.1%</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Industrial REIT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SCHD — Schwab US Dividend ETF</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3,190sh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$3,222/yr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2.9%</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Schwab US Dividend ETF · additional shares pending from MM per Action Items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SCHZ — Schwab Aggregate Bond ETF</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350sh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$370/yr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4.6%</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Bond ETF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THW — ABRDN WORLD HEALTHCARE CF</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500sh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$700/yr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9.9%</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UTF — Cohen &amp; Steers Infra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2,580sh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$5,108/yr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7.3%</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Infrastructure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VICI — VICI Properties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875sh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$1,575/yr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6.9%</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Gaming &amp; hospitality REIT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WPC — W.P. Carey</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440sh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$1,654/yr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5.3%</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Net lease REIT</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Lisa IRA Total</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14 positions</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$20,936/yr</w:t>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5.2% blended</w:t>
            </w:r>
          </w:p>
        </w:tc>
        <w:tc>
          <w:tcPr>
            <w:tcW w:type="dxa" w:w="32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Schwab IRA</w:t>
            </w:r>
          </w:p>
        </w:tc>
      </w:tr>
    </w:tbl>
    <w:p>
      <w:pPr>
        <w:spacing w:after="0" w:before="160"/>
      </w:pPr>
      <w:r>
        <w:t xml:space="preserve"/>
      </w:r>
    </w:p>
    <w:p>
      <w:pPr>
        <w:spacing w:after="80" w:before="160"/>
      </w:pPr>
      <w:r>
        <w:rPr>
          <w:rFonts w:ascii="Calibri" w:cs="Calibri" w:eastAsia="Calibri" w:hAnsi="Calibri"/>
          <w:b/>
          <w:bCs/>
          <w:color w:val="0F6E56"/>
          <w:sz w:val="24"/>
          <w:szCs w:val="24"/>
        </w:rPr>
        <w:t>Brad Roth IRA — $276,026 · $28,437/yr (TAX-FREE)</w:t>
      </w:r>
    </w:p>
    <w:p>
      <w:pPr>
        <w:spacing w:after="40" w:before="40"/>
      </w:pPr>
      <w:r>
        <w:rPr>
          <w:rFonts w:ascii="Calibri" w:cs="Calibri" w:eastAsia="Calibri" w:hAnsi="Calibri"/>
          <w:i/>
          <w:iCs/>
          <w:color w:val="888780"/>
          <w:sz w:val="17"/>
          <w:szCs w:val="17"/>
        </w:rPr>
        <w:t xml:space="preserve">Fidelity Roth IRA · ALL income tax-free · never tax on withdrawals in retirement · no RMDs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Category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ABR — Arbor Realty Trust</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1,250sh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$850/yr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13.9%</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Commercial mortgage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AGNC — AGNC Investment Corp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1,487sh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$2,141/yr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13.2%</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Agency mREIT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AMLP — Alerian MLP ETF</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530sh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$2,184/yr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7.4%</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MLP ETF — no K-1</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BCX — BlackRock Resources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985sh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$824/yr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6.7%</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Resources &amp; commodities CEF</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BIZD — VanEck BDC Income ETF</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1,530sh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$1,463/yr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7.2%</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BDC basket ETF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BSTZ — BlackRock Sci &amp; Tech Term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925sh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$1,804/yr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6.3%</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Science &amp; tech CEF</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BTO — J Hancock Financial Opps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490sh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$1,274/yr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6.3%</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Financial sector CEF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GOF — Guggenheim Strategic Opps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1,300sh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$2,841/yr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21.5%</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Multi-sector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JEPI — JPMorgan Equity Premium</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295sh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$1,298/yr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7.6%</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Covered call income ETF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JPC — Nuveen Preferred &amp; Income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2,705sh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$2,029/yr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9.8%</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Preferred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JRI — Nuveen Real Asset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1,005sh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$1,610/yr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12.9%</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Real asset CEF — monthly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PDO — PIMCO Dynamic Income Opp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1,235sh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$1,895/yr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12.0%</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PIMCO multi-sector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PFFA — Virtus InfraCap Preferred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1,460sh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$3,022/yr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9.9%</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Infra preferred ETF — monthly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THQ — Aberdeen Healthcare Opps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1,113sh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$2,404/yr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11.1%</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Healthcare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UTG — Reaves Utility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422sh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$1,063/yr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6.4%</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Utility income CEF</w:t>
            </w:r>
          </w:p>
        </w:tc>
      </w:tr>
      <w:tr>
        <w:tc>
          <w:tcPr>
            <w:tcW w:type="dxa" w:w="21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Brad Roth Total</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15 positions</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$26,702/yr</w:t>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9.5% blended</w:t>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Tax-free · Fidelity Roth IRA</w:t>
            </w:r>
          </w:p>
        </w:tc>
      </w:tr>
    </w:tbl>
    <w:p>
      <w:pPr>
        <w:spacing w:after="0" w:before="160"/>
      </w:pPr>
      <w:r>
        <w:t xml:space="preserve"/>
      </w:r>
    </w:p>
    <w:p>
      <w:pPr>
        <w:spacing w:after="80" w:before="160"/>
      </w:pPr>
      <w:r>
        <w:rPr>
          <w:rFonts w:ascii="Calibri" w:cs="Calibri" w:eastAsia="Calibri" w:hAnsi="Calibri"/>
          <w:b/>
          <w:bCs/>
          <w:color w:val="0F6E56"/>
          <w:sz w:val="24"/>
          <w:szCs w:val="24"/>
        </w:rPr>
        <w:t>Lisa HSA — $47,901 · $5,755/yr (TRIPLE TAX-FREE)</w:t>
      </w:r>
    </w:p>
    <w:p>
      <w:pPr>
        <w:spacing w:after="40" w:before="40"/>
      </w:pPr>
      <w:r>
        <w:rPr>
          <w:rFonts w:ascii="Calibri" w:cs="Calibri" w:eastAsia="Calibri" w:hAnsi="Calibri"/>
          <w:i/>
          <w:iCs/>
          <w:color w:val="888780"/>
          <w:sz w:val="17"/>
          <w:szCs w:val="17"/>
        </w:rPr>
        <w:t xml:space="preserve">Fidelity HSA · Triple tax-free: contributions deductible, growth tax-free, withdrawals tax-free for medical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GHY — PGIM Global High Yield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1,640sh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$2,066/yr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10.8%</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Global high yield — monthly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JEPQ — JPMorgan Nasdaq Premium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227sh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$1,920/yr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14.1%</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Covered call Nasdaq ETF</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PDI — PIMCO Dynamic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920sh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$2,434/yr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17.5%</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PIMCO flagship — monthly</w:t>
            </w:r>
          </w:p>
        </w:tc>
      </w:tr>
      <w:tr>
        <w:tc>
          <w:tcPr>
            <w:tcW w:type="dxa" w:w="21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Lisa HSA Total</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3 positions</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$6,421/yr</w:t>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Triple tax-free · Fidelity</w:t>
            </w:r>
          </w:p>
        </w:tc>
      </w:tr>
    </w:tbl>
    <w:p>
      <w:pPr>
        <w:spacing w:after="0" w:before="160"/>
      </w:pPr>
      <w:r>
        <w:t xml:space="preserve"/>
      </w:r>
    </w:p>
    <w:p>
      <w:pPr>
        <w:spacing w:after="80" w:before="160"/>
      </w:pPr>
      <w:r>
        <w:rPr>
          <w:rFonts w:ascii="Calibri" w:cs="Calibri" w:eastAsia="Calibri" w:hAnsi="Calibri"/>
          <w:b/>
          <w:bCs/>
          <w:color w:val="0F6E56"/>
          <w:sz w:val="24"/>
          <w:szCs w:val="24"/>
        </w:rPr>
        <w:t>Brad HSA — $5,665 · $905/yr (TRIPLE TAX-FREE)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PDI — PIMCO Dynamic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347sh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$918/yr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17.5%</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Entire account in PDI — diversify if account grows past $10K</w:t>
            </w:r>
          </w:p>
        </w:tc>
      </w:tr>
      <w:tr>
        <w:tc>
          <w:tcPr>
            <w:tcW w:type="dxa" w:w="21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Brad HSA Total</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1 position</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$918/yr</w:t>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Triple tax-free · Fidelity</w:t>
            </w:r>
          </w:p>
        </w:tc>
      </w:tr>
    </w:tbl>
    <w:p>
      <w:pPr>
        <w:spacing w:after="0" w:before="160"/>
      </w:pPr>
      <w:r>
        <w:t xml:space="preserve"/>
      </w:r>
    </w:p>
    <w:p>
      <w:pPr>
        <w:spacing w:after="80" w:before="160"/>
      </w:pPr>
      <w:r>
        <w:rPr>
          <w:rFonts w:ascii="Calibri" w:cs="Calibri" w:eastAsia="Calibri" w:hAnsi="Calibri"/>
          <w:b/>
          <w:bCs/>
          <w:color w:val="854F0B"/>
          <w:sz w:val="24"/>
          <w:szCs w:val="24"/>
        </w:rPr>
        <w:t>Joint Brokerage — $58,510 · $2,127/yr (TAXABLE)</w:t>
      </w:r>
    </w:p>
    <w:p>
      <w:pPr>
        <w:spacing w:after="40" w:before="40"/>
      </w:pPr>
      <w:r>
        <w:rPr>
          <w:rFonts w:ascii="Calibri" w:cs="Calibri" w:eastAsia="Calibri" w:hAnsi="Calibri"/>
          <w:i/>
          <w:iCs/>
          <w:color w:val="888780"/>
          <w:sz w:val="17"/>
          <w:szCs w:val="17"/>
        </w:rPr>
        <w:t xml:space="preserve">Schwab Joint Brokerage · Taxable account · long-term capital gains rates apply · trust structure in place</w:t>
      </w:r>
    </w:p>
    <w:p>
      <w:pPr>
        <w:spacing w:after="40" w:before="40"/>
      </w:pPr>
      <w:r>
        <w:rPr>
          <w:rFonts w:ascii="Calibri" w:cs="Calibri" w:eastAsia="Calibri" w:hAnsi="Calibri"/>
          <w:i/>
          <w:iCs/>
          <w:color w:val="888780"/>
          <w:sz w:val="17"/>
          <w:szCs w:val="17"/>
        </w:rPr>
        <w:t xml:space="preserve">Capital One interest (~$1,800/yr) transfers here for reinvestment — see Section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EPD — Enterprise Products Partners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385sh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$862/yr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5.8%</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Midstream MLP (K-1) — CORRECTLY placed in taxable (no UBTI here — the right home for an MLP). Distributions are return-of-capital: tax-DEFERRED, lower cost basis over time. Retain every K-1 &amp; track adjusted basis (K-1 sales schedule). If ever sold, recapture portion taxed as ordinary income; hold-to-death = step-up wipes deferred tax. Plan: buy &amp; collect, no sale planned.</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MDXBX — T.Rowe MD Tax-Free Bond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3,099.512sh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$1,147/yr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3.7%</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MD muni bond — tax-exempt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ORCL — Oracle Corp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95sh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$190/yr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1.4%</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$0.50/qtr</w:t>
            </w:r>
          </w:p>
        </w:tc>
      </w:tr>
      <w:tr>
        <w:tc>
          <w:tcPr>
            <w:tcW w:type="dxa" w:w="216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t>Joint Total</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t>3 positions</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t>$2,199/yr</w:t>
            </w:r>
          </w:p>
        </w:tc>
        <w:tc>
          <w:tcPr>
            <w:tcW w:type="dxa" w:w="108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r>
          </w:p>
        </w:tc>
        <w:tc>
          <w:tcPr>
            <w:tcW w:type="dxa" w:w="32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Taxable · Schwab Joint</w:t>
            </w:r>
          </w:p>
        </w:tc>
      </w:tr>
    </w:tbl>
    <w:p>
      <w:pPr>
        <w:spacing w:after="0" w:before="160"/>
      </w:pPr>
      <w:r>
        <w:t xml:space="preserve"/>
      </w:r>
    </w:p>
    <w:p>
      <w:pPr>
        <w:spacing w:after="80" w:before="160"/>
      </w:pPr>
      <w:r>
        <w:rPr>
          <w:rFonts w:ascii="Calibri" w:cs="Calibri" w:eastAsia="Calibri" w:hAnsi="Calibri"/>
          <w:b/>
          <w:bCs/>
          <w:color w:val="0C447C"/>
          <w:sz w:val="24"/>
          <w:szCs w:val="24"/>
        </w:rPr>
        <w:t xml:space="preserve">PIMCO Suite Summary — $9,994/yr ($833/mo)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2880"/>
      </w:tblGrid>
      <w:tr>
        <w:tc>
          <w:tcPr>
            <w:tcW w:type="dxa" w:w="216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Fund</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Annual</w:t>
            </w:r>
          </w:p>
        </w:tc>
        <w:tc>
          <w:tcPr>
            <w:tcW w:type="dxa" w:w="28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PDI</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Lisa HSA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920sh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$2,434/yr</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17.5%</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PDI</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Brad HSA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347sh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$918/yr</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17.5%</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PDO</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Lisa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1,500sh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$2,302/yr</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12.0%</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PDO</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Brad Roth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1,235sh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$1,895/yr</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12.0%</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PTY</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2,600sh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$3,707/yr</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12.2%</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PIMCO Total</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 positions</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$11,257/yr</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$938/mo</w:t>
            </w:r>
          </w:p>
        </w:tc>
      </w:tr>
    </w:tbl>
    <w:p>
      <w:pPr>
        <w:spacing w:after="0" w:before="160"/>
      </w:pPr>
      <w:r>
        <w:t xml:space="preserve"/>
      </w:r>
    </w:p>
    <w:p>
      <w:pPr>
        <w:spacing w:after="80" w:before="160"/>
      </w:pPr>
      <w:r>
        <w:rPr>
          <w:rFonts w:ascii="Calibri" w:cs="Calibri" w:eastAsia="Calibri" w:hAnsi="Calibri"/>
          <w:b/>
          <w:bCs/>
          <w:color w:val="0F6E56"/>
          <w:sz w:val="24"/>
          <w:szCs w:val="24"/>
        </w:rPr>
        <w:t xml:space="preserve">Income trajectory — 3% natural dividend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800"/>
        <w:gridCol w:w="1440"/>
        <w:gridCol w:w="4680"/>
      </w:tblGrid>
      <w:tr>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180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Monthly</w:t>
            </w:r>
          </w:p>
        </w:tc>
        <w:tc>
          <w:tcPr>
            <w:tcW w:type="dxa" w:w="46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t>Current</w:t>
            </w:r>
          </w:p>
        </w:tc>
        <w:tc>
          <w:tcPr>
            <w:tcW w:type="dxa" w:w="180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t>$80,364</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t>$6,697</w:t>
            </w:r>
          </w:p>
        </w:tc>
        <w:tc>
          <w:tcPr>
            <w:tcW w:type="dxa" w:w="468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t>Portfolio income only · confirmed rates</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1</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$84,575</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$7,048</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Includes Capital One interest</w:t>
            </w:r>
          </w:p>
        </w:tc>
      </w:tr>
      <w:tr>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Year 2</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$87,059</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$7,255</w:t>
            </w:r>
          </w:p>
        </w:tc>
        <w:tc>
          <w:tcPr>
            <w:tcW w:type="dxa" w:w="46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3</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$89,616</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$7,468</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5</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$94,964</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$7,914</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10</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$109,803</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$9,150</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r>
          </w:p>
        </w:tc>
      </w:tr>
    </w:tbl>
    <w:p>
      <w:r>
        <w:br w:type="page"/>
      </w:r>
    </w:p>
    <w:p>
      <w:pPr>
        <w:pBdr>
          <w:bottom w:val="single" w:color="534AB7" w:sz="12" w:space="4"/>
        </w:pBdr>
        <w:spacing w:after="100" w:before="200"/>
      </w:pPr>
      <w:r>
        <w:rPr>
          <w:rFonts w:ascii="Calibri" w:cs="Calibri" w:eastAsia="Calibri" w:hAnsi="Calibri"/>
          <w:b/>
          <w:bCs/>
          <w:color w:val="1F3864"/>
          <w:sz w:val="32"/>
          <w:szCs w:val="32"/>
        </w:rPr>
        <w:t xml:space="preserve">Pillar 2 — Growth (401k)</w:t>
      </w:r>
    </w:p>
    <w:p>
      <w:pPr>
        <w:spacing w:after="160" w:before="60"/>
        <w:jc w:val="left"/>
      </w:pPr>
      <w:r>
        <w:rPr>
          <w:rFonts w:ascii="Calibri" w:cs="Calibri" w:eastAsia="Calibri" w:hAnsi="Calibri"/>
          <w:b w:val="false"/>
          <w:bCs w:val="false"/>
          <w:i/>
          <w:iCs/>
          <w:color w:val="595959"/>
          <w:sz w:val="19"/>
          <w:szCs w:val="19"/>
        </w:rPr>
        <w:t>Full Pillar 2 sleeve · Fidelity + Schwab · $406,384 · pure growth compounding · no income distributions</w:t>
      </w:r>
    </w:p>
    <w:p>
      <w:pPr>
        <w:spacing w:after="80" w:before="160"/>
      </w:pPr>
      <w:r>
        <w:rPr>
          <w:rFonts w:ascii="Calibri" w:cs="Calibri" w:eastAsia="Calibri" w:hAnsi="Calibri"/>
          <w:b/>
          <w:bCs/>
          <w:color w:val="534AB7"/>
          <w:sz w:val="24"/>
          <w:szCs w:val="24"/>
        </w:rPr>
        <w:t xml:space="preserve">Holdings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080"/>
        <w:gridCol w:w="1080"/>
        <w:gridCol w:w="1800"/>
        <w:gridCol w:w="2520"/>
      </w:tblGrid>
      <w:tr>
        <w:tc>
          <w:tcPr>
            <w:tcW w:type="dxa" w:w="288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Fund</w:t>
            </w:r>
          </w:p>
        </w:tc>
        <w:tc>
          <w:tcPr>
            <w:tcW w:type="dxa" w:w="108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Units</w:t>
            </w:r>
          </w:p>
        </w:tc>
        <w:tc>
          <w:tcPr>
            <w:tcW w:type="dxa" w:w="108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Price</w:t>
            </w:r>
          </w:p>
        </w:tc>
        <w:tc>
          <w:tcPr>
            <w:tcW w:type="dxa" w:w="180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Value</w:t>
            </w:r>
          </w:p>
        </w:tc>
        <w:tc>
          <w:tcPr>
            <w:tcW w:type="dxa" w:w="252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Role</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Growth Pool Fund (Brad 401k)</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3,045.704 units</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$112.37</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$342,246</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US large cap growth — active managed</w:t>
            </w:r>
          </w:p>
        </w:tc>
      </w:tr>
      <w:tr>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Vanguard Total Intl (Brad 401k)</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273.532 units</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$204.90</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$56,047</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Global ex-US all cap — passive index</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BREQI1 (Lisa 401k Roth)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0.5864 units</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$1,126.81</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$661</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Lisa's 401k Roth sleeve</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WTSCER (Lisa 401k Roth)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5.2764 units</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$374.86</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$1,978</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Lisa's 401k Roth sleeve</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SPCX (Brad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5sh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$143.34</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$717</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Growth sleeve position</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SPCX (Joint)</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5sh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$143.34</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$717</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Growth sleeve position</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TPL — Texas Pacific Land (Joint)</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11sh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$365.36</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$4,019</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Growth position, taxable</w:t>
            </w:r>
          </w:p>
        </w:tc>
      </w:tr>
      <w:tr>
        <w:tc>
          <w:tcPr>
            <w:tcW w:type="dxa" w:w="288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r>
              <w:rPr>
                <w:rFonts w:ascii="Calibri" w:hAnsi="Calibri" w:eastAsia="Calibri" w:cs="Calibri"/>
                <w:b/>
                <w:sz w:val="18"/>
              </w:rPr>
              <w:t>401k &amp; Growth Total</w:t>
            </w:r>
          </w:p>
        </w:tc>
        <w:tc>
          <w:tcPr>
            <w:tcW w:type="dxa" w:w="108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08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80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r>
              <w:rPr>
                <w:rFonts w:ascii="Calibri" w:hAnsi="Calibri" w:eastAsia="Calibri" w:cs="Calibri"/>
                <w:b/>
                <w:sz w:val="18"/>
              </w:rPr>
              <w:t>$406,384</w:t>
            </w:r>
          </w:p>
        </w:tc>
        <w:tc>
          <w:tcPr>
            <w:tcW w:type="dxa" w:w="252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r>
              <w:rPr>
                <w:rFonts w:ascii="Calibri" w:hAnsi="Calibri" w:eastAsia="Calibri" w:cs="Calibri"/>
                <w:b/>
                <w:sz w:val="18"/>
              </w:rPr>
              <w:t>Across Brad 401k, Lisa 401k Roth, Brad IRA, Joint</w:t>
            </w:r>
          </w:p>
        </w:tc>
      </w:tr>
    </w:tbl>
    <w:p>
      <w:pPr>
        <w:spacing w:after="0" w:before="80"/>
      </w:pPr>
      <w:r>
        <w:t xml:space="preserve"/>
      </w:r>
    </w:p>
    <w:p>
      <w:pPr>
        <w:spacing w:after="40" w:before="40"/>
      </w:pPr>
      <w:r>
        <w:rPr>
          <w:rFonts w:ascii="Calibri" w:cs="Calibri" w:eastAsia="Calibri" w:hAnsi="Calibri"/>
          <w:i/>
          <w:iCs/>
          <w:color w:val="888780"/>
          <w:sz w:val="17"/>
          <w:szCs w:val="17"/>
        </w:rPr>
        <w:t>Brad contributes ~$28,000/yr pre-tax. No withdrawals planned until RMDs at age 73 (2035). No matching contribution information on file — confirm with Oracle HR.</w:t>
      </w:r>
    </w:p>
    <w:p>
      <w:pPr>
        <w:spacing w:after="0" w:before="160"/>
      </w:pPr>
      <w:r>
        <w:t xml:space="preserve"/>
      </w:r>
    </w:p>
    <w:p>
      <w:pPr>
        <w:spacing w:after="80" w:before="160"/>
      </w:pPr>
      <w:r>
        <w:rPr>
          <w:rFonts w:ascii="Calibri" w:cs="Calibri" w:eastAsia="Calibri" w:hAnsi="Calibri"/>
          <w:b/>
          <w:bCs/>
          <w:color w:val="534AB7"/>
          <w:sz w:val="24"/>
          <w:szCs w:val="24"/>
        </w:rPr>
        <w:t xml:space="preserve">Growth projections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880"/>
      </w:tblGrid>
      <w:tr>
        <w:tc>
          <w:tcPr>
            <w:tcW w:type="dxa" w:w="216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216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7% CAGR (average)</w:t>
            </w:r>
          </w:p>
        </w:tc>
        <w:tc>
          <w:tcPr>
            <w:tcW w:type="dxa" w:w="216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9% CAGR (above avg)</w:t>
            </w:r>
          </w:p>
        </w:tc>
        <w:tc>
          <w:tcPr>
            <w:tcW w:type="dxa" w:w="288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Today</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$406,384</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$406,384</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Starting value</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3</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$497,837</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$526,278</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5</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$569,974</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$625,271</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r>
              <w:rPr>
                <w:rFonts w:ascii="Calibri" w:hAnsi="Calibri" w:eastAsia="Calibri" w:cs="Calibri"/>
                <w:b/>
                <w:sz w:val="18"/>
              </w:rPr>
              <w:t>Year 10</w:t>
            </w:r>
          </w:p>
        </w:tc>
        <w:tc>
          <w:tcPr>
            <w:tcW w:type="dxa" w:w="216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r>
              <w:rPr>
                <w:rFonts w:ascii="Calibri" w:hAnsi="Calibri" w:eastAsia="Calibri" w:cs="Calibri"/>
                <w:b/>
                <w:sz w:val="18"/>
              </w:rPr>
              <w:t>$799,418</w:t>
            </w:r>
          </w:p>
        </w:tc>
        <w:tc>
          <w:tcPr>
            <w:tcW w:type="dxa" w:w="216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r>
              <w:rPr>
                <w:rFonts w:ascii="Calibri" w:hAnsi="Calibri" w:eastAsia="Calibri" w:cs="Calibri"/>
                <w:b/>
                <w:sz w:val="18"/>
              </w:rPr>
              <w:t>$962,058</w:t>
            </w:r>
          </w:p>
        </w:tc>
        <w:tc>
          <w:tcPr>
            <w:tcW w:type="dxa" w:w="288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r>
              <w:rPr>
                <w:rFonts w:ascii="Calibri" w:hAnsi="Calibri" w:eastAsia="Calibri" w:cs="Calibri"/>
                <w:b/>
                <w:sz w:val="18"/>
              </w:rPr>
              <w:t>Doubles at avg</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15</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$1,121,225</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$1,480,245</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r>
          </w:p>
        </w:tc>
      </w:tr>
    </w:tbl>
    <w:p>
      <w:pPr>
        <w:spacing w:after="0" w:before="160"/>
      </w:pPr>
      <w:r>
        <w:t xml:space="preserve"/>
      </w:r>
    </w:p>
    <w:p>
      <w:pPr>
        <w:spacing w:after="80" w:before="160"/>
      </w:pPr>
      <w:r>
        <w:rPr>
          <w:rFonts w:ascii="Calibri" w:cs="Calibri" w:eastAsia="Calibri" w:hAnsi="Calibri"/>
          <w:b/>
          <w:bCs/>
          <w:color w:val="1F3864"/>
          <w:sz w:val="24"/>
          <w:szCs w:val="24"/>
        </w:rPr>
        <w:t xml:space="preserve">Combined portfolio trajectory — average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160"/>
        <w:gridCol w:w="2160"/>
        <w:gridCol w:w="2160"/>
        <w:gridCol w:w="1080"/>
      </w:tblGrid>
      <w:tr>
        <w:tc>
          <w:tcPr>
            <w:tcW w:type="dxa" w:w="18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Pillar 1 Income</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Pillar 2 Growth</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Pillar 3 LTC</w:t>
            </w:r>
          </w:p>
        </w:tc>
        <w:tc>
          <w:tcPr>
            <w:tcW w:type="dxa" w:w="108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Total Portfolio</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Today</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$80,364/yr</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$406,384</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$403,167</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~$2.13M</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5</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$93,164/yr</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$569,974</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$606,225</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~$2.50M</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10</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$108,003/yr</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$799,418</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$911,554</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~$3.03M</w:t>
            </w:r>
          </w:p>
        </w:tc>
      </w:tr>
    </w:tbl>
    <w:p>
      <w:pPr>
        <w:spacing w:after="40" w:before="40"/>
      </w:pPr>
      <w:r>
        <w:rPr>
          <w:rFonts w:ascii="Calibri" w:cs="Calibri" w:eastAsia="Calibri" w:hAnsi="Calibri"/>
          <w:i/>
          <w:iCs/>
          <w:color w:val="888780"/>
          <w:sz w:val="17"/>
          <w:szCs w:val="17"/>
        </w:rPr>
        <w:t xml:space="preserve">Projections are estimates based on historical average returns by asset class. Past performance does not guarantee future results.</w:t>
      </w:r>
    </w:p>
    <w:p>
      <w:r>
        <w:br w:type="page"/>
      </w:r>
    </w:p>
    <w:p>
      <w:pPr>
        <w:pBdr>
          <w:bottom w:val="single" w:color="185FA5" w:sz="12" w:space="4"/>
        </w:pBdr>
        <w:spacing w:after="100" w:before="200"/>
      </w:pPr>
      <w:r>
        <w:rPr>
          <w:rFonts w:ascii="Calibri" w:cs="Calibri" w:eastAsia="Calibri" w:hAnsi="Calibri"/>
          <w:b/>
          <w:bCs/>
          <w:color w:val="1F3864"/>
          <w:sz w:val="32"/>
          <w:szCs w:val="32"/>
        </w:rPr>
        <w:t xml:space="preserve">Pillar 3 — Health / LTC Self-Insurance</w:t>
      </w:r>
    </w:p>
    <w:p>
      <w:pPr>
        <w:spacing w:after="80" w:before="60"/>
        <w:jc w:val="left"/>
      </w:pPr>
      <w:r>
        <w:rPr>
          <w:rFonts w:ascii="Calibri" w:cs="Calibri" w:eastAsia="Calibri" w:hAnsi="Calibri"/>
          <w:b w:val="false"/>
          <w:bCs w:val="false"/>
          <w:i/>
          <w:iCs/>
          <w:color w:val="595959"/>
          <w:sz w:val="19"/>
          <w:szCs w:val="19"/>
        </w:rPr>
        <w:t>$403,167 · pure growth · no income counted · both average LTC scenarios covered TODAY</w:t>
      </w:r>
    </w:p>
    <w:p>
      <w:pPr>
        <w:spacing w:after="160" w:before="40"/>
        <w:jc w:val="left"/>
      </w:pPr>
      <w:r>
        <w:rPr>
          <w:rFonts w:ascii="Calibri" w:cs="Calibri" w:eastAsia="Calibri" w:hAnsi="Calibri"/>
          <w:b w:val="false"/>
          <w:bCs w:val="false"/>
          <w:i w:val="false"/>
          <w:iCs w:val="false"/>
          <w:color w:val="595959"/>
          <w:sz w:val="19"/>
          <w:szCs w:val="19"/>
        </w:rPr>
        <w:t xml:space="preserve">This account is our self-funded long-term care reserve. It replaces traditional LTC insurance. It is a VIRTUAL account — the positions are held inside Brad IRA and Lisa IRA but are mentally designated as the LTC fund and no income is counted from them.</w:t>
      </w:r>
    </w:p>
    <w:p>
      <w:pPr>
        <w:spacing w:after="80" w:before="160"/>
      </w:pPr>
      <w:r>
        <w:rPr>
          <w:rFonts w:ascii="Calibri" w:cs="Calibri" w:eastAsia="Calibri" w:hAnsi="Calibri"/>
          <w:b/>
          <w:bCs/>
          <w:color w:val="185FA5"/>
          <w:sz w:val="24"/>
          <w:szCs w:val="24"/>
        </w:rPr>
        <w:t xml:space="preserve">Holdings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080"/>
        <w:gridCol w:w="1080"/>
        <w:gridCol w:w="1440"/>
        <w:gridCol w:w="720"/>
        <w:gridCol w:w="3600"/>
      </w:tblGrid>
      <w:tr>
        <w:tc>
          <w:tcPr>
            <w:tcW w:type="dxa" w:w="14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08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108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Value</w:t>
            </w:r>
          </w:p>
        </w:tc>
        <w:tc>
          <w:tcPr>
            <w:tcW w:type="dxa" w:w="72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w:t>
            </w:r>
          </w:p>
        </w:tc>
        <w:tc>
          <w:tcPr>
            <w:tcW w:type="dxa" w:w="36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Role</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FDGRX (100%)</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876.219sh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$52,337</w:t>
            </w:r>
          </w:p>
        </w:tc>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13.0%</w:t>
            </w:r>
          </w:p>
        </w:tc>
        <w:tc>
          <w:tcPr>
            <w:tcW w:type="dxa" w:w="36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US large cap growth — active (Fidelity Growth Company Fund)</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VUG</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Brad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365sh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$32,069</w:t>
            </w:r>
          </w:p>
        </w:tc>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8.0%</w:t>
            </w:r>
          </w:p>
        </w:tc>
        <w:tc>
          <w:tcPr>
            <w:tcW w:type="dxa" w:w="36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US large cap growth — passive (Vanguard Growth ETF) · 0.03%</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VTV</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100sh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$22,632</w:t>
            </w:r>
          </w:p>
        </w:tc>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5.6%</w:t>
            </w:r>
          </w:p>
        </w:tc>
        <w:tc>
          <w:tcPr>
            <w:tcW w:type="dxa" w:w="36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US large cap value — passive (Vanguard Value ETF) · 0.03%</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SPDW</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Brad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1,896sh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$97,284</w:t>
            </w:r>
          </w:p>
        </w:tc>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24.1%</w:t>
            </w:r>
          </w:p>
        </w:tc>
        <w:tc>
          <w:tcPr>
            <w:tcW w:type="dxa" w:w="36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International developed large/mid (SPDR Portfolio Dev World)</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SCHM</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1,410sh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$50,830</w:t>
            </w:r>
          </w:p>
        </w:tc>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12.6%</w:t>
            </w:r>
          </w:p>
        </w:tc>
        <w:tc>
          <w:tcPr>
            <w:tcW w:type="dxa" w:w="36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US mid cap passive (Schwab Mid Cap ETF)</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SCHA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Lisa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3,028.6037sh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$106,062</w:t>
            </w:r>
          </w:p>
        </w:tc>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26.3%</w:t>
            </w:r>
          </w:p>
        </w:tc>
        <w:tc>
          <w:tcPr>
            <w:tcW w:type="dxa" w:w="36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US small cap passive (Schwab Small Cap ETF)</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SCHC</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Lisa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452.3088sh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$22,828</w:t>
            </w:r>
          </w:p>
        </w:tc>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5.7%</w:t>
            </w:r>
          </w:p>
        </w:tc>
        <w:tc>
          <w:tcPr>
            <w:tcW w:type="dxa" w:w="36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Intl small cap developed — FULLY KEPT in LTC ✓ confirmed</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SCHE</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Lisa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525sh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$19,126</w:t>
            </w:r>
          </w:p>
        </w:tc>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4.7%</w:t>
            </w:r>
          </w:p>
        </w:tc>
        <w:tc>
          <w:tcPr>
            <w:tcW w:type="dxa" w:w="36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Emerging markets — 50% sell AFTER Jun 24 (keep 525sh in LTC)</w:t>
            </w:r>
          </w:p>
        </w:tc>
      </w:tr>
      <w:tr>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LTC Total</w:t>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 accounts</w:t>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$403,167</w:t>
            </w:r>
          </w:p>
        </w:tc>
        <w:tc>
          <w:tcPr>
            <w:tcW w:type="dxa" w:w="72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360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C447C"/>
                <w:sz w:val="18"/>
                <w:szCs w:val="18"/>
              </w:rPr>
              <w:t xml:space="preserve">24% large · 36% small/mid · 30% intl · 9% EM</w:t>
            </w:r>
          </w:p>
        </w:tc>
      </w:tr>
    </w:tbl>
    <w:p>
      <w:pPr>
        <w:spacing w:after="0" w:before="160"/>
      </w:pPr>
      <w:r>
        <w:t xml:space="preserve"/>
      </w:r>
    </w:p>
    <w:p>
      <w:pPr>
        <w:spacing w:after="80" w:before="160"/>
      </w:pPr>
      <w:r>
        <w:rPr>
          <w:rFonts w:ascii="Calibri" w:cs="Calibri" w:eastAsia="Calibri" w:hAnsi="Calibri"/>
          <w:b/>
          <w:bCs/>
          <w:color w:val="185FA5"/>
          <w:sz w:val="24"/>
          <w:szCs w:val="24"/>
        </w:rPr>
        <w:t xml:space="preserve">Growth projections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800"/>
        <w:gridCol w:w="1800"/>
        <w:gridCol w:w="1800"/>
        <w:gridCol w:w="3240"/>
      </w:tblGrid>
      <w:tr>
        <w:tc>
          <w:tcPr>
            <w:tcW w:type="dxa" w:w="14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18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Below avg (6.6%)</w:t>
            </w:r>
          </w:p>
        </w:tc>
        <w:tc>
          <w:tcPr>
            <w:tcW w:type="dxa" w:w="18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Average (8.5%)</w:t>
            </w:r>
          </w:p>
        </w:tc>
        <w:tc>
          <w:tcPr>
            <w:tcW w:type="dxa" w:w="18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Above avg (10.7%)</w:t>
            </w:r>
          </w:p>
        </w:tc>
        <w:tc>
          <w:tcPr>
            <w:tcW w:type="dxa" w:w="32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Coverage milestone</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Today</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$403,167</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$403,167</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$403,167</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Both 1-person average covered TODAY</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2</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$458,141</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$474,619</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$494,061</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Both people combined average ($400K)</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5</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$554,972</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$606,225</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$670,229</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1-person extended (5 yrs · $500K)</w:t>
            </w:r>
          </w:p>
        </w:tc>
      </w:tr>
      <w:tr>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Year 10</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$763,936</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$911,554</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$1,114,195</w:t>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Both extended (8 yrs · $800K) covered ✓</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15</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$1,051,582</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$1,370,665</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$1,852,250</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Both worst case ($1.2M) covered</w:t>
            </w:r>
          </w:p>
        </w:tc>
      </w:tr>
    </w:tbl>
    <w:p>
      <w:pPr>
        <w:spacing w:after="0" w:before="160"/>
      </w:pPr>
      <w:r>
        <w:t xml:space="preserve"/>
      </w:r>
    </w:p>
    <w:p>
      <w:pPr>
        <w:spacing w:after="80" w:before="160"/>
      </w:pPr>
      <w:r>
        <w:rPr>
          <w:rFonts w:ascii="Calibri" w:cs="Calibri" w:eastAsia="Calibri" w:hAnsi="Calibri"/>
          <w:b/>
          <w:bCs/>
          <w:color w:val="185FA5"/>
          <w:sz w:val="24"/>
          <w:szCs w:val="24"/>
        </w:rPr>
        <w:t xml:space="preserve">LTC cost benchmarks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440"/>
        <w:gridCol w:w="3720"/>
      </w:tblGrid>
      <w:tr>
        <w:tc>
          <w:tcPr>
            <w:tcW w:type="dxa" w:w="24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Scenario</w:t>
            </w:r>
          </w:p>
        </w:tc>
        <w:tc>
          <w:tcPr>
            <w:tcW w:type="dxa" w:w="18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Duration</w:t>
            </w:r>
          </w:p>
        </w:tc>
        <w:tc>
          <w:tcPr>
            <w:tcW w:type="dxa" w:w="14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Est. Cost</w:t>
            </w:r>
          </w:p>
        </w:tc>
        <w:tc>
          <w:tcPr>
            <w:tcW w:type="dxa" w:w="372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Coverage status</w:t>
            </w:r>
          </w:p>
        </w:tc>
      </w:tr>
      <w:tr>
        <w:tc>
          <w:tcPr>
            <w:tcW w:type="dxa" w:w="24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 person average care</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2.5 yrs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$250,000</w:t>
            </w:r>
          </w:p>
        </w:tc>
        <w:tc>
          <w:tcPr>
            <w:tcW w:type="dxa" w:w="3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Covered TODAY — $403,167 exceeds this</w:t>
            </w:r>
          </w:p>
        </w:tc>
      </w:tr>
      <w:tr>
        <w:tc>
          <w:tcPr>
            <w:tcW w:type="dxa" w:w="24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Both people average</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 yrs combined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$400,000</w:t>
            </w:r>
          </w:p>
        </w:tc>
        <w:tc>
          <w:tcPr>
            <w:tcW w:type="dxa" w:w="3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Covered by Year 2 — all scenarios</w:t>
            </w:r>
          </w:p>
        </w:tc>
      </w:tr>
      <w:tr>
        <w:tc>
          <w:tcPr>
            <w:tcW w:type="dxa" w:w="24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 person extended care</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 yrs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$500,000</w:t>
            </w:r>
          </w:p>
        </w:tc>
        <w:tc>
          <w:tcPr>
            <w:tcW w:type="dxa" w:w="3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Average case: Year 4</w:t>
            </w:r>
          </w:p>
        </w:tc>
      </w:tr>
      <w:tr>
        <w:tc>
          <w:tcPr>
            <w:tcW w:type="dxa" w:w="24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Both people extended</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 yrs combined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$800,000</w:t>
            </w:r>
          </w:p>
        </w:tc>
        <w:tc>
          <w:tcPr>
            <w:tcW w:type="dxa" w:w="3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Average case: Year 10 ✓</w:t>
            </w:r>
          </w:p>
        </w:tc>
      </w:tr>
      <w:tr>
        <w:tc>
          <w:tcPr>
            <w:tcW w:type="dxa" w:w="24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Both worst case</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 yrs combined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$949,982</w:t>
            </w:r>
          </w:p>
        </w:tc>
        <w:tc>
          <w:tcPr>
            <w:tcW w:type="dxa" w:w="3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Average case: Year 13</w:t>
            </w:r>
          </w:p>
        </w:tc>
      </w:tr>
    </w:tbl>
    <w:p>
      <w:pPr>
        <w:spacing w:after="40" w:before="40"/>
      </w:pPr>
      <w:r>
        <w:rPr>
          <w:rFonts w:ascii="Calibri" w:cs="Calibri" w:eastAsia="Calibri" w:hAnsi="Calibri"/>
          <w:i/>
          <w:iCs/>
          <w:color w:val="888780"/>
          <w:sz w:val="17"/>
          <w:szCs w:val="17"/>
        </w:rPr>
        <w:t xml:space="preserve">LTC cost benchmark: ~$100,000/yr national median nursing home (2026). Actual costs vary by location and care type.</w:t>
      </w:r>
    </w:p>
    <w:p>
      <w:pPr>
        <w:spacing w:after="0" w:before="160"/>
      </w:pPr>
      <w:r>
        <w:t xml:space="preserve"/>
      </w:r>
    </w:p>
    <w:p>
      <w:pPr>
        <w:spacing w:after="80" w:before="160"/>
      </w:pPr>
      <w:r>
        <w:rPr>
          <w:rFonts w:ascii="Calibri" w:cs="Calibri" w:eastAsia="Calibri" w:hAnsi="Calibri"/>
          <w:b/>
          <w:bCs/>
          <w:color w:val="854F0B"/>
          <w:sz w:val="24"/>
          <w:szCs w:val="24"/>
        </w:rPr>
        <w:t xml:space="preserve">Insurance — pending cancellation (saves $7,575/yr)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40"/>
        <w:gridCol w:w="2160"/>
        <w:gridCol w:w="3960"/>
      </w:tblGrid>
      <w:tr>
        <w:tc>
          <w:tcPr>
            <w:tcW w:type="dxa" w:w="180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Policy</w:t>
            </w:r>
          </w:p>
        </w:tc>
        <w:tc>
          <w:tcPr>
            <w:tcW w:type="dxa" w:w="144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Annual Premium</w:t>
            </w:r>
          </w:p>
        </w:tc>
        <w:tc>
          <w:tcPr>
            <w:tcW w:type="dxa" w:w="216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Status</w:t>
            </w:r>
          </w:p>
        </w:tc>
        <w:tc>
          <w:tcPr>
            <w:tcW w:type="dxa" w:w="396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Action Required</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Trustmark UL+LTC</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$3,787/yr</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SURRENDERING — value confirmed ~$1,800</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Surrender request letter drafted; only needs signed cancellation document to complete. No further illustration needed.</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Term Life (reinstated)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$3,788/yr</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READY TO CANCEL</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 surrender penalty on term · purpose replaced by LTC self-insurance</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Oracle Group Life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Lower premium</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PLANNED — reduce coverage amount</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Reduce life insurance amounts during Oracle open enrollment, year-end 2026.</w:t>
            </w:r>
          </w:p>
        </w:tc>
      </w:tr>
    </w:tbl>
    <w:p>
      <w:pPr>
        <w:spacing w:after="40" w:before="40"/>
      </w:pPr>
      <w:r>
        <w:rPr>
          <w:rFonts w:ascii="Calibri" w:cs="Calibri" w:eastAsia="Calibri" w:hAnsi="Calibri"/>
          <w:i/>
          <w:iCs/>
          <w:color w:val="888780"/>
          <w:sz w:val="17"/>
          <w:szCs w:val="17"/>
        </w:rPr>
        <w:t xml:space="preserve">Combined savings when cancelled: $7,575/yr redirected to monthly cash flow.</w:t>
      </w:r>
    </w:p>
    <w:p>
      <w:pPr>
        <w:spacing w:after="0" w:before="160"/>
      </w:pPr>
      <w:r>
        <w:t xml:space="preserve"/>
      </w:r>
    </w:p>
    <w:p>
      <w:pPr>
        <w:spacing w:after="80" w:before="160"/>
      </w:pPr>
      <w:r>
        <w:rPr>
          <w:rFonts w:ascii="Calibri" w:cs="Calibri" w:eastAsia="Calibri" w:hAnsi="Calibri"/>
          <w:b/>
          <w:bCs/>
          <w:color w:val="A32D2D"/>
          <w:sz w:val="24"/>
          <w:szCs w:val="24"/>
        </w:rPr>
        <w:t xml:space="preserve">Oracle MetLife — CRITICAL TIME-SENSITIVE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32D2D" w:sz="10"/>
              <w:left w:val="single" w:color="A32D2D" w:sz="10"/>
              <w:bottom w:val="single" w:color="A32D2D" w:sz="10"/>
              <w:right w:val="single" w:color="A32D2D" w:sz="10"/>
            </w:tcBorders>
            <w:shd w:fill="FCEBEB" w:val="clear"/>
            <w:tcMar>
              <w:top w:type="dxa" w:w="120"/>
              <w:left w:type="dxa" w:w="180"/>
              <w:bottom w:type="dxa" w:w="120"/>
              <w:right w:type="dxa" w:w="180"/>
            </w:tcMar>
          </w:tcPr>
          <w:p>
            <w:r>
              <w:rPr>
                <w:rFonts w:ascii="Calibri" w:cs="Calibri" w:eastAsia="Calibri" w:hAnsi="Calibri"/>
                <w:b/>
                <w:bCs/>
                <w:color w:val="A32D2D"/>
                <w:sz w:val="20"/>
                <w:szCs w:val="20"/>
              </w:rPr>
              <w:t xml:space="preserve">ORACLE METLIFE: Brad must port this life insurance policy within 31 DAYS of his last day at Oracle. If this window is missed, coverage cannot be reinstated without medical underwriting. Mark departure date on calendar immediately.</w:t>
            </w:r>
          </w:p>
        </w:tc>
      </w:tr>
    </w:tbl>
    <w:p>
      <w:r>
        <w:br w:type="page"/>
      </w:r>
    </w:p>
    <w:p>
      <w:pPr>
        <w:pBdr>
          <w:bottom w:val="single" w:color="854F0B" w:sz="12" w:space="4"/>
        </w:pBdr>
        <w:spacing w:after="100" w:before="200"/>
      </w:pPr>
      <w:r>
        <w:rPr>
          <w:rFonts w:ascii="Calibri" w:cs="Calibri" w:eastAsia="Calibri" w:hAnsi="Calibri"/>
          <w:b/>
          <w:bCs/>
          <w:color w:val="1F3864"/>
          <w:sz w:val="32"/>
          <w:szCs w:val="32"/>
        </w:rPr>
        <w:t xml:space="preserve">Additional Accounts</w:t>
      </w:r>
    </w:p>
    <w:p>
      <w:pPr>
        <w:spacing w:after="0" w:before="80"/>
      </w:pPr>
      <w:r>
        <w:t xml:space="preserve"/>
      </w:r>
    </w:p>
    <w:p>
      <w:pPr>
        <w:spacing w:after="80" w:before="160"/>
      </w:pPr>
      <w:r>
        <w:rPr>
          <w:rFonts w:ascii="Calibri" w:cs="Calibri" w:eastAsia="Calibri" w:hAnsi="Calibri"/>
          <w:b/>
          <w:bCs/>
          <w:color w:val="0F6E56"/>
          <w:sz w:val="24"/>
          <w:szCs w:val="24"/>
        </w:rPr>
        <w:t xml:space="preserve">Lisa Roth IRA — $104 (building)</w:t>
      </w:r>
    </w:p>
    <w:p>
      <w:pPr>
        <w:spacing w:after="40" w:before="40"/>
      </w:pPr>
      <w:r>
        <w:rPr>
          <w:rFonts w:ascii="Calibri" w:cs="Calibri" w:eastAsia="Calibri" w:hAnsi="Calibri"/>
          <w:i/>
          <w:iCs/>
          <w:color w:val="888780"/>
          <w:sz w:val="17"/>
          <w:szCs w:val="17"/>
        </w:rPr>
        <w:t xml:space="preserve">Schwab Roth IRA · Tax-free growth · No RMDs · Building via annual Q4 Roth conversions</w:t>
      </w:r>
    </w:p>
    <w:p>
      <w:pPr>
        <w:spacing w:after="60" w:before="60"/>
        <w:jc w:val="left"/>
      </w:pPr>
      <w:r>
        <w:rPr>
          <w:rFonts w:ascii="Calibri" w:cs="Calibri" w:eastAsia="Calibri" w:hAnsi="Calibri"/>
          <w:b w:val="false"/>
          <w:bCs w:val="false"/>
          <w:i w:val="false"/>
          <w:iCs w:val="false"/>
          <w:color w:val="595959"/>
          <w:sz w:val="19"/>
          <w:szCs w:val="19"/>
        </w:rPr>
        <w:t xml:space="preserve">Current balance: $104 (money market). This account is designated as the dedicated LTC supplement. Each Q4 we evaluate tax bracket room and convert $15-20K from Lisa's Traditional IRA to this Roth IRA. Invested in SCHG + VTI + VXUS only — pure growth, never income positions. At $15-20K/yr contributions, this account grows to approximately $241,000 by Year 10 as a bonus LTC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504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Roth Balance (est.)</w:t>
            </w:r>
          </w:p>
        </w:tc>
        <w:tc>
          <w:tcPr>
            <w:tcW w:type="dxa" w:w="50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Today</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$104</w:t>
            </w:r>
          </w:p>
        </w:tc>
        <w:tc>
          <w:tcPr>
            <w:tcW w:type="dxa" w:w="50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Placeholder — building via Q4 conversions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5</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~$100,000</w:t>
            </w:r>
          </w:p>
        </w:tc>
        <w:tc>
          <w:tcPr>
            <w:tcW w:type="dxa" w:w="50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$15-20K/yr at 7% CAGR</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10</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~$241,000</w:t>
            </w:r>
          </w:p>
        </w:tc>
        <w:tc>
          <w:tcPr>
            <w:tcW w:type="dxa" w:w="50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Bonus LTC supplement layer</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Capital One Savings — $60,000 (SACRED)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0"/>
              <w:left w:val="single" w:color="1F3864" w:sz="10"/>
              <w:bottom w:val="single" w:color="1F3864" w:sz="10"/>
              <w:right w:val="single" w:color="1F3864" w:sz="10"/>
            </w:tcBorders>
            <w:shd w:fill="D6E4F0" w:val="clear"/>
            <w:tcMar>
              <w:top w:type="dxa" w:w="120"/>
              <w:left w:type="dxa" w:w="180"/>
              <w:bottom w:type="dxa" w:w="120"/>
              <w:right w:type="dxa" w:w="180"/>
            </w:tcMar>
          </w:tcPr>
          <w:p>
            <w:r>
              <w:rPr>
                <w:rFonts w:ascii="Calibri" w:cs="Calibri" w:eastAsia="Calibri" w:hAnsi="Calibri"/>
                <w:b/>
                <w:bCs/>
                <w:color w:val="1F3864"/>
                <w:sz w:val="20"/>
                <w:szCs w:val="20"/>
              </w:rPr>
              <w:t xml:space="preserve">SACRED ACCOUNT — The $60,000 principal is NEVER used for income, investment, or expenses. This is the emergency reserve. Only the interest earned is transferred to the joint brokerage account for reinvestment.</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5040"/>
      </w:tblGrid>
      <w:tr>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Balance</w:t>
            </w:r>
          </w:p>
        </w:tc>
        <w:tc>
          <w:tcPr>
            <w:tcW w:type="dxa" w:w="50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Purpose</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Savings Acct 1</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$21,433.74</w:t>
            </w:r>
          </w:p>
        </w:tc>
        <w:tc>
          <w:tcPr>
            <w:tcW w:type="dxa" w:w="50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Emergency reserve — Brad &amp; Lisa</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Savings Acct 2</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$41,140.37</w:t>
            </w:r>
          </w:p>
        </w:tc>
        <w:tc>
          <w:tcPr>
            <w:tcW w:type="dxa" w:w="50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Emergency reserve — Brad &amp; Lisa</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1F3864"/>
                <w:sz w:val="18"/>
                <w:szCs w:val="18"/>
              </w:rPr>
              <w:t xml:space="preserve">Total</w:t>
            </w:r>
          </w:p>
        </w:tc>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1F3864"/>
                <w:sz w:val="18"/>
                <w:szCs w:val="18"/>
              </w:rPr>
              <w:t xml:space="preserve">$60,000.00</w:t>
            </w:r>
          </w:p>
        </w:tc>
        <w:tc>
          <w:tcPr>
            <w:tcW w:type="dxa" w:w="50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Principal SACRED · interest (~$1,800/yr) → joint for reinvestment</w:t>
            </w:r>
          </w:p>
        </w:tc>
      </w:tr>
    </w:tbl>
    <w:p>
      <w:pPr>
        <w:spacing w:after="0" w:before="80"/>
      </w:pPr>
      <w:r>
        <w:t xml:space="preserve"/>
      </w:r>
    </w:p>
    <w:p>
      <w:pPr>
        <w:spacing w:after="40" w:before="40"/>
      </w:pPr>
      <w:r>
        <w:rPr>
          <w:rFonts w:ascii="Calibri" w:cs="Calibri" w:eastAsia="Calibri" w:hAnsi="Calibri"/>
          <w:i/>
          <w:iCs/>
          <w:color w:val="888780"/>
          <w:sz w:val="17"/>
          <w:szCs w:val="17"/>
        </w:rPr>
        <w:t xml:space="preserve">APY estimated at 3.00% — confirm exact rate from Capital One statement. Interest accrues daily and compounds monthly.</w:t>
      </w:r>
    </w:p>
    <w:p>
      <w:pPr>
        <w:spacing w:after="0" w:before="160"/>
      </w:pPr>
      <w:r>
        <w:t xml:space="preserve"/>
      </w:r>
    </w:p>
    <w:p>
      <w:pPr>
        <w:spacing w:after="80" w:before="160"/>
      </w:pPr>
      <w:r>
        <w:rPr>
          <w:rFonts w:ascii="Calibri" w:cs="Calibri" w:eastAsia="Calibri" w:hAnsi="Calibri"/>
          <w:b/>
          <w:bCs/>
          <w:color w:val="8B4513"/>
          <w:sz w:val="24"/>
          <w:szCs w:val="24"/>
        </w:rPr>
        <w:t>Crypto Holdings — $28,080 (SPECULATIVE)</w:t>
      </w:r>
    </w:p>
    <w:p>
      <w:pPr>
        <w:spacing w:after="40" w:before="40"/>
      </w:pPr>
      <w:r>
        <w:rPr>
          <w:rFonts w:ascii="Calibri" w:cs="Calibri" w:eastAsia="Calibri" w:hAnsi="Calibri"/>
          <w:i/>
          <w:iCs/>
          <w:color w:val="888780"/>
          <w:sz w:val="17"/>
          <w:szCs w:val="17"/>
        </w:rPr>
        <w:t xml:space="preserve">Market values are approximate and highly volatile. Do not rely on these for income or planning. Values change daily.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2880"/>
      </w:tblGrid>
      <w:tr>
        <w:tc>
          <w:tcPr>
            <w:tcW w:type="dxa" w:w="216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Platform</w:t>
            </w:r>
          </w:p>
        </w:tc>
        <w:tc>
          <w:tcPr>
            <w:tcW w:type="dxa" w:w="144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Asset</w:t>
            </w:r>
          </w:p>
        </w:tc>
        <w:tc>
          <w:tcPr>
            <w:tcW w:type="dxa" w:w="144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Amount</w:t>
            </w:r>
          </w:p>
        </w:tc>
        <w:tc>
          <w:tcPr>
            <w:tcW w:type="dxa" w:w="144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Approx Value</w:t>
            </w:r>
          </w:p>
        </w:tc>
        <w:tc>
          <w:tcPr>
            <w:tcW w:type="dxa" w:w="288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Bitcoin (BTC)</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0.3164 BTC</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~$29,425</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crypto IRA — tax-advantaged</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Ethereum (ETH)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2.3467 ETH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~$4,224</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Cardano (ADA)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2,201 ADA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~$1,541</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Solana (SOL)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19.61 SOL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~$2,843</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Polkadot (DOT)</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22.28 DOT</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~$100</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Bitcoin (BTC)</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0.0084 BTC</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~$781</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Ethereum (ETH)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0.314 ETH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~$565</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Cardano (ADA)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1,112 ADA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~$779</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Solana (SOL)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1.6261 SOL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~$236</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Polkadot (DOT)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13.80 DOT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~$62</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bCs/>
                <w:i w:val="false"/>
                <w:iCs w:val="false"/>
                <w:color w:val="8B4513"/>
                <w:sz w:val="18"/>
                <w:szCs w:val="18"/>
              </w:rPr>
              <w:t xml:space="preserve">Crypto Total</w:t>
            </w:r>
          </w:p>
        </w:tc>
        <w:tc>
          <w:tcPr>
            <w:tcW w:type="dxa" w:w="144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bCs/>
                <w:i w:val="false"/>
                <w:iCs w:val="false"/>
                <w:color w:val="8B4513"/>
                <w:sz w:val="18"/>
                <w:szCs w:val="18"/>
              </w:rPr>
              <w:t xml:space="preserve">~$27,326</w:t>
            </w:r>
          </w:p>
        </w:tc>
        <w:tc>
          <w:tcPr>
            <w:tcW w:type="dxa" w:w="288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Approximate — verify at itrustcapital.com and crypto.com</w:t>
            </w:r>
          </w:p>
        </w:tc>
      </w:tr>
    </w:tbl>
    <w:p>
      <w:r>
        <w:br w:type="page"/>
      </w:r>
    </w:p>
    <w:p>
      <w:pPr>
        <w:pBdr>
          <w:bottom w:val="single" w:color="A32D2D" w:sz="12" w:space="4"/>
        </w:pBdr>
        <w:spacing w:after="100" w:before="200"/>
      </w:pPr>
      <w:r>
        <w:rPr>
          <w:rFonts w:ascii="Calibri" w:cs="Calibri" w:eastAsia="Calibri" w:hAnsi="Calibri"/>
          <w:b/>
          <w:bCs/>
          <w:color w:val="1F3864"/>
          <w:sz w:val="32"/>
          <w:szCs w:val="32"/>
        </w:rPr>
        <w:t xml:space="preserve">Debt &amp; Financial Obligations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32D2D" w:sz="10"/>
              <w:left w:val="single" w:color="A32D2D" w:sz="10"/>
              <w:bottom w:val="single" w:color="A32D2D" w:sz="10"/>
              <w:right w:val="single" w:color="A32D2D" w:sz="10"/>
            </w:tcBorders>
            <w:shd w:fill="FCEBEB" w:val="clear"/>
            <w:tcMar>
              <w:top w:type="dxa" w:w="120"/>
              <w:left w:type="dxa" w:w="180"/>
              <w:bottom w:type="dxa" w:w="120"/>
              <w:right w:type="dxa" w:w="180"/>
            </w:tcMar>
          </w:tcPr>
          <w:p>
            <w:r>
              <w:rPr>
                <w:rFonts w:ascii="Calibri" w:cs="Calibri" w:eastAsia="Calibri" w:hAnsi="Calibri"/>
                <w:b/>
                <w:bCs/>
                <w:color w:val="A32D2D"/>
                <w:sz w:val="20"/>
                <w:szCs w:val="20"/>
              </w:rPr>
              <w:t>✅ PAID OFF — Zero-interest credit card cleared August 14, 2026</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Current debt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40"/>
        <w:gridCol w:w="900"/>
        <w:gridCol w:w="900"/>
        <w:gridCol w:w="4320"/>
      </w:tblGrid>
      <w:tr>
        <w:tc>
          <w:tcPr>
            <w:tcW w:type="dxa" w:w="18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Debt</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Balance</w:t>
            </w:r>
          </w:p>
        </w:tc>
        <w:tc>
          <w:tcPr>
            <w:tcW w:type="dxa" w:w="9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Rate</w:t>
            </w:r>
          </w:p>
        </w:tc>
        <w:tc>
          <w:tcPr>
            <w:tcW w:type="dxa" w:w="9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Priority</w:t>
            </w:r>
          </w:p>
        </w:tc>
        <w:tc>
          <w:tcPr>
            <w:tcW w:type="dxa" w:w="432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When to Pay</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 Zero-interest card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$0</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PAID</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August 14, 2026 ✅</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Paid off — saved 17%+ interest</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 Parent Plus Loan #1</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$17,726.78</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7.90%</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Q4 2026</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Highest rate — Brad IRA distribution · saves $1,400/yr</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 Parent Plus Loan #2</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$49,071.35</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7.00%</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2027</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Second highest rate — Q4 2027 IRA distribution</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 Parent Plus Loan #3</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$48,734.80</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6.55%</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2027-2028</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Coordinate with Q4 bracket window</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 Parent Plus Loan #4</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$50,904.83</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6.41%</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2027-2029</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Coordinate with Q4 bracket window</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 Anderson Windows (last)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$36,500</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4.99%</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Last — ongoing</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Lowest rate · $400/mo · no urgency — pay last</w:t>
            </w:r>
          </w:p>
        </w:tc>
      </w:tr>
      <w:tr>
        <w:tc>
          <w:tcPr>
            <w:tcW w:type="dxa" w:w="180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bCs/>
                <w:i w:val="false"/>
                <w:iCs w:val="false"/>
                <w:color w:val="A32D2D"/>
                <w:sz w:val="18"/>
                <w:szCs w:val="18"/>
              </w:rPr>
              <w:t xml:space="preserve">Total Debt</w:t>
            </w:r>
          </w:p>
        </w:tc>
        <w:tc>
          <w:tcPr>
            <w:tcW w:type="dxa" w:w="144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bCs/>
                <w:i w:val="false"/>
                <w:iCs w:val="false"/>
                <w:color w:val="A32D2D"/>
                <w:sz w:val="18"/>
                <w:szCs w:val="18"/>
              </w:rPr>
              <w:t>$202,937.76</w:t>
            </w:r>
          </w:p>
        </w:tc>
        <w:tc>
          <w:tcPr>
            <w:tcW w:type="dxa" w:w="90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90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432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Parent Plus loans: children's education debt</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Q4 2026 debt payoff plan</w:t>
      </w:r>
    </w:p>
    <w:p>
      <w:pPr>
        <w:spacing w:after="50" w:before="50"/>
      </w:pPr>
      <w:r>
        <w:rPr>
          <w:rFonts w:ascii="Calibri" w:cs="Calibri" w:eastAsia="Calibri" w:hAnsi="Calibri"/>
          <w:b w:val="false"/>
          <w:bCs w:val="false"/>
          <w:i w:val="false"/>
          <w:iCs w:val="false"/>
          <w:color w:val="000000"/>
          <w:sz w:val="19"/>
          <w:szCs w:val="19"/>
        </w:rPr>
        <w:t xml:space="preserve">Parent Plus #1 ($17,726.78 at 7.90%): Take Brad IRA distribution in Q4 2026. Highest rate debt — eliminate first. Net ~$13,500 after 24% bracket tax. Saves ~$1,400/yr in interest permanently.</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 xml:space="preserve">Remaining Parent Plus loans (#2, #3, #4): Target $49K+ payoffs in 2027-2028 using coordinated IRA distributions within the 24% bracket window each Q4.</w:t>
      </w:r>
    </w:p>
    <w:p>
      <w:r>
        <w:br w:type="page"/>
      </w:r>
    </w:p>
    <w:p>
      <w:r>
        <w:br w:type="page"/>
      </w:r>
    </w:p>
    <w:p>
      <w:pPr>
        <w:pBdr>
          <w:bottom w:val="single" w:color="534AB7" w:sz="12" w:space="4"/>
        </w:pBdr>
        <w:spacing w:after="100" w:before="200"/>
      </w:pPr>
      <w:r>
        <w:rPr>
          <w:rFonts w:ascii="Calibri" w:cs="Calibri" w:eastAsia="Calibri" w:hAnsi="Calibri"/>
          <w:b/>
          <w:bCs/>
          <w:color w:val="1F3864"/>
          <w:sz w:val="32"/>
          <w:szCs w:val="32"/>
        </w:rPr>
        <w:t xml:space="preserve">Tax Strategy, IRMAA &amp; RMD Planning</w:t>
      </w:r>
    </w:p>
    <w:p>
      <w:pPr>
        <w:spacing w:after="160" w:before="60"/>
        <w:jc w:val="left"/>
      </w:pPr>
      <w:r>
        <w:rPr>
          <w:rFonts w:ascii="Calibri" w:cs="Calibri" w:eastAsia="Calibri" w:hAnsi="Calibri"/>
          <w:b w:val="false"/>
          <w:bCs w:val="false"/>
          <w:i/>
          <w:iCs/>
          <w:color w:val="595959"/>
          <w:sz w:val="19"/>
          <w:szCs w:val="19"/>
        </w:rPr>
        <w:t xml:space="preserve">This section documents our confirmed tax strategy and Medicare/RMD planning decisions.</w:t>
      </w:r>
    </w:p>
    <w:p>
      <w:pPr>
        <w:spacing w:after="80" w:before="160"/>
      </w:pPr>
      <w:r>
        <w:rPr>
          <w:rFonts w:ascii="Calibri" w:cs="Calibri" w:eastAsia="Calibri" w:hAnsi="Calibri"/>
          <w:b/>
          <w:bCs/>
          <w:color w:val="0F6E56"/>
          <w:sz w:val="24"/>
          <w:szCs w:val="24"/>
        </w:rPr>
        <w:t xml:space="preserve">Confirmed Strategy — Three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880"/>
        <w:gridCol w:w="432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Decision</w:t>
            </w:r>
          </w:p>
        </w:tc>
        <w:tc>
          <w:tcPr>
            <w:tcW w:type="dxa" w:w="28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What We Do</w:t>
            </w:r>
          </w:p>
        </w:tc>
        <w:tc>
          <w:tcPr>
            <w:tcW w:type="dxa" w:w="432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Why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401k contributions</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Stay Traditional pre-tax — maximize including super catch-up (4,750/yr while Brad age 60-63)</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Reduces current MAGI · preserves bracket room for Roth conversions · deduction too valuable to give up in final 2 working years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Roth conversions</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Convert maximum each Q4 within 24% bracket — Lisa IRA → Lisa Roth IRA · invest in SCHG+VTI+VXUS only</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Permanently removes dollars from future RMDs · grows tax-free forever · no RMDs on Roth accounts · best asset to pass to children</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IRMAA</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File SSA Form SSA-44 on retirement day — converts 2027 premium to retirement-year MAGI</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One form · 15 minutes · saves ,968 in year one · IRMAA never an issue after that</w:t>
            </w:r>
          </w:p>
        </w:tc>
      </w:tr>
    </w:tbl>
    <w:p>
      <w:pPr>
        <w:spacing w:after="0" w:before="160"/>
      </w:pPr>
      <w:r>
        <w:t xml:space="preserve"/>
      </w:r>
    </w:p>
    <w:p>
      <w:pPr>
        <w:spacing w:after="80" w:before="160"/>
      </w:pPr>
      <w:r>
        <w:rPr>
          <w:rFonts w:ascii="Calibri" w:cs="Calibri" w:eastAsia="Calibri" w:hAnsi="Calibri"/>
          <w:b/>
          <w:bCs/>
          <w:color w:val="0C447C"/>
          <w:sz w:val="24"/>
          <w:szCs w:val="24"/>
        </w:rPr>
        <w:t xml:space="preserve">IRMAA — What It Is and When It Applies</w:t>
      </w:r>
    </w:p>
    <w:p>
      <w:pPr>
        <w:spacing w:after="100" w:before="40"/>
        <w:jc w:val="left"/>
      </w:pPr>
      <w:r>
        <w:rPr>
          <w:rFonts w:ascii="Calibri" w:cs="Calibri" w:eastAsia="Calibri" w:hAnsi="Calibri"/>
          <w:b w:val="false"/>
          <w:bCs w:val="false"/>
          <w:i w:val="false"/>
          <w:iCs w:val="false"/>
          <w:color w:val="595959"/>
          <w:sz w:val="19"/>
          <w:szCs w:val="19"/>
        </w:rPr>
        <w:t xml:space="preserve">IRMAA (Income-Related Monthly Adjustment Amount) is a Medicare surcharge added to standard Part B and Part D premiums when household MAGI exceeds certain thresholds. It uses a two-year lookback — 2027 Medicare premiums are based on 2025 income. Both Brad and Lisa enroll in Medicare in 2027 (both turn 65 that year — Brad in June, Lisa in November).</w:t>
      </w:r>
    </w:p>
    <w:p>
      <w:pPr>
        <w:spacing w:after="80" w:before="160"/>
      </w:pPr>
      <w:r>
        <w:rPr>
          <w:rFonts w:ascii="Calibri" w:cs="Calibri" w:eastAsia="Calibri" w:hAnsi="Calibri"/>
          <w:b/>
          <w:bCs/>
          <w:color w:val="0C447C"/>
          <w:sz w:val="24"/>
          <w:szCs w:val="24"/>
        </w:rPr>
        <w:t xml:space="preserve">IRMAA Thresholds (2026 — MFJ)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440"/>
        <w:gridCol w:w="1800"/>
        <w:gridCol w:w="2880"/>
      </w:tblGrid>
      <w:tr>
        <w:tc>
          <w:tcPr>
            <w:tcW w:type="dxa" w:w="32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MAGI (Married Filing Jointly)</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Part B/mo each</w:t>
            </w:r>
          </w:p>
        </w:tc>
        <w:tc>
          <w:tcPr>
            <w:tcW w:type="dxa" w:w="180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Surcharge vs standard</w:t>
            </w:r>
          </w:p>
        </w:tc>
        <w:tc>
          <w:tcPr>
            <w:tcW w:type="dxa" w:w="28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Household extra/yr</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Up to 12,000</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85/mo</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/bin/sh — no surcharge</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12,001 – 66,000 (Tier 1)</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59/mo</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+4/mo each</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,776/yr</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66,001 – 34,000 (Tier 2)</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96/mo</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+11/mo each</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,664/yr + Part D</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34,001 – 00,000 (Tier 3)</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07/mo</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+22/mo each</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,328/yr + Part D</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00,001 – 50,000 (Tier 4)</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18/mo</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+33/mo each</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,992/yr + Part D</w:t>
            </w:r>
          </w:p>
        </w:tc>
      </w:tr>
    </w:tbl>
    <w:p>
      <w:pPr>
        <w:spacing w:after="60" w:before="60"/>
        <w:jc w:val="left"/>
      </w:pPr>
      <w:r>
        <w:rPr>
          <w:rFonts w:ascii="Calibri" w:cs="Calibri" w:eastAsia="Calibri" w:hAnsi="Calibri"/>
          <w:b w:val="false"/>
          <w:bCs w:val="false"/>
          <w:i/>
          <w:iCs/>
          <w:color w:val="595959"/>
          <w:sz w:val="17"/>
          <w:szCs w:val="17"/>
        </w:rPr>
        <w:t xml:space="preserve">Total household surcharge in Tier 2 (our working years) is approximately ,968/yr including Part D. Thresholds adjust annually with inflation — projected to be ~53,000 by 2035.</w:t>
      </w:r>
    </w:p>
    <w:p>
      <w:pPr>
        <w:spacing w:after="0" w:before="160"/>
      </w:pPr>
      <w:r>
        <w:t xml:space="preserve"/>
      </w:r>
    </w:p>
    <w:p>
      <w:pPr>
        <w:spacing w:after="80" w:before="160"/>
      </w:pPr>
      <w:r>
        <w:rPr>
          <w:rFonts w:ascii="Calibri" w:cs="Calibri" w:eastAsia="Calibri" w:hAnsi="Calibri"/>
          <w:b/>
          <w:bCs/>
          <w:color w:val="0C447C"/>
          <w:sz w:val="24"/>
          <w:szCs w:val="24"/>
        </w:rPr>
        <w:t xml:space="preserve">Our Complete IRMAA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080"/>
        <w:gridCol w:w="1440"/>
        <w:gridCol w:w="3960"/>
      </w:tblGrid>
      <w:tr>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MAGI Est.</w:t>
            </w:r>
          </w:p>
        </w:tc>
        <w:tc>
          <w:tcPr>
            <w:tcW w:type="dxa" w:w="108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IRMAA Tier</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Household Surcharge</w:t>
            </w:r>
          </w:p>
        </w:tc>
        <w:tc>
          <w:tcPr>
            <w:tcW w:type="dxa" w:w="39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Action / Notes</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2025 (working)</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80,866</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Tier 2</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~,968/yr</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Not yet enrolled in Medicare — N/A</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2026 (working)</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80,866</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Tier 2</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~,968/yr</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Not yet enrolled in Medicare — N/A</w:t>
            </w:r>
          </w:p>
        </w:tc>
      </w:tr>
      <w:tr>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bCs/>
                <w:i w:val="false"/>
                <w:iCs w:val="false"/>
                <w:color w:val="854F0B"/>
                <w:sz w:val="18"/>
                <w:szCs w:val="18"/>
              </w:rPr>
              <w:t xml:space="preserve">2027 at enrollment</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80,866</w:t>
            </w:r>
          </w:p>
        </w:tc>
        <w:tc>
          <w:tcPr>
            <w:tcW w:type="dxa" w:w="108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Tier 2</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854F0B"/>
                <w:sz w:val="18"/>
                <w:szCs w:val="18"/>
              </w:rPr>
              <w:t xml:space="preserve">~,968/yr</w:t>
            </w:r>
          </w:p>
        </w:tc>
        <w:tc>
          <w:tcPr>
            <w:tcW w:type="dxa" w:w="396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bCs/>
                <w:i w:val="false"/>
                <w:iCs w:val="false"/>
                <w:color w:val="854F0B"/>
                <w:sz w:val="18"/>
                <w:szCs w:val="18"/>
              </w:rPr>
              <w:t xml:space="preserve">FILE SSA-44 immediately on retirement day</w:t>
            </w:r>
          </w:p>
        </w:tc>
      </w:tr>
      <w:tr>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2027 after SSA-44</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56,018</w:t>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NONE ✓</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/bin/sh</w:t>
            </w:r>
          </w:p>
        </w:tc>
        <w:tc>
          <w:tcPr>
            <w:tcW w:type="dxa" w:w="39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F6E56"/>
                <w:sz w:val="18"/>
                <w:szCs w:val="18"/>
              </w:rPr>
              <w:t xml:space="preserve">Appeal uses 2027 retirement-year income — succeeds automatically</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2028–2034 (retired)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~5,079</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NONE ✓</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/bin/sh</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Roth+HSA shield keeps MAGI very low</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2035+ (RMDs begin)</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~4,590</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NONE ✓</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/bin/sh</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RMDs + Pillar 1 still well below 53K threshold</w:t>
            </w:r>
          </w:p>
        </w:tc>
      </w:tr>
    </w:tbl>
    <w:p>
      <w:pPr>
        <w:spacing w:after="0" w:before="160"/>
      </w:pPr>
      <w:r>
        <w:t xml:space="preserve"/>
      </w:r>
    </w:p>
    <w:p>
      <w:pPr>
        <w:spacing w:after="80" w:before="160"/>
      </w:pPr>
      <w:r>
        <w:rPr>
          <w:rFonts w:ascii="Calibri" w:cs="Calibri" w:eastAsia="Calibri" w:hAnsi="Calibri"/>
          <w:b/>
          <w:bCs/>
          <w:color w:val="0F6E56"/>
          <w:sz w:val="24"/>
          <w:szCs w:val="24"/>
        </w:rPr>
        <w:t xml:space="preserve">Why MAGI Is So Low in Retirement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080"/>
        <w:gridCol w:w="468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Income Source</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Counts in MAGI?</w:t>
            </w:r>
          </w:p>
        </w:tc>
        <w:tc>
          <w:tcPr>
            <w:tcW w:type="dxa" w:w="46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Why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IRA withdrawals (living expenses)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~2,243</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YES</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Traditional IRA — taxable on withdrawal</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interest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,920</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YES</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Ordinary interest income</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Joint brokerage taxable divs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16</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YES</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Qualified dividends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T.Rowe MD Tax-Free Bond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,445</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Municipal bond — federally tax-exempt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 IRA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8,102</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Roth — tax-free forever · never in MAGI</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HSA income (medical use)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,534</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Triple tax-free — invisible to IRS</w:t>
            </w:r>
          </w:p>
        </w:tc>
      </w:tr>
      <w:tr>
        <w:tc>
          <w:tcPr>
            <w:tcW w:type="dxa" w:w="21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Estimated retirement MAGI</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~5,079</w:t>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46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F6E56"/>
                <w:sz w:val="18"/>
                <w:szCs w:val="18"/>
              </w:rPr>
              <w:t xml:space="preserve">Well below 12K IRMAA threshold — no surcharge ever</w:t>
            </w:r>
          </w:p>
        </w:tc>
      </w:tr>
    </w:tbl>
    <w:p>
      <w:pPr>
        <w:spacing w:after="0" w:before="160"/>
      </w:pPr>
      <w:r>
        <w:t xml:space="preserve"/>
      </w:r>
    </w:p>
    <w:p>
      <w:pPr>
        <w:spacing w:after="80" w:before="160"/>
      </w:pPr>
      <w:r>
        <w:rPr>
          <w:rFonts w:ascii="Calibri" w:cs="Calibri" w:eastAsia="Calibri" w:hAnsi="Calibri"/>
          <w:b/>
          <w:bCs/>
          <w:color w:val="0C447C"/>
          <w:sz w:val="24"/>
          <w:szCs w:val="24"/>
        </w:rPr>
        <w:t xml:space="preserve">RMDs — Required Minimum Distributions</w:t>
      </w:r>
    </w:p>
    <w:p>
      <w:pPr>
        <w:spacing w:after="100" w:before="40"/>
        <w:jc w:val="left"/>
      </w:pPr>
      <w:r>
        <w:rPr>
          <w:rFonts w:ascii="Calibri" w:cs="Calibri" w:eastAsia="Calibri" w:hAnsi="Calibri"/>
          <w:b w:val="false"/>
          <w:bCs w:val="false"/>
          <w:i w:val="false"/>
          <w:iCs w:val="false"/>
          <w:color w:val="595959"/>
          <w:sz w:val="19"/>
          <w:szCs w:val="19"/>
        </w:rPr>
        <w:t xml:space="preserve">RMDs begin at age 73 (2035 for both Brad and Lisa). The IRS requires minimum annual withdrawals from Traditional IRAs and 401ks. Roth IRAs have NO RMDs. HSAs have NO RMDs. The withdrawal amount equals account balance divided by an IRS life expectancy factor (26.5 at age 73).</w:t>
      </w:r>
    </w:p>
    <w:p>
      <w:pPr>
        <w:spacing w:after="80" w:before="160"/>
      </w:pPr>
      <w:r>
        <w:rPr>
          <w:rFonts w:ascii="Calibri" w:cs="Calibri" w:eastAsia="Calibri" w:hAnsi="Calibri"/>
          <w:b/>
          <w:bCs/>
          <w:color w:val="0C447C"/>
          <w:sz w:val="24"/>
          <w:szCs w:val="24"/>
        </w:rPr>
        <w:t xml:space="preserve">Projected RMDs — 2035 (conservative estimates)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080"/>
        <w:gridCol w:w="1440"/>
        <w:gridCol w:w="3240"/>
      </w:tblGrid>
      <w:tr>
        <w:tc>
          <w:tcPr>
            <w:tcW w:type="dxa" w:w="216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Est. 2035 Balance</w:t>
            </w:r>
          </w:p>
        </w:tc>
        <w:tc>
          <w:tcPr>
            <w:tcW w:type="dxa" w:w="10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IRS Factor</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First Year RMD</w:t>
            </w:r>
          </w:p>
        </w:tc>
        <w:tc>
          <w:tcPr>
            <w:tcW w:type="dxa" w:w="32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Traditional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~50,000</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26.5</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~0,755/yr</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Pillar 1 income positions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401k (Pillar 2)</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~00,000</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26.5</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~2,642/yr</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Conservative — no contributions after retirement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Traditional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~80,000</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26.5</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~8,113/yr</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Reduced by annual Roth conversions</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Total RMDs</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~,630,000</w:t>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~1,509/yr</w:t>
            </w:r>
          </w:p>
        </w:tc>
        <w:tc>
          <w:tcPr>
            <w:tcW w:type="dxa" w:w="32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C447C"/>
                <w:sz w:val="18"/>
                <w:szCs w:val="18"/>
              </w:rPr>
              <w:t xml:space="preserve">Factor decreases annually — RMDs grow each year</w:t>
            </w:r>
          </w:p>
        </w:tc>
      </w:tr>
    </w:tbl>
    <w:p>
      <w:pPr>
        <w:spacing w:after="60" w:before="60"/>
        <w:jc w:val="left"/>
      </w:pPr>
      <w:r>
        <w:rPr>
          <w:rFonts w:ascii="Calibri" w:cs="Calibri" w:eastAsia="Calibri" w:hAnsi="Calibri"/>
          <w:b w:val="false"/>
          <w:bCs w:val="false"/>
          <w:i/>
          <w:iCs/>
          <w:color w:val="595959"/>
          <w:sz w:val="17"/>
          <w:szCs w:val="17"/>
        </w:rPr>
        <w:t xml:space="preserve">RMDs largely replace IRA withdrawals already planned for living expenses (~2K/yr). The additional ~9K forced above living needs flows into the joint brokerage for reinvestment. Total 2035 MAGI ~4,590 — well below IRMAA threshold.</w:t>
      </w:r>
    </w:p>
    <w:p>
      <w:pPr>
        <w:spacing w:after="0" w:before="160"/>
      </w:pPr>
      <w:r>
        <w:t xml:space="preserve"/>
      </w:r>
    </w:p>
    <w:p>
      <w:pPr>
        <w:spacing w:after="80" w:before="160"/>
      </w:pPr>
      <w:r>
        <w:rPr>
          <w:rFonts w:ascii="Calibri" w:cs="Calibri" w:eastAsia="Calibri" w:hAnsi="Calibri"/>
          <w:b/>
          <w:bCs/>
          <w:color w:val="534AB7"/>
          <w:sz w:val="24"/>
          <w:szCs w:val="24"/>
        </w:rPr>
        <w:t xml:space="preserve">Roth Conversion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Element</w:t>
            </w:r>
          </w:p>
        </w:tc>
        <w:tc>
          <w:tcPr>
            <w:tcW w:type="dxa" w:w="684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Detail</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Source account</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Traditional IRA (Schwab)</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Target account</w:t>
            </w:r>
          </w:p>
        </w:tc>
        <w:tc>
          <w:tcPr>
            <w:tcW w:type="dxa" w:w="68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Roth IRA (Schwab) — currently 04, building annually</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Invest in</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SCHG · VTI · VXUS — pure growth only, never income positions</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Timing</w:t>
            </w:r>
          </w:p>
        </w:tc>
        <w:tc>
          <w:tcPr>
            <w:tcW w:type="dxa" w:w="68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Every Q4 — evaluate bracket room in October/November</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Amount per year</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~0-30K — stays within 24% bracket, manageable tax cost</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Bracket ceiling</w:t>
            </w:r>
          </w:p>
        </w:tc>
        <w:tc>
          <w:tcPr>
            <w:tcW w:type="dxa" w:w="68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24% bracket tops at 83,900 MFJ — ~33K room above current income</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Stop when</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retires — earned income drops, bracket math changes</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Purpose</w:t>
            </w:r>
          </w:p>
        </w:tc>
        <w:tc>
          <w:tcPr>
            <w:tcW w:type="dxa" w:w="68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Remove dollars from future RMD calculation permanently</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10-yr projection</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~41,000 in Lisa Roth by Year 10 at 5-20K/yr conversions</w:t>
            </w:r>
          </w:p>
        </w:tc>
      </w:tr>
    </w:tbl>
    <w:p>
      <w:pPr>
        <w:spacing w:after="0" w:before="160"/>
      </w:pPr>
      <w:r>
        <w:t xml:space="preserve"/>
      </w:r>
    </w:p>
    <w:p>
      <w:pPr>
        <w:spacing w:after="80" w:before="160"/>
      </w:pPr>
      <w:r>
        <w:rPr>
          <w:rFonts w:ascii="Calibri" w:cs="Calibri" w:eastAsia="Calibri" w:hAnsi="Calibri"/>
          <w:b/>
          <w:bCs/>
          <w:color w:val="A32D2D"/>
          <w:sz w:val="24"/>
          <w:szCs w:val="24"/>
        </w:rPr>
        <w:t xml:space="preserve">2027 RSU — Action Required Before Retiring</w:t>
      </w:r>
    </w:p>
    <w:p>
      <w:pPr>
        <w:spacing w:after="60" w:before="40"/>
        <w:jc w:val="left"/>
      </w:pPr>
      <w:r>
        <w:rPr>
          <w:rFonts w:ascii="Calibri" w:cs="Calibri" w:eastAsia="Calibri" w:hAnsi="Calibri"/>
          <w:b w:val="false"/>
          <w:bCs w:val="false"/>
          <w:i w:val="false"/>
          <w:iCs w:val="false"/>
          <w:color w:val="000000"/>
          <w:sz w:val="19"/>
          <w:szCs w:val="19"/>
        </w:rPr>
        <w:t xml:space="preserve">Brad has an RSU vest scheduled for September 2027. If Brad retires in June 2027, this vest may be forfeited depending on Oracle policy. At ~0,000 this is worth one phone call to Oracle HR or the stock plan administrator BEFORE setting a firm retirement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4320"/>
      </w:tblGrid>
      <w:tr>
        <w:tc>
          <w:tcPr>
            <w:tcW w:type="dxa" w:w="2520"/>
            <w:tcBorders>
              <w:top w:val="single" w:color="A32D2D" w:sz="6"/>
              <w:left w:val="single" w:color="A32D2D" w:sz="6"/>
              <w:bottom w:val="single" w:color="A32D2D" w:sz="6"/>
              <w:right w:val="single" w:color="A32D2D" w:sz="6"/>
            </w:tcBorders>
            <w:shd w:fill="A32D2D" w:val="clear"/>
            <w:tcMar>
              <w:top w:type="dxa" w:w="90"/>
              <w:left w:type="dxa" w:w="130"/>
              <w:bottom w:type="dxa" w:w="90"/>
              <w:right w:type="dxa" w:w="130"/>
            </w:tcMar>
          </w:tcPr>
          <w:p>
            <w:r>
              <w:rPr>
                <w:rFonts w:ascii="Calibri" w:cs="Calibri" w:eastAsia="Calibri" w:hAnsi="Calibri"/>
                <w:b/>
                <w:bCs/>
                <w:color w:val="FFFFFF"/>
                <w:sz w:val="18"/>
                <w:szCs w:val="18"/>
              </w:rPr>
              <w:t xml:space="preserve">Action</w:t>
            </w:r>
          </w:p>
        </w:tc>
        <w:tc>
          <w:tcPr>
            <w:tcW w:type="dxa" w:w="2520"/>
            <w:tcBorders>
              <w:top w:val="single" w:color="A32D2D" w:sz="6"/>
              <w:left w:val="single" w:color="A32D2D" w:sz="6"/>
              <w:bottom w:val="single" w:color="A32D2D" w:sz="6"/>
              <w:right w:val="single" w:color="A32D2D" w:sz="6"/>
            </w:tcBorders>
            <w:shd w:fill="A32D2D" w:val="clear"/>
            <w:tcMar>
              <w:top w:type="dxa" w:w="90"/>
              <w:left w:type="dxa" w:w="130"/>
              <w:bottom w:type="dxa" w:w="90"/>
              <w:right w:type="dxa" w:w="130"/>
            </w:tcMar>
          </w:tcPr>
          <w:p>
            <w:r>
              <w:rPr>
                <w:rFonts w:ascii="Calibri" w:cs="Calibri" w:eastAsia="Calibri" w:hAnsi="Calibri"/>
                <w:b/>
                <w:bCs/>
                <w:color w:val="FFFFFF"/>
                <w:sz w:val="18"/>
                <w:szCs w:val="18"/>
              </w:rPr>
              <w:t xml:space="preserve">When</w:t>
            </w:r>
          </w:p>
        </w:tc>
        <w:tc>
          <w:tcPr>
            <w:tcW w:type="dxa" w:w="4320"/>
            <w:tcBorders>
              <w:top w:val="single" w:color="A32D2D" w:sz="6"/>
              <w:left w:val="single" w:color="A32D2D" w:sz="6"/>
              <w:bottom w:val="single" w:color="A32D2D" w:sz="6"/>
              <w:right w:val="single" w:color="A32D2D" w:sz="6"/>
            </w:tcBorders>
            <w:shd w:fill="A32D2D" w:val="clear"/>
            <w:tcMar>
              <w:top w:type="dxa" w:w="90"/>
              <w:left w:type="dxa" w:w="130"/>
              <w:bottom w:type="dxa" w:w="90"/>
              <w:right w:type="dxa" w:w="130"/>
            </w:tcMar>
          </w:tcPr>
          <w:p>
            <w:r>
              <w:rPr>
                <w:rFonts w:ascii="Calibri" w:cs="Calibri" w:eastAsia="Calibri" w:hAnsi="Calibri"/>
                <w:b/>
                <w:bCs/>
                <w:color w:val="FFFFFF"/>
                <w:sz w:val="18"/>
                <w:szCs w:val="18"/>
              </w:rPr>
              <w:t xml:space="preserve">Contact</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Call Oracle HR — confirm RSU vesting policy on retirement</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Before setting retirement date</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 HR / stock plan administrator</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File SSA Form SSA-44 (IRMAA appeal)</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Same day as retirement</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Social Security Administration — SSA.gov</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Port Oracle MetLife life insurance</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Within 31 days of last day</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MetLife — time-critical, no exceptions</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Enroll in Medicare Part B</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At retirement (or within 8-month SEP)</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Medicare.gov / Social Security office</w:t>
            </w:r>
          </w:p>
        </w:tc>
      </w:tr>
    </w:tbl>
    <w:p>
      <w:pPr>
        <w:pBdr>
          <w:bottom w:val="single" w:color="A32D2D" w:sz="12" w:space="4"/>
        </w:pBdr>
        <w:spacing w:after="100" w:before="200"/>
      </w:pPr>
      <w:r>
        <w:rPr>
          <w:rFonts w:ascii="Calibri" w:cs="Calibri" w:eastAsia="Calibri" w:hAnsi="Calibri"/>
          <w:b/>
          <w:bCs/>
          <w:color w:val="1F3864"/>
          <w:sz w:val="32"/>
          <w:szCs w:val="32"/>
        </w:rPr>
        <w:t xml:space="preserve">Action Plan &amp; Emergency Reference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32D2D" w:sz="10"/>
              <w:left w:val="single" w:color="A32D2D" w:sz="10"/>
              <w:bottom w:val="single" w:color="A32D2D" w:sz="10"/>
              <w:right w:val="single" w:color="A32D2D" w:sz="10"/>
            </w:tcBorders>
            <w:shd w:fill="FCEBEB" w:val="clear"/>
            <w:tcMar>
              <w:top w:type="dxa" w:w="120"/>
              <w:left w:type="dxa" w:w="180"/>
              <w:bottom w:type="dxa" w:w="120"/>
              <w:right w:type="dxa" w:w="180"/>
            </w:tcMar>
          </w:tcPr>
          <w:p>
            <w:r>
              <w:rPr>
                <w:rFonts w:ascii="Calibri" w:cs="Calibri" w:eastAsia="Calibri" w:hAnsi="Calibri"/>
                <w:b/>
                <w:bCs/>
                <w:color w:val="A32D2D"/>
                <w:sz w:val="20"/>
                <w:szCs w:val="20"/>
              </w:rPr>
              <w:t>LISA — IF READING THIS AFTER BRAD IS GONE: Do not make any immediate financial decisions. Call the financial advisor and Schwab/Fidelity first. The portfolio generates $80,364/yr ($6,697/mo) automatically — you have time to plan carefully.</w:t>
            </w:r>
          </w:p>
        </w:tc>
      </w:tr>
    </w:tbl>
    <w:p>
      <w:pPr>
        <w:spacing w:after="0" w:before="160"/>
      </w:pPr>
      <w:r>
        <w:t xml:space="preserve"/>
      </w:r>
    </w:p>
    <w:p>
      <w:pPr>
        <w:spacing w:after="80" w:before="160"/>
      </w:pPr>
      <w:r>
        <w:rPr>
          <w:rFonts w:ascii="Calibri" w:cs="Calibri" w:eastAsia="Calibri" w:hAnsi="Calibri"/>
          <w:b/>
          <w:bCs/>
          <w:color w:val="0F6E56"/>
          <w:sz w:val="24"/>
          <w:szCs w:val="24"/>
        </w:rPr>
        <w:t xml:space="preserve">Pending trades — complete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160"/>
        <w:gridCol w:w="1440"/>
        <w:gridCol w:w="1080"/>
        <w:gridCol w:w="3960"/>
      </w:tblGrid>
      <w:tr>
        <w:tc>
          <w:tcPr>
            <w:tcW w:type="dxa" w:w="72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Priority</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Trade</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108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Income Added</w:t>
            </w:r>
          </w:p>
        </w:tc>
        <w:tc>
          <w:tcPr>
            <w:tcW w:type="dxa" w:w="39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Timing</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URGENT</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Zero-interest card — PAID ✅</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Personal cash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Completed August 14, 2026</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Done ✅</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PLANNED</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 MetLife — port coverage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 benefit</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Preserves life cover</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Within 31 days of Oracle departure · Brad plans to retire in ~2 years · mark calendar on actual departure date</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NOW</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Complete SCHD +563sh remaining</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+$707/yr</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MM has $21,005 ready</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NOW</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Sign Trustmark surrender document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Insurance</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Value confirmed ~$1,800 — surrender letter ready</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Ready to sign</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NOW</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Cancel term life policy</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Insurance</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+$3,788/yr</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 surrender penalty — call insurer</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JUN 24</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Sell SCHE 50% (525sh) → income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+$493/yr</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AFTER June 24 ex-div — collect distribution first</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WHEN</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MM has ~$18,899 ready</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Q4 2026</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Parent Plus #1 payoff</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dist.</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Saves $1,400/yr</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October-December 2026 — coordinate with tax bracket</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 DONE</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BIP → joint brokerage (completed)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 Joint</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K-1 eliminated</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Redeployed into PTY + O</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Q4 2026</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Roth first conversion</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 → Lisa Roth</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+LTC supplement</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$15-20K · use remaining bracket room</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ANNUAL</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Repeat Roth conversion each Q4</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 → Lisa Roth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Building LTC</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Every Q4 indefinitely</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 PLANNED</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Reduce life insurance amounts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Oracle benefits</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Lower premium</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Oracle open enrollment · year-end 2026</w:t>
            </w:r>
          </w:p>
        </w:tc>
      </w:tr>
    </w:tbl>
    <w:p>
      <w:pPr>
        <w:spacing w:after="0" w:before="160"/>
      </w:pPr>
      <w:r>
        <w:t xml:space="preserve"/>
      </w:r>
    </w:p>
    <w:p>
      <w:pPr>
        <w:spacing w:after="80" w:before="160"/>
      </w:pPr>
      <w:r>
        <w:rPr>
          <w:rFonts w:ascii="Calibri" w:cs="Calibri" w:eastAsia="Calibri" w:hAnsi="Calibri"/>
          <w:b/>
          <w:bCs/>
          <w:color w:val="534AB7"/>
          <w:sz w:val="24"/>
          <w:szCs w:val="24"/>
        </w:rPr>
        <w:t xml:space="preserve">Phase 2 — when Phase 1 complete (more conservative)</w:t>
      </w:r>
    </w:p>
    <w:p>
      <w:pPr>
        <w:spacing w:after="50" w:before="50"/>
      </w:pPr>
      <w:r>
        <w:rPr>
          <w:rFonts w:ascii="Calibri" w:cs="Calibri" w:eastAsia="Calibri" w:hAnsi="Calibri"/>
          <w:b w:val="false"/>
          <w:bCs w:val="false"/>
          <w:i w:val="false"/>
          <w:iCs w:val="false"/>
          <w:color w:val="000000"/>
          <w:sz w:val="19"/>
          <w:szCs w:val="19"/>
        </w:rPr>
        <w:t xml:space="preserve">Once all pending trades execute, the portfolio shifts to Phase 2 — layering in defensive quality without dismantling the income engine: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3240"/>
        <w:gridCol w:w="2520"/>
      </w:tblGrid>
      <w:tr>
        <w:tc>
          <w:tcPr>
            <w:tcW w:type="dxa" w:w="216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Phase 2 Move</w:t>
            </w:r>
          </w:p>
        </w:tc>
        <w:tc>
          <w:tcPr>
            <w:tcW w:type="dxa" w:w="144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324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Purpose</w:t>
            </w:r>
          </w:p>
        </w:tc>
        <w:tc>
          <w:tcPr>
            <w:tcW w:type="dxa" w:w="252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Timing</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XLU or VPU — utility ETF (passive)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Defensive ballast · AI electricity demand tailwind</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When ready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BTO — consider adding more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Financial sector diversifier · 15yr div growth</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When ready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ET → joint brokerage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 Joint</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K-1 cleanup · replace with OKE in IRA</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Q4 2026 or 2027</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401k — confirm in-service rollover</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401k</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Better investment options · increase above 6%</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Within 60 days</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Key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800"/>
        <w:gridCol w:w="4680"/>
      </w:tblGrid>
      <w:tr>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Institution</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Phone</w:t>
            </w:r>
          </w:p>
        </w:tc>
        <w:tc>
          <w:tcPr>
            <w:tcW w:type="dxa" w:w="18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Website</w:t>
            </w:r>
          </w:p>
        </w:tc>
        <w:tc>
          <w:tcPr>
            <w:tcW w:type="dxa" w:w="468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 Type</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Schwab</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1-800-435-4000</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schwab.com</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 Lisa IRA · Lisa Roth IRA · Joint Brokerage</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Fidelity</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1-800-343-3548</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fidelity.com</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 IRA · Brad 401k · Brad HSA · Lisa HSA</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1-877-383-4802</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capitalone.com</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Emergency savings accounts</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itrustcapital.com</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crypto IRA</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Joint crypto holdings</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 HR (benefits)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oracle.com/benefits</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401k · MetLife port — time-sensitive on departure</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Trust &amp; legal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0"/>
              <w:left w:val="single" w:color="1F3864" w:sz="10"/>
              <w:bottom w:val="single" w:color="1F3864" w:sz="10"/>
              <w:right w:val="single" w:color="1F3864" w:sz="10"/>
            </w:tcBorders>
            <w:shd w:fill="D6E4F0" w:val="clear"/>
            <w:tcMar>
              <w:top w:type="dxa" w:w="120"/>
              <w:left w:type="dxa" w:w="180"/>
              <w:bottom w:type="dxa" w:w="120"/>
              <w:right w:type="dxa" w:w="180"/>
            </w:tcMar>
          </w:tcPr>
          <w:p>
            <w:r>
              <w:rPr>
                <w:rFonts w:ascii="Calibri" w:cs="Calibri" w:eastAsia="Calibri" w:hAnsi="Calibri"/>
                <w:b/>
                <w:bCs/>
                <w:color w:val="1F3864"/>
                <w:sz w:val="20"/>
                <w:szCs w:val="20"/>
              </w:rPr>
              <w:t xml:space="preserve">A trust structure is in place. All accounts should be held in trust or have trust named as beneficiary. Verify account titling with Schwab and Fidelity — confirm Brad and Lisa are named beneficiaries on all retirement accounts.</w:t>
            </w:r>
          </w:p>
        </w:tc>
      </w:tr>
    </w:tbl>
    <w:p>
      <w:pPr>
        <w:spacing w:after="0" w:before="160"/>
      </w:pPr>
      <w:r>
        <w:t xml:space="preserve"/>
      </w:r>
    </w:p>
    <w:p>
      <w:pPr>
        <w:spacing w:after="80" w:before="160"/>
      </w:pPr>
      <w:r>
        <w:rPr>
          <w:rFonts w:ascii="Calibri" w:cs="Calibri" w:eastAsia="Calibri" w:hAnsi="Calibri"/>
          <w:b/>
          <w:bCs/>
          <w:color w:val="0F6E56"/>
          <w:sz w:val="24"/>
          <w:szCs w:val="24"/>
        </w:rPr>
        <w:t xml:space="preserve">Important notes for Lisa</w:t>
      </w:r>
    </w:p>
    <w:p>
      <w:pPr>
        <w:spacing w:after="50" w:before="50"/>
      </w:pPr>
      <w:r>
        <w:rPr>
          <w:rFonts w:ascii="Calibri" w:cs="Calibri" w:eastAsia="Calibri" w:hAnsi="Calibri"/>
          <w:b/>
          <w:bCs/>
          <w:i w:val="false"/>
          <w:iCs w:val="false"/>
          <w:color w:val="000000"/>
          <w:sz w:val="20"/>
          <w:szCs w:val="20"/>
        </w:rPr>
        <w:t xml:space="preserve">The portfolio is designed to run on autopilot. No action is needed immediately.</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 xml:space="preserve">Cash accumulates in each account as dividends are paid. It does not get reinvested automatically — Brad manually redeploys dividends periodically. Contact Schwab and Fidelity to understand how to manage this going forward.</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 xml:space="preserve">The Capital One savings principal ($60,000) should never be touched. Only the interest — approximately $1,800/yr — transfers to the joint brokerage account for reinvestment.</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 xml:space="preserve">RMDs (Required Minimum Distributions) begin from both IRAs when each person turns 73. Brad: 2035. Lisa: 2035. Consult a tax advisor before those dates.</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The three pillars are: Pillar 1 (Income — all the dividend-paying accounts), Pillar 2 (Growth — Brad's 401k), Pillar 3 (Health/LTC — the self-insurance fund). Pillar 1 generates $6,697/mo that arrives as cash in the accounts.</w:t>
      </w:r>
    </w:p>
    <w:p>
      <w:pPr>
        <w:spacing w:after="0" w:before="160"/>
      </w:pPr>
      <w:r>
        <w:t xml:space="preserve"/>
      </w:r>
    </w:p>
    <w:p>
      <w:pPr>
        <w:spacing w:after="40" w:before="40"/>
      </w:pPr>
      <w:r>
        <w:rPr>
          <w:rFonts w:ascii="Calibri" w:cs="Calibri" w:eastAsia="Calibri" w:hAnsi="Calibri"/>
          <w:i/>
          <w:iCs/>
          <w:color w:val="888780"/>
          <w:sz w:val="17"/>
          <w:szCs w:val="17"/>
        </w:rPr>
        <w:t>Document last updated: August 18, 2026. Dividend rates verified against official sources. Next full review recommended Q4 2026.</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spacing w:after="50" w:before="80"/>
      <w:jc w:val="center"/>
    </w:pPr>
    <w:r>
      <w:rPr>
        <w:rFonts w:ascii="Calibri" w:cs="Calibri" w:eastAsia="Calibri" w:hAnsi="Calibri"/>
        <w:b w:val="false"/>
        <w:bCs w:val="false"/>
        <w:i w:val="false"/>
        <w:iCs w:val="false"/>
        <w:color w:val="888780"/>
        <w:sz w:val="16"/>
        <w:szCs w:val="16"/>
      </w:rPr>
      <w:t xml:space="preserve">Page </w:t>
    </w:r>
    <w:r>
      <w:rPr>
        <w:rFonts w:ascii="Calibri" w:cs="Calibri" w:eastAsia="Calibri" w:hAnsi="Calibri"/>
        <w:color w:val="888780"/>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olor w:val="888780"/>
        <w:sz w:val="16"/>
        <w:szCs w:val="16"/>
      </w:rPr>
      <w:t xml:space="preserve">  |  Pillar 1: Income  ·  Pillar 2: Growth (401k)  ·  Pillar 3: Health/LTC  |  Not financial advice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spacing w:after="80" w:before="50"/>
      <w:jc w:val="left"/>
    </w:pPr>
    <w:r>
      <w:rPr>
        <w:rFonts w:ascii="Calibri" w:cs="Calibri" w:eastAsia="Calibri" w:hAnsi="Calibri"/>
        <w:b w:val="false"/>
        <w:bCs w:val="false"/>
        <w:i w:val="false"/>
        <w:iCs w:val="false"/>
        <w:color w:val="888780"/>
        <w:sz w:val="16"/>
        <w:szCs w:val="16"/>
      </w:rPr>
      <w:t xml:space="preserve">Brad &amp; Lisa Kitchen  —  Complete Portfolio Reference  |  April 22, 2026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2026-05-02T23:49:27.427Z</dcterms:created>
  <dcterms:modified xsi:type="dcterms:W3CDTF">2026-05-02T23:49:27.429Z</dcterms:modified>
</cp:coreProperties>
</file>

<file path=docProps/custom.xml><?xml version="1.0" encoding="utf-8"?>
<Properties xmlns="http://schemas.openxmlformats.org/officeDocument/2006/custom-properties" xmlns:vt="http://schemas.openxmlformats.org/officeDocument/2006/docPropsVTypes"/>
</file>