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3355"/>
          <w:sz w:val="40"/>
        </w:rPr>
        <w:t>BRAD KELLY, CFA</w:t>
      </w:r>
    </w:p>
    <w:p>
      <w:pPr>
        <w:spacing w:before="0" w:after="80"/>
        <w:jc w:val="center"/>
      </w:pPr>
      <w:r>
        <w:rPr>
          <w:color w:val="555555"/>
          <w:sz w:val="20"/>
        </w:rPr>
        <w:t>Austin, TX  ·  513-503-5270  ·  bradley.kelly93@gmail.com</w:t>
      </w:r>
    </w:p>
    <w:p>
      <w:pPr>
        <w:spacing w:before="160" w:after="60"/>
        <w:pBdr>
          <w:bottom w:val="single" w:sz="6" w:space="1" w:color="1F3355"/>
        </w:pBdr>
      </w:pPr>
      <w:r>
        <w:rPr>
          <w:b/>
          <w:color w:val="1F3355"/>
          <w:sz w:val="22"/>
          <w:spacing w:val="20"/>
        </w:rPr>
        <w:t>PROFILE</w:t>
      </w:r>
    </w:p>
    <w:p>
      <w:pPr>
        <w:spacing w:before="40" w:after="40"/>
      </w:pPr>
      <w:r>
        <w:t>CFA charterholder and investment professional with ~10 years across institutional asset management, fundamental research, and financial modeling, now focused on bottom-up equity research covering the Energy sector. Pairs disciplined, downside-first security analysis with the modeling, writing, and client-communication skills the sell-side demands: builds three-statement, comparable-company, and DCF valuation models, conducted fundamental due diligence on equity strategies, and served on an Investment Committee overseeing $12bn in assets. Resourceful and detail-obsessed, comfortable working with minimal direction under tight deadlines and early-market hours, and fluent in Excel, PowerPoint, and research databases, augmented by AI tooling to research companies and industries faster and more thoroughly.</w:t>
      </w:r>
    </w:p>
    <w:p>
      <w:pPr>
        <w:spacing w:before="160" w:after="60"/>
        <w:pBdr>
          <w:bottom w:val="single" w:sz="6" w:space="1" w:color="1F3355"/>
        </w:pBdr>
      </w:pPr>
      <w:r>
        <w:rPr>
          <w:b/>
          <w:color w:val="1F3355"/>
          <w:sz w:val="22"/>
          <w:spacing w:val="20"/>
        </w:rPr>
        <w:t>AREAS OF EXPERTISE</w:t>
      </w:r>
    </w:p>
    <w:p>
      <w:pPr>
        <w:spacing w:before="40" w:after="40"/>
      </w:pPr>
      <w:r>
        <w:t>Bottom-Up Fundamental Equity Research  ·  Three-Statement, Comps &amp; DCF Modeling  ·  Financial-Statement &amp; Accounting Analysis  ·  Industry &amp; Competitive Analysis  ·  Investment Thesis Development &amp; Written Research  ·  Excel, PowerPoint &amp; Research Databases  ·  Management &amp; Client Communication  ·  Macro, Geopolitical &amp; Commodity Research  ·  AI-Augmented Research &amp; Tooling</w:t>
      </w:r>
    </w:p>
    <w:p>
      <w:pPr>
        <w:spacing w:before="160" w:after="60"/>
        <w:pBdr>
          <w:bottom w:val="single" w:sz="6" w:space="1" w:color="1F3355"/>
        </w:pBdr>
      </w:pPr>
      <w:r>
        <w:rPr>
          <w:b/>
          <w:color w:val="1F3355"/>
          <w:sz w:val="22"/>
          <w:spacing w:val="20"/>
        </w:rPr>
        <w:t>PROFESSIONAL EXPERIENCE</w:t>
      </w:r>
    </w:p>
    <w:p>
      <w:pPr>
        <w:tabs>
          <w:tab w:pos="10224" w:val="right"/>
        </w:tabs>
        <w:spacing w:before="120" w:after="0"/>
      </w:pPr>
      <w:r>
        <w:rPr>
          <w:b/>
          <w:color w:val="222222"/>
          <w:sz w:val="21"/>
        </w:rPr>
        <w:t>K-H Holdings, LLC</w:t>
      </w:r>
      <w:r>
        <w:rPr>
          <w:color w:val="555555"/>
          <w:sz w:val="19"/>
        </w:rPr>
        <w:t xml:space="preserve">   Austin, TX</w:t>
      </w:r>
      <w:r>
        <w:rPr>
          <w:color w:val="555555"/>
          <w:sz w:val="19"/>
        </w:rPr>
        <w:tab/>
        <w:t>March 2026 – Present</w:t>
      </w:r>
    </w:p>
    <w:p>
      <w:pPr>
        <w:spacing w:before="0" w:after="20"/>
      </w:pPr>
      <w:r>
        <w:rPr>
          <w:i/>
          <w:color w:val="1F3355"/>
          <w:sz w:val="20"/>
        </w:rPr>
        <w:t>Founder</w:t>
      </w:r>
    </w:p>
    <w:p>
      <w:pPr>
        <w:pStyle w:val="ListBullet"/>
        <w:spacing w:before="20" w:after="20" w:line="247" w:lineRule="auto"/>
        <w:ind w:left="317"/>
      </w:pPr>
      <w:r>
        <w:t>Built a bottom-up equity research and valuation toolkit, including three-statement models, comparable-company analysis, reverse-DCF, normalized-earnings, and a fundamental quality/value screener, sourced directly from SEC EDGAR filings.</w:t>
      </w:r>
    </w:p>
    <w:p>
      <w:pPr>
        <w:pStyle w:val="ListBullet"/>
        <w:spacing w:before="20" w:after="20" w:line="247" w:lineRule="auto"/>
        <w:ind w:left="317"/>
      </w:pPr>
      <w:r>
        <w:t>Designed the toolkit around a downside-first, margin-of-safety discipline, decomposing every name into business quality, valuation disparity versus fair value, and improving-fundamentals signals, with every output auditable to its source line item.</w:t>
      </w:r>
    </w:p>
    <w:p>
      <w:pPr>
        <w:pStyle w:val="ListBullet"/>
        <w:spacing w:before="20" w:after="20" w:line="247" w:lineRule="auto"/>
        <w:ind w:left="317"/>
      </w:pPr>
      <w:r>
        <w:t>Founded an AI consulting firm and built investment-manager research and due-diligence software for advisory clients, including fund screening, performance and fee analysis, and competitive positioning.</w:t>
      </w:r>
    </w:p>
    <w:p>
      <w:pPr>
        <w:pStyle w:val="ListBullet"/>
        <w:spacing w:before="20" w:after="20" w:line="247" w:lineRule="auto"/>
        <w:ind w:left="317"/>
      </w:pPr>
      <w:r>
        <w:t>Apply AI tooling daily across the full research workflow, from company and industry data collection through model building and report drafting, with human oversight.</w:t>
      </w:r>
    </w:p>
    <w:p>
      <w:pPr>
        <w:tabs>
          <w:tab w:pos="10224" w:val="right"/>
        </w:tabs>
        <w:spacing w:before="120" w:after="0"/>
      </w:pPr>
      <w:r>
        <w:rPr>
          <w:b/>
          <w:color w:val="222222"/>
          <w:sz w:val="21"/>
        </w:rPr>
        <w:t>Goldman Sachs</w:t>
      </w:r>
      <w:r>
        <w:rPr>
          <w:color w:val="555555"/>
          <w:sz w:val="19"/>
        </w:rPr>
        <w:t xml:space="preserve">   Austin, TX</w:t>
      </w:r>
      <w:r>
        <w:rPr>
          <w:color w:val="555555"/>
          <w:sz w:val="19"/>
        </w:rPr>
        <w:tab/>
        <w:t>September 2021 – April 2025</w:t>
      </w:r>
    </w:p>
    <w:p>
      <w:pPr>
        <w:spacing w:before="0" w:after="20"/>
      </w:pPr>
      <w:r>
        <w:rPr>
          <w:i/>
          <w:color w:val="1F3355"/>
          <w:sz w:val="20"/>
        </w:rPr>
        <w:t>Vice President, Product Specialist</w:t>
      </w:r>
    </w:p>
    <w:p>
      <w:pPr>
        <w:pStyle w:val="ListBullet"/>
        <w:spacing w:before="20" w:after="20" w:line="247" w:lineRule="auto"/>
        <w:ind w:left="317"/>
      </w:pPr>
      <w:r>
        <w:t>Built scenario-based revenue, valuation, and forecasting models projecting platform economics under multiple growth and pricing cases, giving leadership a quantitative basis for investment and pricing decisions.</w:t>
      </w:r>
    </w:p>
    <w:p>
      <w:pPr>
        <w:pStyle w:val="ListBullet"/>
        <w:spacing w:before="20" w:after="20" w:line="247" w:lineRule="auto"/>
        <w:ind w:left="317"/>
      </w:pPr>
      <w:r>
        <w:t>Conducted fundamental due diligence and competitive benchmarking on externally managed equity strategies, assessing process, holdings, risk, fees, and positioning.</w:t>
      </w:r>
    </w:p>
    <w:p>
      <w:pPr>
        <w:pStyle w:val="ListBullet"/>
        <w:spacing w:before="20" w:after="20" w:line="247" w:lineRule="auto"/>
        <w:ind w:left="317"/>
      </w:pPr>
      <w:r>
        <w:t>Authored and delivered clear written and verbal explanations of strategies, performance, and process to internal teams, partners, and clients, and represented the platform at industry conferences.</w:t>
      </w:r>
    </w:p>
    <w:p>
      <w:pPr>
        <w:pStyle w:val="ListBullet"/>
        <w:spacing w:before="20" w:after="20" w:line="247" w:lineRule="auto"/>
        <w:ind w:left="317"/>
      </w:pPr>
      <w:r>
        <w:t>Served as investment subject-matter expert for the firm's managed-account and OCIO platform, supporting a 40+ person team and scaling it to $250mm+ in assets.</w:t>
      </w:r>
    </w:p>
    <w:p>
      <w:pPr>
        <w:tabs>
          <w:tab w:pos="10224" w:val="right"/>
        </w:tabs>
        <w:spacing w:before="120" w:after="0"/>
      </w:pPr>
      <w:r>
        <w:rPr>
          <w:b/>
          <w:color w:val="222222"/>
          <w:sz w:val="21"/>
        </w:rPr>
        <w:t>LeafHouse Financial</w:t>
      </w:r>
      <w:r>
        <w:rPr>
          <w:color w:val="555555"/>
          <w:sz w:val="19"/>
        </w:rPr>
        <w:t xml:space="preserve">   Austin, TX</w:t>
      </w:r>
      <w:r>
        <w:rPr>
          <w:color w:val="555555"/>
          <w:sz w:val="19"/>
        </w:rPr>
        <w:tab/>
        <w:t>June 2019 – September 2021</w:t>
      </w:r>
    </w:p>
    <w:p>
      <w:pPr>
        <w:spacing w:before="0" w:after="20"/>
      </w:pPr>
      <w:r>
        <w:rPr>
          <w:i/>
          <w:color w:val="1F3355"/>
          <w:sz w:val="20"/>
        </w:rPr>
        <w:t>Investment Committee Member &amp; Key Account Manager</w:t>
      </w:r>
    </w:p>
    <w:p>
      <w:pPr>
        <w:pStyle w:val="ListBullet"/>
        <w:spacing w:before="20" w:after="20" w:line="247" w:lineRule="auto"/>
        <w:ind w:left="317"/>
      </w:pPr>
      <w:r>
        <w:t>Served on the Investment Committee governing $12bn+ in assets, owning the manager buy/sell methodology and due-diligence framework, a repeatable, fundamentals-driven process for identifying buy and sell candidates.</w:t>
      </w:r>
    </w:p>
    <w:p>
      <w:pPr>
        <w:pStyle w:val="ListBullet"/>
        <w:spacing w:before="20" w:after="20" w:line="247" w:lineRule="auto"/>
        <w:ind w:left="317"/>
      </w:pPr>
      <w:r>
        <w:t>Performed fundamental due diligence across asset classes and styles, evaluating process, holdings, risk, and securities through direct portfolio-team meetings.</w:t>
      </w:r>
    </w:p>
    <w:p>
      <w:pPr>
        <w:pStyle w:val="ListBullet"/>
        <w:spacing w:before="20" w:after="20" w:line="247" w:lineRule="auto"/>
        <w:ind w:left="317"/>
      </w:pPr>
      <w:r>
        <w:t>Constructed, monitored, and rebalanced multi-asset, risk-based model portfolios aligned to defined client objectives, and reported positioning, performance, and KPIs to clients and stakeholders.</w:t>
      </w:r>
    </w:p>
    <w:p>
      <w:pPr>
        <w:tabs>
          <w:tab w:pos="10224" w:val="right"/>
        </w:tabs>
        <w:spacing w:before="120" w:after="0"/>
      </w:pPr>
      <w:r>
        <w:rPr>
          <w:b/>
          <w:color w:val="222222"/>
          <w:sz w:val="21"/>
        </w:rPr>
        <w:t>Dimensional Fund Advisors</w:t>
      </w:r>
      <w:r>
        <w:rPr>
          <w:color w:val="555555"/>
          <w:sz w:val="19"/>
        </w:rPr>
        <w:t xml:space="preserve">   Austin, TX</w:t>
      </w:r>
      <w:r>
        <w:rPr>
          <w:color w:val="555555"/>
          <w:sz w:val="19"/>
        </w:rPr>
        <w:tab/>
        <w:t>August 2016 – May 2019</w:t>
      </w:r>
    </w:p>
    <w:p>
      <w:pPr>
        <w:spacing w:before="0" w:after="20"/>
      </w:pPr>
      <w:r>
        <w:rPr>
          <w:i/>
          <w:color w:val="1F3355"/>
          <w:sz w:val="20"/>
        </w:rPr>
        <w:t>Consultant Relations &amp; Institutional Sales Associate</w:t>
      </w:r>
    </w:p>
    <w:p>
      <w:pPr>
        <w:pStyle w:val="ListBullet"/>
        <w:spacing w:before="20" w:after="20" w:line="247" w:lineRule="auto"/>
        <w:ind w:left="317"/>
      </w:pPr>
      <w:r>
        <w:t>Owned RFP and institutional due-diligence responses, researching company, industry, competitive, and regulatory trends and translating findings into clear written and verbal deliverables.</w:t>
      </w:r>
    </w:p>
    <w:p>
      <w:pPr>
        <w:pStyle w:val="ListBullet"/>
        <w:spacing w:before="20" w:after="20" w:line="247" w:lineRule="auto"/>
        <w:ind w:left="317"/>
      </w:pPr>
      <w:r>
        <w:t>Built and maintained the internal client-data and task-management databases used across the sales organization, and handled information requests under tight deadlines.</w:t>
      </w:r>
    </w:p>
    <w:p>
      <w:pPr>
        <w:spacing w:before="160" w:after="60"/>
        <w:pBdr>
          <w:bottom w:val="single" w:sz="6" w:space="1" w:color="1F3355"/>
        </w:pBdr>
      </w:pPr>
      <w:r>
        <w:rPr>
          <w:b/>
          <w:color w:val="1F3355"/>
          <w:sz w:val="22"/>
          <w:spacing w:val="20"/>
        </w:rPr>
        <w:t>CREDENTIALS &amp; EDUCATION</w:t>
      </w:r>
    </w:p>
    <w:p>
      <w:pPr>
        <w:spacing w:before="80" w:after="20"/>
      </w:pPr>
      <w:r>
        <w:rPr>
          <w:b/>
        </w:rPr>
        <w:t>CFA® Charterholder</w:t>
      </w:r>
      <w:r>
        <w:t>, CFA Institute.</w:t>
      </w:r>
    </w:p>
    <w:p>
      <w:pPr>
        <w:tabs>
          <w:tab w:pos="10224" w:val="right"/>
        </w:tabs>
        <w:spacing w:before="120" w:after="0"/>
      </w:pPr>
      <w:r>
        <w:rPr>
          <w:b/>
          <w:color w:val="222222"/>
          <w:sz w:val="21"/>
        </w:rPr>
        <w:t>Ohio University</w:t>
      </w:r>
      <w:r>
        <w:rPr>
          <w:color w:val="555555"/>
          <w:sz w:val="19"/>
        </w:rPr>
        <w:t xml:space="preserve">   Athens, OH</w:t>
      </w:r>
      <w:r>
        <w:rPr>
          <w:color w:val="555555"/>
          <w:sz w:val="19"/>
        </w:rPr>
        <w:tab/>
        <w:t>2016</w:t>
      </w:r>
    </w:p>
    <w:p>
      <w:pPr>
        <w:spacing w:before="0" w:after="20"/>
      </w:pPr>
      <w:r>
        <w:rPr>
          <w:i/>
          <w:color w:val="1F3355"/>
          <w:sz w:val="20"/>
        </w:rPr>
        <w:t>Bachelor of Business Administration, Finance</w:t>
      </w:r>
    </w:p>
    <w:p>
      <w:pPr>
        <w:pStyle w:val="ListBullet"/>
        <w:spacing w:before="20" w:after="20" w:line="247" w:lineRule="auto"/>
        <w:ind w:left="317"/>
      </w:pPr>
      <w:r>
        <w:t>President, Derivatives Management Group; Head Analyst, Student Equity Management Group, student-managed investment groups researching, valuing, and pitching individual equities and option strategies.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0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