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0713BD0F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For 4 years, h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e serve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as the internal lead for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CapTech's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AWS community of practice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28EE700A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Hashicorp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60032B09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77777777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&amp; </w:t>
      </w:r>
      <w:proofErr w:type="spellStart"/>
      <w:r w:rsidR="00457EDE"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16F92379" w14:textId="7496CEE2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06E9F73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 xml:space="preserve">, Azure </w:t>
      </w:r>
      <w:proofErr w:type="spellStart"/>
      <w:r w:rsidRPr="0013398C">
        <w:rPr>
          <w:rFonts w:ascii="Cambria" w:hAnsi="Cambria" w:cs="Calibri"/>
        </w:rPr>
        <w:t>Devops</w:t>
      </w:r>
      <w:proofErr w:type="spellEnd"/>
      <w:r w:rsidRPr="0013398C">
        <w:rPr>
          <w:rFonts w:ascii="Cambria" w:hAnsi="Cambria" w:cs="Calibri"/>
        </w:rPr>
        <w:t xml:space="preserve">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26EE5B7C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&amp; </w:t>
      </w:r>
      <w:proofErr w:type="spellStart"/>
      <w:r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53BD8EB5" w14:textId="588BB367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4C83F796" w14:textId="6856EC87" w:rsidR="00123DAD" w:rsidRPr="004E0F93" w:rsidRDefault="009B707C" w:rsidP="004E0F93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sectPr w:rsidR="00123DAD" w:rsidRPr="004E0F93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0F93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026B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616</Words>
  <Characters>3967</Characters>
  <Application>Microsoft Office Word</Application>
  <DocSecurity>0</DocSecurity>
  <Lines>72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172</cp:revision>
  <cp:lastPrinted>2020-04-09T21:30:00Z</cp:lastPrinted>
  <dcterms:created xsi:type="dcterms:W3CDTF">2024-01-09T19:18:00Z</dcterms:created>
  <dcterms:modified xsi:type="dcterms:W3CDTF">2025-06-01T01:39:00Z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