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Delightfully Dipped Controls and compliance Audit</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7">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9">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B">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C">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b w:val="1"/>
          <w:color w:val="000000"/>
          <w:sz w:val="26"/>
          <w:szCs w:val="26"/>
          <w:u w:val="single"/>
        </w:rPr>
      </w:pPr>
      <w:bookmarkStart w:colFirst="0" w:colLast="0" w:name="_le9rwvevep10" w:id="1"/>
      <w:bookmarkEnd w:id="1"/>
      <w:r w:rsidDel="00000000" w:rsidR="00000000" w:rsidRPr="00000000">
        <w:rPr>
          <w:b w:val="1"/>
          <w:color w:val="000000"/>
          <w:sz w:val="26"/>
          <w:szCs w:val="26"/>
          <w:u w:val="single"/>
          <w:rtl w:val="0"/>
        </w:rPr>
        <w:t xml:space="preserve">Recommendations</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utub3mnl4epi" w:id="2"/>
      <w:bookmarkEnd w:id="2"/>
      <w:r w:rsidDel="00000000" w:rsidR="00000000" w:rsidRPr="00000000">
        <w:rPr>
          <w:b w:val="1"/>
          <w:color w:val="000000"/>
          <w:sz w:val="26"/>
          <w:szCs w:val="26"/>
          <w:rtl w:val="0"/>
        </w:rPr>
        <w:t xml:space="preserve">Controls Assessment Recommendations</w:t>
      </w:r>
    </w:p>
    <w:p w:rsidR="00000000" w:rsidDel="00000000" w:rsidP="00000000" w:rsidRDefault="00000000" w:rsidRPr="00000000" w14:paraId="0000006F">
      <w:pPr>
        <w:spacing w:after="240" w:before="240" w:lineRule="auto"/>
        <w:rPr/>
      </w:pPr>
      <w:r w:rsidDel="00000000" w:rsidR="00000000" w:rsidRPr="00000000">
        <w:rPr>
          <w:rtl w:val="0"/>
        </w:rPr>
        <w:t xml:space="preserve">Ensure all users have minimum necessary access, regularly update permissions, and implement comprehensive disaster recovery plans. Enforce robust password policies and multi-factor authentication. Establish clear separation of duties, configure and update firewalls, and deploy an intrusion detection system. Implement regular backups, deploy up-to-date antivirus software, and manually monitor legacy systems. Use encryption for sensitive data and a password management system, and maintain physical security measures including locks, CCTV surveillance, and fire detection systems.</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fuxgjurjla40" w:id="3"/>
      <w:bookmarkEnd w:id="3"/>
      <w:r w:rsidDel="00000000" w:rsidR="00000000" w:rsidRPr="00000000">
        <w:rPr>
          <w:b w:val="1"/>
          <w:color w:val="000000"/>
          <w:sz w:val="26"/>
          <w:szCs w:val="26"/>
          <w:rtl w:val="0"/>
        </w:rPr>
        <w:t xml:space="preserve">Compliance Recommendations</w:t>
      </w:r>
    </w:p>
    <w:p w:rsidR="00000000" w:rsidDel="00000000" w:rsidP="00000000" w:rsidRDefault="00000000" w:rsidRPr="00000000" w14:paraId="00000071">
      <w:pPr>
        <w:spacing w:after="240" w:before="240" w:lineRule="auto"/>
        <w:rPr/>
      </w:pPr>
      <w:r w:rsidDel="00000000" w:rsidR="00000000" w:rsidRPr="00000000">
        <w:rPr>
          <w:rtl w:val="0"/>
        </w:rPr>
        <w:t xml:space="preserve">Authorize only necessary access to credit card information, secure storage and processing environments, and implement data encryption for PCI DSS compliance. Enforce secure password management and ensure E.U. customer data privacy with a breach notification plan as per GDPR. Classify and inventory data accurately, and enforce comprehensive privacy policies. Establish user access policies, ensure data confidentiality and integrity, and maintain data availability to comply with SOC standards.</w:t>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