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A3455" w14:textId="785483E2" w:rsidR="00B245CF" w:rsidRPr="00384ED2" w:rsidRDefault="00CC1D34" w:rsidP="00F3589D">
      <w:pPr>
        <w:rPr>
          <w:rFonts w:ascii="Times New Roman" w:hAnsi="Times New Roman" w:cs="Times New Roman"/>
          <w:b/>
          <w:bCs/>
        </w:rPr>
      </w:pPr>
      <w:r w:rsidRPr="00384ED2">
        <w:rPr>
          <w:rFonts w:ascii="Times New Roman" w:hAnsi="Times New Roman" w:cs="Times New Roman"/>
          <w:b/>
          <w:bCs/>
        </w:rPr>
        <w:t>Figure captions</w:t>
      </w:r>
    </w:p>
    <w:p w14:paraId="0ADD51D4" w14:textId="77777777" w:rsidR="00CC1D34" w:rsidRPr="00384ED2" w:rsidRDefault="00CC1D34" w:rsidP="00F3589D">
      <w:pPr>
        <w:rPr>
          <w:rFonts w:ascii="Times New Roman" w:hAnsi="Times New Roman" w:cs="Times New Roman"/>
        </w:rPr>
      </w:pPr>
    </w:p>
    <w:p w14:paraId="720D28E5" w14:textId="5F4073ED" w:rsidR="00CC1D34" w:rsidRPr="00384ED2" w:rsidRDefault="008E5A52" w:rsidP="00F3589D">
      <w:pPr>
        <w:rPr>
          <w:rFonts w:ascii="Times New Roman" w:hAnsi="Times New Roman" w:cs="Times New Roman"/>
        </w:rPr>
      </w:pPr>
      <w:r w:rsidRPr="00384ED2">
        <w:rPr>
          <w:rStyle w:val="Strong"/>
          <w:rFonts w:ascii="Times New Roman" w:hAnsi="Times New Roman" w:cs="Times New Roman"/>
        </w:rPr>
        <w:t>Figure 1. Global relationship between precipitation and leaf wax hydrogen isotopes.</w:t>
      </w:r>
      <w:r w:rsidRPr="00384ED2">
        <w:rPr>
          <w:rFonts w:ascii="Times New Roman" w:hAnsi="Times New Roman" w:cs="Times New Roman"/>
        </w:rPr>
        <w:t xml:space="preserve"> Ordinary least squares regression of δ</w:t>
      </w:r>
      <w:r w:rsidR="008B4537" w:rsidRPr="008B4537">
        <w:rPr>
          <w:rFonts w:ascii="Times New Roman" w:hAnsi="Times New Roman" w:cs="Times New Roman"/>
          <w:vertAlign w:val="superscript"/>
        </w:rPr>
        <w:t>2</w:t>
      </w:r>
      <w:r w:rsidRPr="00384ED2">
        <w:rPr>
          <w:rFonts w:ascii="Times New Roman" w:hAnsi="Times New Roman" w:cs="Times New Roman"/>
        </w:rPr>
        <w:t>H</w:t>
      </w:r>
      <w:r w:rsidRPr="00384ED2">
        <w:rPr>
          <w:rFonts w:ascii="Times New Roman" w:hAnsi="Times New Roman" w:cs="Times New Roman"/>
          <w:vertAlign w:val="subscript"/>
        </w:rPr>
        <w:t>wax</w:t>
      </w:r>
      <w:r w:rsidRPr="00384ED2">
        <w:rPr>
          <w:rFonts w:ascii="Times New Roman" w:hAnsi="Times New Roman" w:cs="Times New Roman"/>
        </w:rPr>
        <w:t xml:space="preserve"> against </w:t>
      </w:r>
      <w:r w:rsidR="008B4537" w:rsidRPr="00384ED2">
        <w:rPr>
          <w:rFonts w:ascii="Times New Roman" w:hAnsi="Times New Roman" w:cs="Times New Roman"/>
        </w:rPr>
        <w:t>δ</w:t>
      </w:r>
      <w:r w:rsidR="008B4537" w:rsidRPr="008B4537">
        <w:rPr>
          <w:rFonts w:ascii="Times New Roman" w:hAnsi="Times New Roman" w:cs="Times New Roman"/>
          <w:vertAlign w:val="superscript"/>
        </w:rPr>
        <w:t>2</w:t>
      </w:r>
      <w:r w:rsidR="008B4537" w:rsidRPr="00384ED2">
        <w:rPr>
          <w:rFonts w:ascii="Times New Roman" w:hAnsi="Times New Roman" w:cs="Times New Roman"/>
        </w:rPr>
        <w:t>H</w:t>
      </w:r>
      <w:r w:rsidRPr="00384ED2">
        <w:rPr>
          <w:rFonts w:ascii="Times New Roman" w:hAnsi="Times New Roman" w:cs="Times New Roman"/>
          <w:vertAlign w:val="subscript"/>
        </w:rPr>
        <w:t xml:space="preserve">precip </w:t>
      </w:r>
      <w:r w:rsidRPr="00384ED2">
        <w:rPr>
          <w:rFonts w:ascii="Times New Roman" w:hAnsi="Times New Roman" w:cs="Times New Roman"/>
        </w:rPr>
        <w:t xml:space="preserve">using point values (n = 818 sediment samples). The linear relationship (y = -126.9 + 0.802x) explains 65.3% of variance (R² = 0.653, RMSE = 22.8‰). Shaded region represents 95% confidence interval. </w:t>
      </w:r>
    </w:p>
    <w:p w14:paraId="39B9DA34" w14:textId="77777777" w:rsidR="008E5A52" w:rsidRPr="00384ED2" w:rsidRDefault="008E5A52" w:rsidP="00F3589D">
      <w:pPr>
        <w:rPr>
          <w:rFonts w:ascii="Times New Roman" w:hAnsi="Times New Roman" w:cs="Times New Roman"/>
        </w:rPr>
      </w:pPr>
    </w:p>
    <w:p w14:paraId="61F5A17F" w14:textId="60A7FA8F" w:rsidR="00A644E7" w:rsidRPr="00384ED2" w:rsidRDefault="008E5A52" w:rsidP="00F3589D">
      <w:pPr>
        <w:rPr>
          <w:rFonts w:ascii="Times New Roman" w:hAnsi="Times New Roman" w:cs="Times New Roman"/>
        </w:rPr>
      </w:pPr>
      <w:r w:rsidRPr="00384ED2">
        <w:rPr>
          <w:rStyle w:val="Strong"/>
          <w:rFonts w:ascii="Times New Roman" w:hAnsi="Times New Roman" w:cs="Times New Roman"/>
        </w:rPr>
        <w:t>Figure 2. Global distribution of sediment samples and environmental variables.</w:t>
      </w:r>
      <w:r w:rsidRPr="00384ED2">
        <w:rPr>
          <w:rFonts w:ascii="Times New Roman" w:hAnsi="Times New Roman" w:cs="Times New Roman"/>
        </w:rPr>
        <w:t xml:space="preserve"> (A) δ²H</w:t>
      </w:r>
      <w:r w:rsidR="00AF22FA" w:rsidRPr="00384ED2">
        <w:rPr>
          <w:rFonts w:ascii="Times New Roman" w:hAnsi="Times New Roman" w:cs="Times New Roman"/>
          <w:vertAlign w:val="subscript"/>
        </w:rPr>
        <w:t>precip</w:t>
      </w:r>
      <w:r w:rsidRPr="00384ED2">
        <w:rPr>
          <w:rFonts w:ascii="Times New Roman" w:hAnsi="Times New Roman" w:cs="Times New Roman"/>
        </w:rPr>
        <w:t xml:space="preserve"> (OIPC), (B) Annual precipitation, (C) Maximum temperature, (D) Vapor pressure deficit, (E) Soil moisture, (F) Elevation, (G) C₄ vegetation fraction, and (H) Plant functional type. Red points show the 818 sediment sample locations used in this study. Environmental data are extracted at sediment locations from global gridded datasets (see Me</w:t>
      </w:r>
      <w:r w:rsidR="00AF22FA" w:rsidRPr="00384ED2">
        <w:rPr>
          <w:rFonts w:ascii="Times New Roman" w:hAnsi="Times New Roman" w:cs="Times New Roman"/>
        </w:rPr>
        <w:t>thods). Red points indicate calibration sample locations.</w:t>
      </w:r>
    </w:p>
    <w:p w14:paraId="0D6C29DD" w14:textId="47CAD3B3" w:rsidR="00167207" w:rsidRPr="00384ED2" w:rsidRDefault="00167207" w:rsidP="008B4537">
      <w:pPr>
        <w:pStyle w:val="p1"/>
      </w:pPr>
      <w:r w:rsidRPr="00384ED2">
        <w:rPr>
          <w:rStyle w:val="Strong"/>
          <w:rFonts w:eastAsiaTheme="majorEastAsia"/>
        </w:rPr>
        <w:t>Figure 3. Spatial confounding inflates the apparent δ²Hwax-δ²Hprecip relationship</w:t>
      </w:r>
      <w:r w:rsidR="00AE3A8E">
        <w:t xml:space="preserve">. </w:t>
      </w:r>
      <w:r w:rsidR="00AE3A8E">
        <w:t xml:space="preserve">(A) Non-spatial regression of </w:t>
      </w:r>
      <w:r w:rsidR="00DF7226" w:rsidRPr="00384ED2">
        <w:t>δ</w:t>
      </w:r>
      <w:r w:rsidR="00DF7226" w:rsidRPr="008B4537">
        <w:rPr>
          <w:vertAlign w:val="superscript"/>
        </w:rPr>
        <w:t>2</w:t>
      </w:r>
      <w:r w:rsidR="00DF7226" w:rsidRPr="00384ED2">
        <w:t>H</w:t>
      </w:r>
      <w:r w:rsidR="00DF7226" w:rsidRPr="00384ED2">
        <w:rPr>
          <w:vertAlign w:val="subscript"/>
        </w:rPr>
        <w:t>wax</w:t>
      </w:r>
      <w:r w:rsidR="00AE3A8E">
        <w:t xml:space="preserve"> against </w:t>
      </w:r>
      <w:r w:rsidR="00DF7226" w:rsidRPr="00384ED2">
        <w:t>δ</w:t>
      </w:r>
      <w:r w:rsidR="00DF7226" w:rsidRPr="008B4537">
        <w:rPr>
          <w:vertAlign w:val="superscript"/>
        </w:rPr>
        <w:t>2</w:t>
      </w:r>
      <w:r w:rsidR="00DF7226" w:rsidRPr="00384ED2">
        <w:t>H</w:t>
      </w:r>
      <w:r w:rsidR="00DF7226" w:rsidRPr="00384ED2">
        <w:rPr>
          <w:vertAlign w:val="subscript"/>
        </w:rPr>
        <w:t>precip</w:t>
      </w:r>
      <w:r w:rsidR="00DF7226">
        <w:t xml:space="preserve"> </w:t>
      </w:r>
      <w:r w:rsidR="00AE3A8E">
        <w:t>(slope = 0.82, 95% CI: 0.79–0.86) showing an artificially steep relationship driven by continental-scale geographic covariation. Points are colored by continent, highlighting regional clustering. (B) Spatially adjusted regression after removing Gaussian-process spatial effects (</w:t>
      </w:r>
      <w:r w:rsidR="008C4A5D" w:rsidRPr="00384ED2">
        <w:t>δ</w:t>
      </w:r>
      <w:r w:rsidR="008C4A5D" w:rsidRPr="008B4537">
        <w:rPr>
          <w:vertAlign w:val="superscript"/>
        </w:rPr>
        <w:t>2</w:t>
      </w:r>
      <w:r w:rsidR="008C4A5D" w:rsidRPr="00384ED2">
        <w:t>H</w:t>
      </w:r>
      <w:r w:rsidR="008C4A5D" w:rsidRPr="00384ED2">
        <w:rPr>
          <w:vertAlign w:val="subscript"/>
        </w:rPr>
        <w:t>wax</w:t>
      </w:r>
      <w:r w:rsidR="008C4A5D">
        <w:rPr>
          <w:vertAlign w:val="subscript"/>
        </w:rPr>
        <w:t>, adj</w:t>
      </w:r>
      <w:r w:rsidR="00AE3A8E">
        <w:t xml:space="preserve"> = </w:t>
      </w:r>
      <w:r w:rsidR="008C4A5D" w:rsidRPr="00384ED2">
        <w:t>δ</w:t>
      </w:r>
      <w:r w:rsidR="008C4A5D" w:rsidRPr="008B4537">
        <w:rPr>
          <w:vertAlign w:val="superscript"/>
        </w:rPr>
        <w:t>2</w:t>
      </w:r>
      <w:r w:rsidR="008C4A5D" w:rsidRPr="00384ED2">
        <w:t>H</w:t>
      </w:r>
      <w:r w:rsidR="008C4A5D" w:rsidRPr="00384ED2">
        <w:rPr>
          <w:vertAlign w:val="subscript"/>
        </w:rPr>
        <w:t>wax</w:t>
      </w:r>
      <w:r w:rsidR="008C4A5D">
        <w:rPr>
          <w:vertAlign w:val="subscript"/>
        </w:rPr>
        <w:t xml:space="preserve">, </w:t>
      </w:r>
      <w:r w:rsidR="008C4A5D">
        <w:rPr>
          <w:vertAlign w:val="subscript"/>
        </w:rPr>
        <w:t>obs</w:t>
      </w:r>
      <w:r w:rsidR="008C4A5D">
        <w:t xml:space="preserve"> </w:t>
      </w:r>
      <w:r w:rsidR="00AE3A8E">
        <w:t>– α</w:t>
      </w:r>
      <w:r w:rsidR="00AE3A8E" w:rsidRPr="008C4A5D">
        <w:rPr>
          <w:vertAlign w:val="subscript"/>
        </w:rPr>
        <w:t>spatial</w:t>
      </w:r>
      <w:r w:rsidR="00AE3A8E">
        <w:t xml:space="preserve">(s), where </w:t>
      </w:r>
      <w:r w:rsidR="008C4A5D">
        <w:t>α</w:t>
      </w:r>
      <w:r w:rsidR="008C4A5D" w:rsidRPr="008C4A5D">
        <w:rPr>
          <w:vertAlign w:val="subscript"/>
        </w:rPr>
        <w:t>spatial</w:t>
      </w:r>
      <w:r w:rsidR="008C4A5D">
        <w:t>(s)</w:t>
      </w:r>
      <w:r w:rsidR="008C4A5D">
        <w:t xml:space="preserve"> </w:t>
      </w:r>
      <w:r w:rsidR="00AE3A8E">
        <w:t>= β</w:t>
      </w:r>
      <w:r w:rsidR="008C4A5D" w:rsidRPr="008C4A5D">
        <w:rPr>
          <w:vertAlign w:val="subscript"/>
        </w:rPr>
        <w:t>0</w:t>
      </w:r>
      <w:r w:rsidR="00AE3A8E">
        <w:t>(s) + β</w:t>
      </w:r>
      <w:r w:rsidR="00AE3A8E" w:rsidRPr="008C4A5D">
        <w:rPr>
          <w:vertAlign w:val="subscript"/>
        </w:rPr>
        <w:t>OIPC</w:t>
      </w:r>
      <w:r w:rsidR="00AE3A8E">
        <w:t xml:space="preserve">(s) × </w:t>
      </w:r>
      <w:r w:rsidR="008C4A5D" w:rsidRPr="00384ED2">
        <w:t>δ</w:t>
      </w:r>
      <w:r w:rsidR="008C4A5D" w:rsidRPr="008B4537">
        <w:rPr>
          <w:vertAlign w:val="superscript"/>
        </w:rPr>
        <w:t>2</w:t>
      </w:r>
      <w:r w:rsidR="008C4A5D" w:rsidRPr="00384ED2">
        <w:t>H</w:t>
      </w:r>
      <w:r w:rsidR="008C4A5D" w:rsidRPr="00384ED2">
        <w:rPr>
          <w:vertAlign w:val="subscript"/>
        </w:rPr>
        <w:t>precip</w:t>
      </w:r>
      <w:r w:rsidR="00AE3A8E">
        <w:t xml:space="preserve">). The spatial model yields a flatter relationship (slope = 0.61, 95% CI: 0.52–0.72), representing the underlying isotopic fractionation </w:t>
      </w:r>
      <w:r w:rsidR="00914DE0">
        <w:t>after accounting for</w:t>
      </w:r>
      <w:r w:rsidR="00AE3A8E">
        <w:t xml:space="preserve"> regional baseline offsets.</w:t>
      </w:r>
    </w:p>
    <w:p w14:paraId="13BFB928" w14:textId="7921247B" w:rsidR="00A644E7" w:rsidRPr="00384ED2" w:rsidRDefault="00A644E7" w:rsidP="00F3589D">
      <w:pPr>
        <w:rPr>
          <w:rFonts w:ascii="Times New Roman" w:hAnsi="Times New Roman" w:cs="Times New Roman"/>
        </w:rPr>
      </w:pPr>
      <w:r w:rsidRPr="00384ED2">
        <w:rPr>
          <w:rStyle w:val="Strong"/>
          <w:rFonts w:ascii="Times New Roman" w:hAnsi="Times New Roman" w:cs="Times New Roman"/>
        </w:rPr>
        <w:t xml:space="preserve">Figure </w:t>
      </w:r>
      <w:r w:rsidR="00384ED2" w:rsidRPr="00384ED2">
        <w:rPr>
          <w:rStyle w:val="Strong"/>
          <w:rFonts w:ascii="Times New Roman" w:hAnsi="Times New Roman" w:cs="Times New Roman"/>
        </w:rPr>
        <w:t>4</w:t>
      </w:r>
      <w:r w:rsidRPr="00384ED2">
        <w:rPr>
          <w:rStyle w:val="Strong"/>
          <w:rFonts w:ascii="Times New Roman" w:hAnsi="Times New Roman" w:cs="Times New Roman"/>
        </w:rPr>
        <w:t>. Geographic patterns of spatially varying model parameters.</w:t>
      </w:r>
      <w:r w:rsidRPr="00384ED2">
        <w:rPr>
          <w:rFonts w:ascii="Times New Roman" w:hAnsi="Times New Roman" w:cs="Times New Roman"/>
        </w:rPr>
        <w:t xml:space="preserve"> Posterior mean estimates from the </w:t>
      </w:r>
      <w:proofErr w:type="spellStart"/>
      <w:r w:rsidRPr="00384ED2">
        <w:rPr>
          <w:rFonts w:ascii="Times New Roman" w:hAnsi="Times New Roman" w:cs="Times New Roman"/>
        </w:rPr>
        <w:t>full_sp</w:t>
      </w:r>
      <w:proofErr w:type="spellEnd"/>
      <w:r w:rsidRPr="00384ED2">
        <w:rPr>
          <w:rFonts w:ascii="Times New Roman" w:hAnsi="Times New Roman" w:cs="Times New Roman"/>
        </w:rPr>
        <w:t xml:space="preserve"> model showing (A) spatially varying intercepts (</w:t>
      </w:r>
      <w:r w:rsidR="00A20EE1" w:rsidRPr="00384ED2">
        <w:rPr>
          <w:rFonts w:ascii="Times New Roman" w:hAnsi="Times New Roman" w:cs="Times New Roman"/>
        </w:rPr>
        <w:t>β</w:t>
      </w:r>
      <w:r w:rsidR="00A20EE1" w:rsidRPr="00384ED2">
        <w:rPr>
          <w:rFonts w:ascii="Times New Roman" w:hAnsi="Times New Roman" w:cs="Times New Roman"/>
          <w:vertAlign w:val="subscript"/>
        </w:rPr>
        <w:t>0</w:t>
      </w:r>
      <w:r w:rsidRPr="00384ED2">
        <w:rPr>
          <w:rFonts w:ascii="Times New Roman" w:hAnsi="Times New Roman" w:cs="Times New Roman"/>
        </w:rPr>
        <w:t>) representing location-specific baseline δ²H</w:t>
      </w:r>
      <w:r w:rsidRPr="00384ED2">
        <w:rPr>
          <w:rFonts w:ascii="Times New Roman" w:hAnsi="Times New Roman" w:cs="Times New Roman"/>
          <w:vertAlign w:val="subscript"/>
        </w:rPr>
        <w:t>wax</w:t>
      </w:r>
      <w:r w:rsidRPr="00384ED2">
        <w:rPr>
          <w:rFonts w:ascii="Times New Roman" w:hAnsi="Times New Roman" w:cs="Times New Roman"/>
        </w:rPr>
        <w:t xml:space="preserve"> values, and (B) spatially varying slopes (β</w:t>
      </w:r>
      <w:r w:rsidRPr="00384ED2">
        <w:rPr>
          <w:rFonts w:ascii="Times New Roman" w:hAnsi="Times New Roman" w:cs="Times New Roman"/>
          <w:vertAlign w:val="subscript"/>
        </w:rPr>
        <w:t>O</w:t>
      </w:r>
      <w:r w:rsidR="00A20EE1" w:rsidRPr="00384ED2">
        <w:rPr>
          <w:rFonts w:ascii="Times New Roman" w:hAnsi="Times New Roman" w:cs="Times New Roman"/>
          <w:vertAlign w:val="subscript"/>
        </w:rPr>
        <w:t>I</w:t>
      </w:r>
      <w:r w:rsidRPr="00384ED2">
        <w:rPr>
          <w:rFonts w:ascii="Times New Roman" w:hAnsi="Times New Roman" w:cs="Times New Roman"/>
          <w:vertAlign w:val="subscript"/>
        </w:rPr>
        <w:t>PC</w:t>
      </w:r>
      <w:r w:rsidRPr="00384ED2">
        <w:rPr>
          <w:rFonts w:ascii="Times New Roman" w:hAnsi="Times New Roman" w:cs="Times New Roman"/>
        </w:rPr>
        <w:t>) representing location-specific sensitivity of δ²H</w:t>
      </w:r>
      <w:r w:rsidRPr="00384ED2">
        <w:rPr>
          <w:rFonts w:ascii="Times New Roman" w:hAnsi="Times New Roman" w:cs="Times New Roman"/>
          <w:vertAlign w:val="subscript"/>
        </w:rPr>
        <w:t>wax</w:t>
      </w:r>
      <w:r w:rsidRPr="00384ED2">
        <w:rPr>
          <w:rFonts w:ascii="Times New Roman" w:hAnsi="Times New Roman" w:cs="Times New Roman"/>
        </w:rPr>
        <w:t xml:space="preserve"> to δ²H</w:t>
      </w:r>
      <w:r w:rsidRPr="00384ED2">
        <w:rPr>
          <w:rFonts w:ascii="Times New Roman" w:hAnsi="Times New Roman" w:cs="Times New Roman"/>
          <w:vertAlign w:val="subscript"/>
        </w:rPr>
        <w:t>precip</w:t>
      </w:r>
      <w:r w:rsidRPr="00384ED2">
        <w:rPr>
          <w:rFonts w:ascii="Times New Roman" w:hAnsi="Times New Roman" w:cs="Times New Roman"/>
        </w:rPr>
        <w:t>. Black crosses indicate knot locations; colors represent interpolated values between knots.</w:t>
      </w:r>
    </w:p>
    <w:p w14:paraId="4C4CEB1D" w14:textId="77777777" w:rsidR="0038270E" w:rsidRPr="00384ED2" w:rsidRDefault="0038270E" w:rsidP="00F3589D">
      <w:pPr>
        <w:rPr>
          <w:rFonts w:ascii="Times New Roman" w:hAnsi="Times New Roman" w:cs="Times New Roman"/>
        </w:rPr>
      </w:pPr>
    </w:p>
    <w:p w14:paraId="7CE592E2" w14:textId="0F47A77A" w:rsidR="00A4400E" w:rsidRPr="00384ED2" w:rsidRDefault="00382A58" w:rsidP="00F3589D">
      <w:pPr>
        <w:rPr>
          <w:rFonts w:ascii="Times New Roman" w:hAnsi="Times New Roman" w:cs="Times New Roman"/>
        </w:rPr>
      </w:pPr>
      <w:r w:rsidRPr="00384ED2">
        <w:rPr>
          <w:rFonts w:ascii="Times New Roman" w:hAnsi="Times New Roman" w:cs="Times New Roman"/>
          <w:b/>
          <w:bCs/>
        </w:rPr>
        <w:t xml:space="preserve">Figure </w:t>
      </w:r>
      <w:r w:rsidR="00384ED2" w:rsidRPr="00384ED2">
        <w:rPr>
          <w:rFonts w:ascii="Times New Roman" w:hAnsi="Times New Roman" w:cs="Times New Roman"/>
          <w:b/>
          <w:bCs/>
        </w:rPr>
        <w:t>5</w:t>
      </w:r>
      <w:r w:rsidRPr="00384ED2">
        <w:rPr>
          <w:rFonts w:ascii="Times New Roman" w:hAnsi="Times New Roman" w:cs="Times New Roman"/>
          <w:b/>
          <w:bCs/>
        </w:rPr>
        <w:t>. Detection thresholds for identifying shifts in leaf wax δ²H values.</w:t>
      </w:r>
      <w:r w:rsidRPr="00384ED2">
        <w:rPr>
          <w:rFonts w:ascii="Times New Roman" w:hAnsi="Times New Roman" w:cs="Times New Roman"/>
        </w:rPr>
        <w:t xml:space="preserve"> </w:t>
      </w:r>
      <w:r w:rsidR="00E161D7" w:rsidRPr="00384ED2">
        <w:rPr>
          <w:rFonts w:ascii="Times New Roman" w:hAnsi="Times New Roman" w:cs="Times New Roman"/>
        </w:rPr>
        <w:t>Minimum detectable difference (‰) versus confidence level for varying spatial autocorrelation (ρ). Solid lines show the spatial model; dotted lines show non-spatial model predictions. At 95% confidence, detection thresholds range from ~17‰ (spatial model, ρ = 0.9) to ~77‰ (non-spatial model, ρ = 0). Spatial models consistently outperform non-spatial models across all autocorrelation levels, with the greatest improvement at low autocorrelation. Higher spatial autocorrelation reduces detection thresholds in both model types.</w:t>
      </w:r>
    </w:p>
    <w:p w14:paraId="190756D1" w14:textId="77777777" w:rsidR="008E5A52" w:rsidRPr="00384ED2" w:rsidRDefault="008E5A52" w:rsidP="00F3589D">
      <w:pPr>
        <w:rPr>
          <w:rFonts w:ascii="Times New Roman" w:hAnsi="Times New Roman" w:cs="Times New Roman"/>
        </w:rPr>
      </w:pPr>
    </w:p>
    <w:p w14:paraId="5944263F" w14:textId="77777777" w:rsidR="00813339" w:rsidRDefault="00813339">
      <w:pPr>
        <w:rPr>
          <w:rStyle w:val="Strong"/>
          <w:rFonts w:ascii="Times New Roman" w:hAnsi="Times New Roman" w:cs="Times New Roman"/>
        </w:rPr>
      </w:pPr>
      <w:r>
        <w:rPr>
          <w:rStyle w:val="Strong"/>
          <w:rFonts w:ascii="Times New Roman" w:hAnsi="Times New Roman" w:cs="Times New Roman"/>
        </w:rPr>
        <w:br w:type="page"/>
      </w:r>
    </w:p>
    <w:p w14:paraId="441C2141" w14:textId="7FFACD3C" w:rsidR="00930EBF" w:rsidRPr="00384ED2" w:rsidRDefault="00930EBF" w:rsidP="00930EBF">
      <w:pPr>
        <w:rPr>
          <w:rFonts w:ascii="Times New Roman" w:hAnsi="Times New Roman" w:cs="Times New Roman"/>
          <w:b/>
          <w:bCs/>
        </w:rPr>
      </w:pPr>
      <w:r>
        <w:rPr>
          <w:rFonts w:ascii="Times New Roman" w:hAnsi="Times New Roman" w:cs="Times New Roman"/>
          <w:b/>
          <w:bCs/>
        </w:rPr>
        <w:lastRenderedPageBreak/>
        <w:t xml:space="preserve">Supplementary </w:t>
      </w:r>
      <w:r w:rsidRPr="00384ED2">
        <w:rPr>
          <w:rFonts w:ascii="Times New Roman" w:hAnsi="Times New Roman" w:cs="Times New Roman"/>
          <w:b/>
          <w:bCs/>
        </w:rPr>
        <w:t>Figure captions</w:t>
      </w:r>
    </w:p>
    <w:p w14:paraId="278F5614" w14:textId="77777777" w:rsidR="00930EBF" w:rsidRDefault="00930EBF" w:rsidP="00F3589D">
      <w:pPr>
        <w:rPr>
          <w:rStyle w:val="Strong"/>
          <w:rFonts w:ascii="Times New Roman" w:hAnsi="Times New Roman" w:cs="Times New Roman"/>
        </w:rPr>
      </w:pPr>
    </w:p>
    <w:p w14:paraId="3D66601C" w14:textId="063482EC" w:rsidR="008E5A52" w:rsidRPr="00384ED2" w:rsidRDefault="008E5A52" w:rsidP="00F3589D">
      <w:pPr>
        <w:rPr>
          <w:rFonts w:ascii="Times New Roman" w:hAnsi="Times New Roman" w:cs="Times New Roman"/>
        </w:rPr>
      </w:pPr>
      <w:r w:rsidRPr="00384ED2">
        <w:rPr>
          <w:rStyle w:val="Strong"/>
          <w:rFonts w:ascii="Times New Roman" w:hAnsi="Times New Roman" w:cs="Times New Roman"/>
        </w:rPr>
        <w:t>Figure S1. Spatial weighting scheme for addressing spatial autocorrelation.</w:t>
      </w:r>
      <w:r w:rsidRPr="00384ED2">
        <w:rPr>
          <w:rFonts w:ascii="Times New Roman" w:hAnsi="Times New Roman" w:cs="Times New Roman"/>
        </w:rPr>
        <w:t xml:space="preserve"> (A) Exponential decay kernels showing how observation weights decline with distance for different integration scales (λ). The horizontal dashed line indicates w = 0.37 (1/e), showing the distance at which weights have decayed to ~37% of their maximum value. (B) Example spatial weight fields centered on a site in the central United States for three different integration scales (λ = 20, 70, and 300 km). Warmer colors indicate higher weights. </w:t>
      </w:r>
    </w:p>
    <w:p w14:paraId="083D1AB2" w14:textId="77777777" w:rsidR="008E5A52" w:rsidRPr="00384ED2" w:rsidRDefault="008E5A52" w:rsidP="00F3589D">
      <w:pPr>
        <w:rPr>
          <w:rFonts w:ascii="Times New Roman" w:hAnsi="Times New Roman" w:cs="Times New Roman"/>
        </w:rPr>
      </w:pPr>
    </w:p>
    <w:p w14:paraId="4B6999A3" w14:textId="5457BB27" w:rsidR="008E5A52" w:rsidRPr="00384ED2" w:rsidRDefault="008E5A52" w:rsidP="00F3589D">
      <w:pPr>
        <w:rPr>
          <w:rFonts w:ascii="Times New Roman" w:hAnsi="Times New Roman" w:cs="Times New Roman"/>
        </w:rPr>
      </w:pPr>
      <w:r w:rsidRPr="00384ED2">
        <w:rPr>
          <w:rStyle w:val="Strong"/>
          <w:rFonts w:ascii="Times New Roman" w:hAnsi="Times New Roman" w:cs="Times New Roman"/>
        </w:rPr>
        <w:t>Figure S2. Pairwise correlations among environmental predictors and response variable.</w:t>
      </w:r>
      <w:r w:rsidRPr="00384ED2">
        <w:rPr>
          <w:rFonts w:ascii="Times New Roman" w:hAnsi="Times New Roman" w:cs="Times New Roman"/>
        </w:rPr>
        <w:t xml:space="preserve"> Correlation matrix showing Pearson correlation coefficients between all variables before multicollinearity filtering. Strong correlations (|r| &gt; 0.7) are observed between δ²H</w:t>
      </w:r>
      <w:r w:rsidRPr="00384ED2">
        <w:rPr>
          <w:rFonts w:ascii="Times New Roman" w:hAnsi="Times New Roman" w:cs="Times New Roman"/>
          <w:vertAlign w:val="subscript"/>
        </w:rPr>
        <w:t>wax</w:t>
      </w:r>
      <w:r w:rsidRPr="00384ED2">
        <w:rPr>
          <w:rFonts w:ascii="Times New Roman" w:hAnsi="Times New Roman" w:cs="Times New Roman"/>
        </w:rPr>
        <w:t xml:space="preserve"> and several climate variables (OIPC δ²H</w:t>
      </w:r>
      <w:r w:rsidR="00143959" w:rsidRPr="00384ED2">
        <w:rPr>
          <w:rFonts w:ascii="Times New Roman" w:hAnsi="Times New Roman" w:cs="Times New Roman"/>
          <w:vertAlign w:val="subscript"/>
        </w:rPr>
        <w:t>precip</w:t>
      </w:r>
      <w:r w:rsidRPr="00384ED2">
        <w:rPr>
          <w:rFonts w:ascii="Times New Roman" w:hAnsi="Times New Roman" w:cs="Times New Roman"/>
        </w:rPr>
        <w:t>: r = 0.81; VPD: r = 0.74; max temperature: r = 0.69), and among climate variables themselves (e.g., VPD and max temperature: r = 0.86; annual precipitation and soil moisture: r = 0.84). Variables with high collinearity were excluded from final models to avoid multicollinearity issues (see Methods).</w:t>
      </w:r>
    </w:p>
    <w:p w14:paraId="7EAA2743" w14:textId="77777777" w:rsidR="008E5A52" w:rsidRPr="00384ED2" w:rsidRDefault="008E5A52" w:rsidP="00F3589D">
      <w:pPr>
        <w:rPr>
          <w:rFonts w:ascii="Times New Roman" w:hAnsi="Times New Roman" w:cs="Times New Roman"/>
        </w:rPr>
      </w:pPr>
    </w:p>
    <w:p w14:paraId="0B7C4EEF" w14:textId="644627C1" w:rsidR="008E5A52" w:rsidRPr="00384ED2" w:rsidRDefault="008E5A52" w:rsidP="00F3589D">
      <w:pPr>
        <w:rPr>
          <w:rFonts w:ascii="Times New Roman" w:hAnsi="Times New Roman" w:cs="Times New Roman"/>
        </w:rPr>
      </w:pPr>
      <w:r w:rsidRPr="00384ED2">
        <w:rPr>
          <w:rStyle w:val="Strong"/>
          <w:rFonts w:ascii="Times New Roman" w:hAnsi="Times New Roman" w:cs="Times New Roman"/>
        </w:rPr>
        <w:t>Figure S3. Spatial autocorrelation in OLS regression residuals.</w:t>
      </w:r>
      <w:r w:rsidRPr="00384ED2">
        <w:rPr>
          <w:rFonts w:ascii="Times New Roman" w:hAnsi="Times New Roman" w:cs="Times New Roman"/>
        </w:rPr>
        <w:t xml:space="preserve"> Map showing residuals from the ordinary least squares regression of δ²H_wax ~ δ²H_precip (Figure 1). Points are colored by residual magnitude (blue = negative residuals, red = positive residuals). Significant spatial autocorrelation is evident (Moran's I = 0.614, p &lt; 0.001; R² = 0.65), with clusters of similar residuals indicating that the non-spatial model fails to capture spatially structured variation. This motivates the use of spatial Gaussian process models to account for spatial autocorrelation.</w:t>
      </w:r>
    </w:p>
    <w:p w14:paraId="5FFD68A4" w14:textId="77777777" w:rsidR="008E5A52" w:rsidRPr="00384ED2" w:rsidRDefault="008E5A52" w:rsidP="00F3589D">
      <w:pPr>
        <w:rPr>
          <w:rFonts w:ascii="Times New Roman" w:hAnsi="Times New Roman" w:cs="Times New Roman"/>
        </w:rPr>
      </w:pPr>
    </w:p>
    <w:p w14:paraId="159E8DA3" w14:textId="1E8491ED" w:rsidR="008E5A52" w:rsidRPr="00384ED2" w:rsidRDefault="008E5A52" w:rsidP="00F3589D">
      <w:pPr>
        <w:rPr>
          <w:rFonts w:ascii="Times New Roman" w:hAnsi="Times New Roman" w:cs="Times New Roman"/>
        </w:rPr>
      </w:pPr>
      <w:r w:rsidRPr="00384ED2">
        <w:rPr>
          <w:rStyle w:val="Strong"/>
          <w:rFonts w:ascii="Times New Roman" w:hAnsi="Times New Roman" w:cs="Times New Roman"/>
        </w:rPr>
        <w:t>Figure S4. Optimization of spatial integration scale for weighted regression.</w:t>
      </w:r>
      <w:r w:rsidRPr="00384ED2">
        <w:rPr>
          <w:rFonts w:ascii="Times New Roman" w:hAnsi="Times New Roman" w:cs="Times New Roman"/>
        </w:rPr>
        <w:t xml:space="preserve"> Model performance (R²) as a function of spatial integration scale (λ) using exponentially weighted ordinary least squares regression. The red point indicates the optimal scale that maximizes R². Performance improves sharply from point values (λ = 0 km, R² = 0.653) to the optimal scale (R² = 0.701), then plateaus for larger scales. The gray dashed line shows λ = 10 km for reference. This analysis informed the choice of exponential decay weighting in the Gaussian process models.</w:t>
      </w:r>
    </w:p>
    <w:p w14:paraId="61C172EF" w14:textId="77777777" w:rsidR="00F35350" w:rsidRPr="00384ED2" w:rsidRDefault="00F35350" w:rsidP="00F3589D">
      <w:pPr>
        <w:rPr>
          <w:rFonts w:ascii="Times New Roman" w:hAnsi="Times New Roman" w:cs="Times New Roman"/>
        </w:rPr>
      </w:pPr>
    </w:p>
    <w:p w14:paraId="56CBBC08" w14:textId="24796BE0" w:rsidR="00F35350" w:rsidRPr="00384ED2" w:rsidRDefault="00F35350" w:rsidP="00F3589D">
      <w:pPr>
        <w:rPr>
          <w:rFonts w:ascii="Times New Roman" w:hAnsi="Times New Roman" w:cs="Times New Roman"/>
        </w:rPr>
      </w:pPr>
      <w:r w:rsidRPr="00384ED2">
        <w:rPr>
          <w:rStyle w:val="Strong"/>
          <w:rFonts w:ascii="Times New Roman" w:hAnsi="Times New Roman" w:cs="Times New Roman"/>
        </w:rPr>
        <w:t>Figure S5. Elevation effects across models.</w:t>
      </w:r>
      <w:r w:rsidRPr="00384ED2">
        <w:rPr>
          <w:rFonts w:ascii="Times New Roman" w:hAnsi="Times New Roman" w:cs="Times New Roman"/>
        </w:rPr>
        <w:t xml:space="preserve"> </w:t>
      </w:r>
      <w:r w:rsidR="009545FE" w:rsidRPr="00384ED2">
        <w:rPr>
          <w:rStyle w:val="Strong"/>
          <w:rFonts w:ascii="Times New Roman" w:hAnsi="Times New Roman" w:cs="Times New Roman"/>
        </w:rPr>
        <w:t>(A)</w:t>
      </w:r>
      <w:r w:rsidR="009545FE" w:rsidRPr="00384ED2">
        <w:rPr>
          <w:rFonts w:ascii="Times New Roman" w:hAnsi="Times New Roman" w:cs="Times New Roman"/>
        </w:rPr>
        <w:t xml:space="preserve"> </w:t>
      </w:r>
      <w:r w:rsidRPr="00384ED2">
        <w:rPr>
          <w:rFonts w:ascii="Times New Roman" w:hAnsi="Times New Roman" w:cs="Times New Roman"/>
        </w:rPr>
        <w:t>Estimated effect of elevation on δ²H</w:t>
      </w:r>
      <w:r w:rsidRPr="00384ED2">
        <w:rPr>
          <w:rFonts w:ascii="Times New Roman" w:hAnsi="Times New Roman" w:cs="Times New Roman"/>
          <w:vertAlign w:val="subscript"/>
        </w:rPr>
        <w:t>wax</w:t>
      </w:r>
      <w:r w:rsidRPr="00384ED2">
        <w:rPr>
          <w:rFonts w:ascii="Times New Roman" w:hAnsi="Times New Roman" w:cs="Times New Roman"/>
        </w:rPr>
        <w:t xml:space="preserve"> showing </w:t>
      </w:r>
      <w:r w:rsidR="008635DF" w:rsidRPr="00384ED2">
        <w:rPr>
          <w:rFonts w:ascii="Times New Roman" w:hAnsi="Times New Roman" w:cs="Times New Roman"/>
        </w:rPr>
        <w:t>flat effects in non-spatial models and depletion at higher elevations in spatial models</w:t>
      </w:r>
      <w:r w:rsidR="00192444" w:rsidRPr="00384ED2">
        <w:rPr>
          <w:rFonts w:ascii="Times New Roman" w:hAnsi="Times New Roman" w:cs="Times New Roman"/>
        </w:rPr>
        <w:t xml:space="preserve">. All effects are far smaller than uncertainty. </w:t>
      </w:r>
      <w:r w:rsidRPr="00384ED2">
        <w:rPr>
          <w:rStyle w:val="Strong"/>
          <w:rFonts w:ascii="Times New Roman" w:hAnsi="Times New Roman" w:cs="Times New Roman"/>
        </w:rPr>
        <w:t>(B)</w:t>
      </w:r>
      <w:r w:rsidRPr="00384ED2">
        <w:rPr>
          <w:rFonts w:ascii="Times New Roman" w:hAnsi="Times New Roman" w:cs="Times New Roman"/>
        </w:rPr>
        <w:t xml:space="preserve">. </w:t>
      </w:r>
      <w:r w:rsidR="009545FE" w:rsidRPr="00384ED2">
        <w:rPr>
          <w:rFonts w:ascii="Times New Roman" w:hAnsi="Times New Roman" w:cs="Times New Roman"/>
        </w:rPr>
        <w:t>Histogram of the number of samples at various elevations</w:t>
      </w:r>
      <w:r w:rsidR="00AC09C7" w:rsidRPr="00384ED2">
        <w:rPr>
          <w:rFonts w:ascii="Times New Roman" w:hAnsi="Times New Roman" w:cs="Times New Roman"/>
        </w:rPr>
        <w:t>.</w:t>
      </w:r>
      <w:r w:rsidRPr="00384ED2">
        <w:rPr>
          <w:rFonts w:ascii="Times New Roman" w:hAnsi="Times New Roman" w:cs="Times New Roman"/>
        </w:rPr>
        <w:t xml:space="preserve"> Bin width = 250 m.</w:t>
      </w:r>
    </w:p>
    <w:sectPr w:rsidR="00F35350" w:rsidRPr="00384ED2" w:rsidSect="00FE1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panose1 w:val="020B0503030403020204"/>
    <w:charset w:val="00"/>
    <w:family w:val="swiss"/>
    <w:notTrueType/>
    <w:pitch w:val="variable"/>
    <w:sig w:usb0="600002F7" w:usb1="02000001"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D34"/>
    <w:rsid w:val="00104886"/>
    <w:rsid w:val="00143959"/>
    <w:rsid w:val="001457E9"/>
    <w:rsid w:val="00154722"/>
    <w:rsid w:val="00156DD9"/>
    <w:rsid w:val="00167207"/>
    <w:rsid w:val="00177B87"/>
    <w:rsid w:val="00192444"/>
    <w:rsid w:val="001F34E9"/>
    <w:rsid w:val="0038270E"/>
    <w:rsid w:val="00382A58"/>
    <w:rsid w:val="00384ED2"/>
    <w:rsid w:val="00452200"/>
    <w:rsid w:val="004C65DE"/>
    <w:rsid w:val="00522455"/>
    <w:rsid w:val="005F2FC9"/>
    <w:rsid w:val="006E03EC"/>
    <w:rsid w:val="00752EA5"/>
    <w:rsid w:val="007D6D9C"/>
    <w:rsid w:val="007E4DDA"/>
    <w:rsid w:val="00813339"/>
    <w:rsid w:val="008635DF"/>
    <w:rsid w:val="008B4537"/>
    <w:rsid w:val="008C4A5D"/>
    <w:rsid w:val="008E5A52"/>
    <w:rsid w:val="00914DE0"/>
    <w:rsid w:val="00930EBF"/>
    <w:rsid w:val="009545FE"/>
    <w:rsid w:val="00A20EE1"/>
    <w:rsid w:val="00A4400E"/>
    <w:rsid w:val="00A644E7"/>
    <w:rsid w:val="00AB5CA4"/>
    <w:rsid w:val="00AC09C7"/>
    <w:rsid w:val="00AD7D82"/>
    <w:rsid w:val="00AE3A8E"/>
    <w:rsid w:val="00AF22FA"/>
    <w:rsid w:val="00AF2B08"/>
    <w:rsid w:val="00B245CF"/>
    <w:rsid w:val="00C76F09"/>
    <w:rsid w:val="00C77F3C"/>
    <w:rsid w:val="00CC1D34"/>
    <w:rsid w:val="00D809BD"/>
    <w:rsid w:val="00DF7226"/>
    <w:rsid w:val="00E161D7"/>
    <w:rsid w:val="00F000F6"/>
    <w:rsid w:val="00F35350"/>
    <w:rsid w:val="00F3589D"/>
    <w:rsid w:val="00F41F16"/>
    <w:rsid w:val="00F55F68"/>
    <w:rsid w:val="00F5731E"/>
    <w:rsid w:val="00FE1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DB7FFA"/>
  <w15:chartTrackingRefBased/>
  <w15:docId w15:val="{24603EB6-BE80-2F46-B367-A1D696C8E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w:eastAsiaTheme="minorHAnsi" w:hAnsi="Source Sans Pro"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1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1D3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1D3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1D3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1D3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1D3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1D3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1D3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1D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1D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1D3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1D3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C1D3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C1D3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1D3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1D3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1D3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1D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1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1D3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1D3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1D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C1D34"/>
    <w:rPr>
      <w:i/>
      <w:iCs/>
      <w:color w:val="404040" w:themeColor="text1" w:themeTint="BF"/>
    </w:rPr>
  </w:style>
  <w:style w:type="paragraph" w:styleId="ListParagraph">
    <w:name w:val="List Paragraph"/>
    <w:basedOn w:val="Normal"/>
    <w:uiPriority w:val="34"/>
    <w:qFormat/>
    <w:rsid w:val="00CC1D34"/>
    <w:pPr>
      <w:ind w:left="720"/>
      <w:contextualSpacing/>
    </w:pPr>
  </w:style>
  <w:style w:type="character" w:styleId="IntenseEmphasis">
    <w:name w:val="Intense Emphasis"/>
    <w:basedOn w:val="DefaultParagraphFont"/>
    <w:uiPriority w:val="21"/>
    <w:qFormat/>
    <w:rsid w:val="00CC1D34"/>
    <w:rPr>
      <w:i/>
      <w:iCs/>
      <w:color w:val="0F4761" w:themeColor="accent1" w:themeShade="BF"/>
    </w:rPr>
  </w:style>
  <w:style w:type="paragraph" w:styleId="IntenseQuote">
    <w:name w:val="Intense Quote"/>
    <w:basedOn w:val="Normal"/>
    <w:next w:val="Normal"/>
    <w:link w:val="IntenseQuoteChar"/>
    <w:uiPriority w:val="30"/>
    <w:qFormat/>
    <w:rsid w:val="00CC1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1D34"/>
    <w:rPr>
      <w:i/>
      <w:iCs/>
      <w:color w:val="0F4761" w:themeColor="accent1" w:themeShade="BF"/>
    </w:rPr>
  </w:style>
  <w:style w:type="character" w:styleId="IntenseReference">
    <w:name w:val="Intense Reference"/>
    <w:basedOn w:val="DefaultParagraphFont"/>
    <w:uiPriority w:val="32"/>
    <w:qFormat/>
    <w:rsid w:val="00CC1D34"/>
    <w:rPr>
      <w:b/>
      <w:bCs/>
      <w:smallCaps/>
      <w:color w:val="0F4761" w:themeColor="accent1" w:themeShade="BF"/>
      <w:spacing w:val="5"/>
    </w:rPr>
  </w:style>
  <w:style w:type="character" w:styleId="Strong">
    <w:name w:val="Strong"/>
    <w:basedOn w:val="DefaultParagraphFont"/>
    <w:uiPriority w:val="22"/>
    <w:qFormat/>
    <w:rsid w:val="008E5A52"/>
    <w:rPr>
      <w:b/>
      <w:bCs/>
    </w:rPr>
  </w:style>
  <w:style w:type="paragraph" w:customStyle="1" w:styleId="whitespace-normal">
    <w:name w:val="whitespace-normal"/>
    <w:basedOn w:val="Normal"/>
    <w:rsid w:val="00167207"/>
    <w:pPr>
      <w:spacing w:before="100" w:beforeAutospacing="1" w:after="100" w:afterAutospacing="1"/>
    </w:pPr>
    <w:rPr>
      <w:rFonts w:ascii="Times New Roman" w:eastAsia="Times New Roman" w:hAnsi="Times New Roman" w:cs="Times New Roman"/>
      <w:kern w:val="0"/>
      <w14:ligatures w14:val="none"/>
    </w:rPr>
  </w:style>
  <w:style w:type="paragraph" w:customStyle="1" w:styleId="p1">
    <w:name w:val="p1"/>
    <w:basedOn w:val="Normal"/>
    <w:rsid w:val="00AE3A8E"/>
    <w:pPr>
      <w:spacing w:before="100" w:beforeAutospacing="1" w:after="100" w:afterAutospacing="1"/>
    </w:pPr>
    <w:rPr>
      <w:rFonts w:ascii="Times New Roman" w:eastAsia="Times New Roman" w:hAnsi="Times New Roman" w:cs="Times New Roman"/>
      <w:kern w:val="0"/>
      <w14:ligatures w14:val="none"/>
    </w:rPr>
  </w:style>
  <w:style w:type="paragraph" w:customStyle="1" w:styleId="p2">
    <w:name w:val="p2"/>
    <w:basedOn w:val="Normal"/>
    <w:rsid w:val="00AE3A8E"/>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719</Words>
  <Characters>4466</Characters>
  <Application>Microsoft Office Word</Application>
  <DocSecurity>0</DocSecurity>
  <Lines>70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Bradley</dc:creator>
  <cp:keywords/>
  <dc:description/>
  <cp:lastModifiedBy>Bradley, Alex</cp:lastModifiedBy>
  <cp:revision>30</cp:revision>
  <dcterms:created xsi:type="dcterms:W3CDTF">2025-10-04T03:35:00Z</dcterms:created>
  <dcterms:modified xsi:type="dcterms:W3CDTF">2025-11-10T19:59:00Z</dcterms:modified>
</cp:coreProperties>
</file>