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71715"/>
          <w:spacing w:val="40"/>
          <w:sz w:val="30"/>
          <w:szCs w:val="30"/>
        </w:rPr>
        <w:t xml:space="preserve">BRADLEY MACHADO</w:t>
      </w:r>
    </w:p>
    <w:p>
      <w:pPr>
        <w:spacing w:after="60" w:before="0"/>
      </w:pPr>
      <w:r>
        <w:rPr>
          <w:rFonts w:ascii="Arial" w:cs="Arial" w:eastAsia="Arial" w:hAnsi="Arial"/>
          <w:color w:val="4A4A46"/>
          <w:sz w:val="15"/>
          <w:szCs w:val="15"/>
        </w:rPr>
        <w:t>Champaign, IL  ·  bradleymachado@gmail.com  ·  linkedin.com/in/bradleymachado  ·  bradmachado.com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71715"/>
          <w:spacing w:val="20"/>
          <w:sz w:val="16"/>
          <w:szCs w:val="16"/>
        </w:rPr>
        <w:t>ARCHITECTURE INTERN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PROFILE</w:t>
      </w:r>
    </w:p>
    <w:p>
      <w:pPr>
        <w:spacing w:after="70" w:before="0"/>
      </w:pPr>
      <w:r>
        <w:rPr>
          <w:rFonts w:ascii="Arial" w:cs="Arial" w:eastAsia="Arial" w:hAnsi="Arial"/>
          <w:color w:val="4A4A46"/>
          <w:sz w:val="17"/>
          <w:szCs w:val="17"/>
        </w:rPr>
        <w:t xml:space="preserve">M.Arch candidate at the Illinois School of Architecture, focused on building performance and analysis. Design work spans generative form-finding through construction-level detailing. Six years as a planner and project manager before the degree — construction management, building retrofits, and energy management on federal projects — so drawings are read against how the building gets built and what it costs to run.</w:t>
      </w:r>
    </w:p>
    <w:p>
      <w:pPr>
        <w:spacing w:after="30" w:before="0"/>
        <w:ind w:left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Availability 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Final year, coursework front-loaded to open it for practice — one studio and a seminar in Advanced Façade Design this fall; final studio and Professional Practice in the spring. Roughly 28 hours weekly: all day Tuesday and Friday, plus weekday mornings through noon.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EDUCATION</w:t>
      </w:r>
    </w:p>
    <w:p>
      <w:pPr>
        <w:tabs>
          <w:tab w:val="right" w:pos="10440"/>
        </w:tabs>
        <w:spacing w:after="30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Master of Architecture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— High-Performance Building Design &amp; Analysis  |  University of Illinois Urbana-Champaign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Expected 2027</w:t>
      </w:r>
    </w:p>
    <w:p>
      <w:pPr>
        <w:tabs>
          <w:tab w:val="right" w:pos="10440"/>
        </w:tabs>
        <w:spacing w:after="30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B.S., Society &amp; Environment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University of California, Berkeley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2018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SOFTWARE</w:t>
      </w:r>
    </w:p>
    <w:p>
      <w:pPr>
        <w:spacing w:after="30" w:before="0"/>
        <w:ind w:left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Modeling &amp; documentation 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SketchUp (+ extensions), Rhino, Grasshopper, AutoCAD, Dynamo, Revit</w:t>
      </w:r>
    </w:p>
    <w:p>
      <w:pPr>
        <w:spacing w:after="30" w:before="0"/>
        <w:ind w:left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Visualization &amp; graphics 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Enscape, Blender, Adobe Photoshop / InDesign / Illustrator</w:t>
      </w:r>
    </w:p>
    <w:p>
      <w:pPr>
        <w:spacing w:after="30" w:before="0"/>
        <w:ind w:left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Performance analysis 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EnergyPlus, OpenStudio, Ladybug/Honeybee, Wallacei, Galapagos</w:t>
      </w:r>
    </w:p>
    <w:p>
      <w:pPr>
        <w:spacing w:after="30" w:before="0"/>
        <w:ind w:left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Data &amp; scripting 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Python, SQL, Databricks/PySpark, MATLAB, Excel (Solver), ComfyUI / LoRA fine-tuning, YOLO v.7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SELECTED DESIGN WORK  —  PORTFOLIO AT BRADMACHADO.COM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Línea Verde R 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Linear mixed-use complex over a disused rail corridor in Belgrano R, Buenos Aires — athletics below grade, commerce at rail level, culture above, public garden on the roof.  </w:t>
      </w:r>
      <w:r>
        <w:rPr>
          <w:rFonts w:ascii="Arial" w:cs="Arial" w:eastAsia="Arial" w:hAnsi="Arial"/>
          <w:i/>
          <w:iCs/>
          <w:color w:val="6B6B67"/>
          <w:sz w:val="15"/>
          <w:szCs w:val="15"/>
        </w:rPr>
        <w:t>SketchUp, Enscape, AutoCAD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Cyprus Cove 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Small coastal vacation house organized around a protected courtyard — a tectonic elevation set against a stereotomic one.  </w:t>
      </w:r>
      <w:r>
        <w:rPr>
          <w:rFonts w:ascii="Arial" w:cs="Arial" w:eastAsia="Arial" w:hAnsi="Arial"/>
          <w:i/>
          <w:iCs/>
          <w:color w:val="6B6B67"/>
          <w:sz w:val="15"/>
          <w:szCs w:val="15"/>
        </w:rPr>
        <w:t xml:space="preserve">SketchUp, Enscape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Hub Boriken 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Mixed-use community hub balancing program density with street-level porosity.  </w:t>
      </w:r>
      <w:r>
        <w:rPr>
          <w:rFonts w:ascii="Arial" w:cs="Arial" w:eastAsia="Arial" w:hAnsi="Arial"/>
          <w:i/>
          <w:iCs/>
          <w:color w:val="6B6B67"/>
          <w:sz w:val="15"/>
          <w:szCs w:val="15"/>
        </w:rPr>
        <w:t xml:space="preserve">SketchUp, Enscape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Less Siteless 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Traffic, solar, and pedestrian data from Suseong-gu, Daegu driven into form through multi-objective optimization.  </w:t>
      </w:r>
      <w:r>
        <w:rPr>
          <w:rFonts w:ascii="Arial" w:cs="Arial" w:eastAsia="Arial" w:hAnsi="Arial"/>
          <w:i/>
          <w:iCs/>
          <w:color w:val="6B6B67"/>
          <w:sz w:val="15"/>
          <w:szCs w:val="15"/>
        </w:rPr>
        <w:t xml:space="preserve">Grasshopper, Wallacei X, Ladybug, YOLO v.7, FDM printing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Artificial Context 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Context extracted from a fine-tuned image model rather than from a site — latent-space topography carried through structural and solar optimization.  </w:t>
      </w:r>
      <w:r>
        <w:rPr>
          <w:rFonts w:ascii="Arial" w:cs="Arial" w:eastAsia="Arial" w:hAnsi="Arial"/>
          <w:i/>
          <w:iCs/>
          <w:color w:val="6B6B67"/>
          <w:sz w:val="15"/>
          <w:szCs w:val="15"/>
        </w:rPr>
        <w:t xml:space="preserve">Grasshopper, Flux.1-dev LoRA, Karamba3D, Wallacei X, Ladybug, MATLAB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EXPERIENCE</w:t>
      </w:r>
    </w:p>
    <w:p>
      <w:pPr>
        <w:tabs>
          <w:tab w:val="right" w:pos="10440"/>
        </w:tabs>
        <w:spacing w:after="25" w:before="10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Research Assistant — Building Energy Analytics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Responsive Architecture Lab, Illinois School of Architecture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Spring 2026 – Present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Characterizing the U.S. single-family detached building stock for an HVAC OEM client — harmonizing ~84M property records against the ResStock simulation dataset to transfer peak heating and cooling load estimates onto each record. Built in Databricks / PySpark.</w:t>
      </w:r>
    </w:p>
    <w:p>
      <w:pPr>
        <w:tabs>
          <w:tab w:val="right" w:pos="10440"/>
        </w:tabs>
        <w:spacing w:after="25" w:before="10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Research Planner — Infrastructure &amp; Resilience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U.S. Army ERDC–CERL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2021 – 2025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R&amp;D chair for Department of the Army long-term capital investment planning; evaluated energy solutions and presented investment options to Senior Executive Service and General Officer decision-makers.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Secured $2.075M in competitive funding across two studies; led cross-agency teams on installation and regional resilience assessments across North America, Europe, and the Pacific.</w:t>
      </w:r>
    </w:p>
    <w:p>
      <w:pPr>
        <w:tabs>
          <w:tab w:val="right" w:pos="10440"/>
        </w:tabs>
        <w:spacing w:after="25" w:before="10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Utilities Manager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U.S. Army Garrison – Presidio of Monterey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2019 – 2021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Owner's representative for a garrison-wide utility system — data center, satellite communications ground station, public safety, academic and administrative buildings, and 100+ housing units. Accountable for $10M in annual commodities and $5M in active construction.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Delivered building energy retrofits end to end — scoped and awarded the studies that tested each project's financial viability, then managed construction of the projects that cleared.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Contracting Officer's Representative on 11 privatized utility contracts and the Resource Efficiency Management and Utility Energy Service Contract vehicles — task orders, modifications, submittal and quality assurance review, payment approval, and issue resolution.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Cleared FAA obstruction review adjacent to an active airfield and NEPA consultation for a protected vernal pool crossing, compressing a standard 3–4 year utility planning cycle to under twelve months with no loss of site uptime.</w:t>
      </w:r>
    </w:p>
    <w:p>
      <w:pPr>
        <w:tabs>
          <w:tab w:val="right" w:pos="10440"/>
        </w:tabs>
        <w:spacing w:after="25" w:before="10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Health, Safety &amp; Environmental Manager (Contract)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The Whiting-Turner Contracting Company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2018 – 2019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EHS medical operations on the $3B joint Google and NASA Bayview project; built the incident reporting system used to identify safety hotspots and streamlined site orientation and access, saving 20–30 labor hours daily.</w:t>
      </w:r>
    </w:p>
    <w:p>
      <w:pPr>
        <w:tabs>
          <w:tab w:val="right" w:pos="10440"/>
        </w:tabs>
        <w:spacing w:after="25" w:before="100"/>
      </w:pPr>
      <w:r>
        <w:rPr>
          <w:rFonts w:ascii="Arial" w:cs="Arial" w:eastAsia="Arial" w:hAnsi="Arial"/>
          <w:b/>
          <w:bCs/>
          <w:color w:val="171715"/>
          <w:sz w:val="17"/>
          <w:szCs w:val="17"/>
        </w:rPr>
        <w:t xml:space="preserve">Critical Care Flight Paramedic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  |  U.S. Army — 3rd Infantry Division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B6B67"/>
          <w:sz w:val="15"/>
          <w:szCs w:val="15"/>
        </w:rPr>
        <w:t xml:space="preserve">2010 – 2014</w:t>
      </w:r>
    </w:p>
    <w:p>
      <w:pPr>
        <w:spacing w:after="30" w:before="0"/>
        <w:ind w:left="170" w:hanging="170"/>
      </w:pPr>
      <w:r>
        <w:rPr>
          <w:rFonts w:ascii="Arial" w:cs="Arial" w:eastAsia="Arial" w:hAnsi="Arial"/>
          <w:color w:val="6B6B67"/>
          <w:sz w:val="17"/>
          <w:szCs w:val="17"/>
        </w:rPr>
        <w:t xml:space="preserve">— </w:t>
      </w:r>
      <w:r>
        <w:rPr>
          <w:rFonts w:ascii="Arial" w:cs="Arial" w:eastAsia="Arial" w:hAnsi="Arial"/>
          <w:color w:val="4A4A46"/>
          <w:sz w:val="17"/>
          <w:szCs w:val="17"/>
        </w:rPr>
        <w:t xml:space="preserve">Aeromedical evacuation and critical care; Afghanistan, 2012–2013.</w:t>
      </w:r>
    </w:p>
    <w:p>
      <w:pPr>
        <w:pBdr>
          <w:bottom w:val="single" w:color="171715" w:sz="6" w:space="3"/>
        </w:pBdr>
        <w:spacing w:after="70" w:before="180"/>
      </w:pPr>
      <w:r>
        <w:rPr>
          <w:rFonts w:ascii="Arial" w:cs="Arial" w:eastAsia="Arial" w:hAnsi="Arial"/>
          <w:b/>
          <w:bCs/>
          <w:color w:val="171715"/>
          <w:spacing w:val="60"/>
          <w:sz w:val="15"/>
          <w:szCs w:val="15"/>
        </w:rPr>
        <w:t xml:space="preserve">RECOGNITION</w:t>
      </w:r>
    </w:p>
    <w:p>
      <w:pPr>
        <w:spacing w:after="0" w:before="0"/>
      </w:pPr>
      <w:r>
        <w:rPr>
          <w:rFonts w:ascii="Arial" w:cs="Arial" w:eastAsia="Arial" w:hAnsi="Arial"/>
          <w:color w:val="4A4A46"/>
          <w:sz w:val="17"/>
          <w:szCs w:val="17"/>
        </w:rPr>
        <w:t xml:space="preserve">Department of the Army Quality Step Increase  ·  Civilian Service Commendation Medal (2021)  ·  Civilian Service Achievement Medals (2020, 2019)  ·  Invited presenter, DoD Utilities Conference (2019).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6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2026-08-30T02:56:29.816Z</dcterms:created>
  <dcterms:modified xsi:type="dcterms:W3CDTF">2026-08-30T02:56:29.816Z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