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Questions Catalog</w:t>
      </w:r>
    </w:p>
    <w:p>
      <w:pPr>
        <w:pStyle w:val="Heading1"/>
      </w:pPr>
      <w:r>
        <w:t>Generated from ongoing discussion — Living Document</w:t>
      </w:r>
    </w:p>
    <w:p>
      <w:pPr>
        <w:pStyle w:val="Heading2"/>
      </w:pPr>
      <w:r>
        <w:t>Last updated: 2026-03-22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I. Scapular Morphology and Shoulder Pathology</w:t>
      </w:r>
    </w:p>
    <w:p>
      <w:pPr>
        <w:pStyle w:val="Heading2"/>
      </w:pPr>
      <w:r>
        <w:t>Critical Shoulder Angle</w:t>
      </w:r>
    </w:p>
    <w:p>
      <w:pPr>
        <w:pStyle w:val="ListNumber"/>
      </w:pPr>
      <w:r>
        <w:rPr>
          <w:sz w:val="22"/>
        </w:rPr>
        <w:t>Does CSA predict rotator cuff repair failure, and should it change surgical planning?</w:t>
      </w:r>
    </w:p>
    <w:p>
      <w:pPr>
        <w:pStyle w:val="ListBullet"/>
        <w:ind w:left="720"/>
      </w:pPr>
      <w:r>
        <w:rPr>
          <w:sz w:val="22"/>
        </w:rPr>
        <w:t>Supporting: Garcia 2017 (OR 14.8 for retear if CSA &gt;38°), Li 2018, Scheiderer 2018</w:t>
      </w:r>
    </w:p>
    <w:p>
      <w:pPr>
        <w:pStyle w:val="ListBullet"/>
        <w:ind w:left="720"/>
      </w:pPr>
      <w:r>
        <w:rPr>
          <w:sz w:val="22"/>
        </w:rPr>
        <w:t>Contradicting: Lee 2017 (no outcome association at 24 months), Como 2021, Arnar 2017 (no RCT association)</w:t>
      </w:r>
    </w:p>
    <w:p>
      <w:pPr>
        <w:pStyle w:val="ListBullet"/>
        <w:ind w:left="720"/>
      </w:pPr>
      <w:r>
        <w:rPr>
          <w:sz w:val="22"/>
        </w:rPr>
        <w:t>Gerber 2018 showed lateral acromioplasty can correct CSA safely</w:t>
      </w:r>
    </w:p>
    <w:p>
      <w:pPr>
        <w:pStyle w:val="ListBullet"/>
        <w:ind w:left="720"/>
      </w:pPr>
      <w:r>
        <w:rPr>
          <w:sz w:val="22"/>
        </w:rPr>
        <w:t>Status: Debated. Weight of evidence tilts toward CSA mattering, but not universal.</w:t>
      </w:r>
    </w:p>
    <w:p>
      <w:pPr>
        <w:pStyle w:val="ListBullet"/>
        <w:ind w:left="720"/>
      </w:pPr>
      <w:r>
        <w:rPr>
          <w:sz w:val="22"/>
        </w:rPr>
        <w:t>Needed: Prospective RCT comparing cuff repair ± lateral acromioplasty stratified by CSA</w:t>
      </w:r>
    </w:p>
    <w:p>
      <w:pPr>
        <w:pStyle w:val="ListNumber"/>
      </w:pPr>
      <w:r>
        <w:rPr>
          <w:sz w:val="22"/>
        </w:rPr>
        <w:t>Is there a CSA threshold above which lateral acromioplasty should be standard at time of cuff repair?</w:t>
      </w:r>
    </w:p>
    <w:p>
      <w:pPr>
        <w:pStyle w:val="ListBullet"/>
        <w:ind w:left="720"/>
      </w:pPr>
      <w:r>
        <w:rPr>
          <w:sz w:val="22"/>
        </w:rPr>
        <w:t>Gerber 2018 used CSA ≥34° as threshold</w:t>
      </w:r>
    </w:p>
    <w:p>
      <w:pPr>
        <w:pStyle w:val="ListBullet"/>
        <w:ind w:left="720"/>
      </w:pPr>
      <w:r>
        <w:rPr>
          <w:sz w:val="22"/>
        </w:rPr>
        <w:t>Olmos 2021 showed acromioplasty cannot sufficiently reduce CSA if &gt;40°</w:t>
      </w:r>
    </w:p>
    <w:p>
      <w:pPr>
        <w:pStyle w:val="ListBullet"/>
        <w:ind w:left="720"/>
      </w:pPr>
      <w:r>
        <w:rPr>
          <w:sz w:val="22"/>
        </w:rPr>
        <w:t>Needed: Multi-center prospective study with standardized CSA cutoffs and standardized lateral acromioplasty technique</w:t>
      </w:r>
    </w:p>
    <w:p>
      <w:pPr>
        <w:pStyle w:val="ListNumber"/>
      </w:pPr>
      <w:r>
        <w:rPr>
          <w:sz w:val="22"/>
        </w:rPr>
        <w:t>Does CSA predict primary cuff tear development in a prospective cohort?</w:t>
      </w:r>
    </w:p>
    <w:p>
      <w:pPr>
        <w:pStyle w:val="ListBullet"/>
        <w:ind w:left="720"/>
      </w:pPr>
      <w:r>
        <w:rPr>
          <w:sz w:val="22"/>
        </w:rPr>
        <w:t>Passaplan 2021 showed CSA is stable over 10+ years (innate, not acquired)</w:t>
      </w:r>
    </w:p>
    <w:p>
      <w:pPr>
        <w:pStyle w:val="ListBullet"/>
        <w:ind w:left="720"/>
      </w:pPr>
      <w:r>
        <w:rPr>
          <w:sz w:val="22"/>
        </w:rPr>
        <w:t>Moor 2013, Davide 2016 showed cross-sectional association</w:t>
      </w:r>
    </w:p>
    <w:p>
      <w:pPr>
        <w:pStyle w:val="ListBullet"/>
        <w:ind w:left="720"/>
      </w:pPr>
      <w:r>
        <w:rPr>
          <w:sz w:val="22"/>
        </w:rPr>
        <w:t>Needed: Prospective longitudinal cohort — measure CSA in young adults, follow for cuff tear development over decades</w:t>
      </w:r>
    </w:p>
    <w:p>
      <w:pPr>
        <w:pStyle w:val="ListNumber"/>
      </w:pPr>
      <w:r>
        <w:rPr>
          <w:sz w:val="22"/>
        </w:rPr>
        <w:t>Can CSA be used as a screening tool for cuff tear risk?</w:t>
      </w:r>
    </w:p>
    <w:p>
      <w:pPr>
        <w:pStyle w:val="ListBullet"/>
        <w:ind w:left="720"/>
      </w:pPr>
      <w:r>
        <w:rPr>
          <w:sz w:val="22"/>
        </w:rPr>
        <w:t>Mantell 2017: CSA &gt;35° is 90% specific and 52% sensitive for RCT in OA patients (AUC 0.84)</w:t>
      </w:r>
    </w:p>
    <w:p>
      <w:pPr>
        <w:pStyle w:val="ListBullet"/>
        <w:ind w:left="720"/>
      </w:pPr>
      <w:r>
        <w:rPr>
          <w:sz w:val="22"/>
        </w:rPr>
        <w:t>Needed: Validation of CSA screening in asymptomatic populations</w:t>
      </w:r>
    </w:p>
    <w:p>
      <w:pPr>
        <w:pStyle w:val="Heading2"/>
      </w:pPr>
      <w:r>
        <w:t>Posterior Acromial Morphology</w:t>
      </w:r>
    </w:p>
    <w:p>
      <w:pPr>
        <w:pStyle w:val="ListNumber"/>
      </w:pPr>
      <w:r>
        <w:rPr>
          <w:sz w:val="22"/>
        </w:rPr>
        <w:t>Does correcting posterior acromial morphology reliably treat posterior instability?</w:t>
      </w:r>
    </w:p>
    <w:p>
      <w:pPr>
        <w:pStyle w:val="ListBullet"/>
        <w:ind w:left="720"/>
      </w:pPr>
      <w:r>
        <w:rPr>
          <w:sz w:val="22"/>
        </w:rPr>
        <w:t>Meyer 2019: PAH ≥23mm → OR 39 for posterior instability</w:t>
      </w:r>
    </w:p>
    <w:p>
      <w:pPr>
        <w:pStyle w:val="ListBullet"/>
        <w:ind w:left="720"/>
      </w:pPr>
      <w:r>
        <w:rPr>
          <w:sz w:val="22"/>
        </w:rPr>
        <w:t>Hochreiter 2023: glenoid correction alone insufficient — must correct acromion</w:t>
      </w:r>
    </w:p>
    <w:p>
      <w:pPr>
        <w:pStyle w:val="ListBullet"/>
        <w:ind w:left="720"/>
      </w:pPr>
      <w:r>
        <w:rPr>
          <w:sz w:val="22"/>
        </w:rPr>
        <w:t>Gerber 2025 SCOPE: n=9, preliminary, 1 failure, 6/9 revisions from failed prior approaches</w:t>
      </w:r>
    </w:p>
    <w:p>
      <w:pPr>
        <w:pStyle w:val="ListBullet"/>
        <w:ind w:left="720"/>
      </w:pPr>
      <w:r>
        <w:rPr>
          <w:sz w:val="22"/>
        </w:rPr>
        <w:t>Needed: Larger prospective series with longer follow-up for SCOPE procedure</w:t>
      </w:r>
    </w:p>
    <w:p>
      <w:pPr>
        <w:pStyle w:val="ListNumber"/>
      </w:pPr>
      <w:r>
        <w:rPr>
          <w:sz w:val="22"/>
        </w:rPr>
        <w:t>Is posterior acromial morphology assessable on standard radiographs in a way that's clinically practical?</w:t>
      </w:r>
    </w:p>
    <w:p>
      <w:pPr>
        <w:pStyle w:val="ListBullet"/>
        <w:ind w:left="720"/>
      </w:pPr>
      <w:r>
        <w:rPr>
          <w:sz w:val="22"/>
        </w:rPr>
        <w:t>Meyer 2019 used true lateral (Y-view) under fluoroscopic control</w:t>
      </w:r>
    </w:p>
    <w:p>
      <w:pPr>
        <w:pStyle w:val="ListBullet"/>
        <w:ind w:left="720"/>
      </w:pPr>
      <w:r>
        <w:rPr>
          <w:sz w:val="22"/>
        </w:rPr>
        <w:t>Needed: Reliability study of PAH measurement on standard (non-fluoroscopic) radiographs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II. Dynamic Glenoid Version and the B0 Cascade</w:t>
      </w:r>
    </w:p>
    <w:p>
      <w:pPr>
        <w:pStyle w:val="ListNumber"/>
      </w:pPr>
      <w:r>
        <w:rPr>
          <w:sz w:val="22"/>
        </w:rPr>
        <w:t>Does scapulothoracic position dynamically alter effective glenoid version during functional movement?</w:t>
      </w:r>
    </w:p>
    <w:p>
      <w:pPr>
        <w:pStyle w:val="ListBullet"/>
        <w:ind w:left="720"/>
      </w:pPr>
      <w:r>
        <w:rPr>
          <w:sz w:val="22"/>
        </w:rPr>
        <w:t>Bryce 2010: scapular rotation changes measured version by up to 22.5° (framed as measurement artifact)</w:t>
      </w:r>
    </w:p>
    <w:p>
      <w:pPr>
        <w:pStyle w:val="ListBullet"/>
        <w:ind w:left="720"/>
      </w:pPr>
      <w:r>
        <w:rPr>
          <w:sz w:val="22"/>
        </w:rPr>
        <w:t>Needed: Biplanar fluoroscopy study measuring dynamic glenoid version during functional tasks (reaching, overhead, carrying) vs. static CT version. Compare in normal controls.</w:t>
      </w:r>
    </w:p>
    <w:p>
      <w:pPr>
        <w:pStyle w:val="ListNumber"/>
      </w:pPr>
      <w:r>
        <w:rPr>
          <w:sz w:val="22"/>
        </w:rPr>
        <w:t>Do patients with Walch B0 glenoids have different scapulothoracic orientation than matched controls?</w:t>
      </w:r>
    </w:p>
    <w:p>
      <w:pPr>
        <w:pStyle w:val="ListBullet"/>
        <w:ind w:left="720"/>
      </w:pPr>
      <w:r>
        <w:rPr>
          <w:sz w:val="22"/>
        </w:rPr>
        <w:t>Akgun 2024: C1 patients (≈B0) have less upward rotation, less scapular tilt, different acromial morphology</w:t>
      </w:r>
    </w:p>
    <w:p>
      <w:pPr>
        <w:pStyle w:val="ListBullet"/>
        <w:ind w:left="720"/>
      </w:pPr>
      <w:r>
        <w:rPr>
          <w:sz w:val="22"/>
        </w:rPr>
        <w:t>Akgun found LESS thoracic kyphosis in C1 — partially contradicts posture-driven hypothesis</w:t>
      </w:r>
    </w:p>
    <w:p>
      <w:pPr>
        <w:pStyle w:val="ListBullet"/>
        <w:ind w:left="720"/>
      </w:pPr>
      <w:r>
        <w:rPr>
          <w:sz w:val="22"/>
        </w:rPr>
        <w:t>Needed: Replication in a larger cohort, with dynamic kinematic assessment (not just resting CT position)</w:t>
      </w:r>
    </w:p>
    <w:p>
      <w:pPr>
        <w:pStyle w:val="ListNumber"/>
      </w:pPr>
      <w:r>
        <w:rPr>
          <w:sz w:val="22"/>
        </w:rPr>
        <w:t>Does chronic functional retroversion from scapulothoracic malposition predict posterior glenoid cartilage changes over time?</w:t>
      </w:r>
    </w:p>
    <w:p>
      <w:pPr>
        <w:pStyle w:val="ListBullet"/>
        <w:ind w:left="720"/>
      </w:pPr>
      <w:r>
        <w:rPr>
          <w:sz w:val="22"/>
        </w:rPr>
        <w:t>Domos 2017: described B0 → B1 → B2 progression</w:t>
      </w:r>
    </w:p>
    <w:p>
      <w:pPr>
        <w:pStyle w:val="ListBullet"/>
        <w:ind w:left="720"/>
      </w:pPr>
      <w:r>
        <w:rPr>
          <w:sz w:val="22"/>
        </w:rPr>
        <w:t>Needed: Prospective cohort — measure scapulothoracic kinematics + glenoid cartilage status (MRI) at baseline and follow longitudinally. The definitive study, but requires long follow-up.</w:t>
      </w:r>
    </w:p>
    <w:p>
      <w:pPr>
        <w:pStyle w:val="ListNumber"/>
      </w:pPr>
      <w:r>
        <w:rPr>
          <w:sz w:val="22"/>
        </w:rPr>
        <w:t>Is the B0 phenotype preventable or modifiable through scapulothoracic intervention?</w:t>
      </w:r>
    </w:p>
    <w:p>
      <w:pPr>
        <w:pStyle w:val="ListBullet"/>
        <w:ind w:left="1080"/>
      </w:pPr>
      <w:r>
        <w:rPr>
          <w:sz w:val="22"/>
        </w:rPr>
        <w:t>Completely untested</w:t>
      </w:r>
    </w:p>
    <w:p>
      <w:pPr>
        <w:pStyle w:val="ListBullet"/>
        <w:ind w:left="1080"/>
      </w:pPr>
      <w:r>
        <w:rPr>
          <w:sz w:val="22"/>
        </w:rPr>
        <w:t>Needed: Identification of B0 patients, randomized to scapulothoracic rehab vs. observation, followed for glenoid progression</w:t>
      </w:r>
    </w:p>
    <w:p>
      <w:pPr>
        <w:pStyle w:val="ListNumber"/>
      </w:pPr>
      <w:r>
        <w:rPr>
          <w:sz w:val="22"/>
        </w:rPr>
        <w:t>After glenoid component implantation (aTSA), does scapulothoracic malposition create dynamic asymmetric loading on the prosthetic glenoid?</w:t>
      </w:r>
    </w:p>
    <w:p>
      <w:pPr>
        <w:pStyle w:val="ListBullet"/>
        <w:ind w:left="1080"/>
      </w:pPr>
      <w:r>
        <w:rPr>
          <w:sz w:val="22"/>
        </w:rPr>
        <w:t>Moroder 2020: scapulothoracic orientation influences optimal humeral component retrotorsion</w:t>
      </w:r>
    </w:p>
    <w:p>
      <w:pPr>
        <w:pStyle w:val="ListBullet"/>
        <w:ind w:left="1080"/>
      </w:pPr>
      <w:r>
        <w:rPr>
          <w:sz w:val="22"/>
        </w:rPr>
        <w:t>Needed: Computational model or in-vivo biplanar fluoroscopy study of prosthetic glenoid loading as a function of scapulothoracic position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III. Scapulothoracic Function and Arthroplasty Outcomes</w:t>
      </w:r>
    </w:p>
    <w:p>
      <w:pPr>
        <w:pStyle w:val="Heading2"/>
      </w:pPr>
      <w:r>
        <w:t>Pre-operative Assessment</w:t>
      </w:r>
    </w:p>
    <w:p>
      <w:pPr>
        <w:pStyle w:val="ListNumber"/>
      </w:pPr>
      <w:r>
        <w:rPr>
          <w:sz w:val="22"/>
        </w:rPr>
        <w:t>Does pre-operative scapular dyskinesis predict worse outcomes after rotator cuff repair?</w:t>
      </w:r>
    </w:p>
    <w:p>
      <w:pPr>
        <w:pStyle w:val="ListBullet"/>
        <w:ind w:left="1080"/>
      </w:pPr>
      <w:r>
        <w:rPr>
          <w:sz w:val="22"/>
        </w:rPr>
        <w:t>Mercurio 2026: dyskinesis persists after cuff repair (SHR unchanged, p&gt;.05)</w:t>
      </w:r>
    </w:p>
    <w:p>
      <w:pPr>
        <w:pStyle w:val="ListBullet"/>
        <w:ind w:left="1080"/>
      </w:pPr>
      <w:r>
        <w:rPr>
          <w:sz w:val="22"/>
        </w:rPr>
        <w:t>Nobody has published this. This is the most accessible study to do.</w:t>
      </w:r>
    </w:p>
    <w:p>
      <w:pPr>
        <w:pStyle w:val="ListBullet"/>
        <w:ind w:left="1080"/>
      </w:pPr>
      <w:r>
        <w:rPr>
          <w:sz w:val="22"/>
        </w:rPr>
        <w:t>Needed: Prospective cohort — assess scapular kinematics pre-operatively, correlate with post-operative outcomes (ASES, retear rate)</w:t>
      </w:r>
    </w:p>
    <w:p>
      <w:pPr>
        <w:pStyle w:val="ListNumber"/>
      </w:pPr>
      <w:r>
        <w:rPr>
          <w:sz w:val="22"/>
        </w:rPr>
        <w:t>Does pre-operative scapular dyskinesis predict worse outcomes after rTSA?</w:t>
      </w:r>
    </w:p>
    <w:p>
      <w:pPr>
        <w:pStyle w:val="ListBullet"/>
        <w:ind w:left="1080"/>
      </w:pPr>
      <w:r>
        <w:rPr>
          <w:sz w:val="22"/>
        </w:rPr>
        <w:t>Walker 2015: rTSA demands more from ST system (SHR 1.3:1)</w:t>
      </w:r>
    </w:p>
    <w:p>
      <w:pPr>
        <w:pStyle w:val="ListBullet"/>
        <w:ind w:left="1080"/>
      </w:pPr>
      <w:r>
        <w:rPr>
          <w:sz w:val="22"/>
        </w:rPr>
        <w:t>Kawashima 2025: better SHR → better outcomes (n=20)</w:t>
      </w:r>
    </w:p>
    <w:p>
      <w:pPr>
        <w:pStyle w:val="ListBullet"/>
        <w:ind w:left="1080"/>
      </w:pPr>
      <w:r>
        <w:rPr>
          <w:sz w:val="22"/>
        </w:rPr>
        <w:t>Shekhbihi 2025: calls this "the scapulothoracic conundrum" and identifies it as an open question</w:t>
      </w:r>
    </w:p>
    <w:p>
      <w:pPr>
        <w:pStyle w:val="ListBullet"/>
        <w:ind w:left="1080"/>
      </w:pPr>
      <w:r>
        <w:rPr>
          <w:sz w:val="22"/>
        </w:rPr>
        <w:t>Needed: Prospective cohort — measure pre-op scapular kinematics and periscapular muscle strength, correlate with rTSA outcomes at 1-2 years</w:t>
      </w:r>
    </w:p>
    <w:p>
      <w:pPr>
        <w:pStyle w:val="ListNumber"/>
      </w:pPr>
      <w:r>
        <w:rPr>
          <w:sz w:val="22"/>
        </w:rPr>
        <w:t>Should pre-operative scapulothoracic assessment be incorporated into arthroplasty planning software?</w:t>
      </w:r>
    </w:p>
    <w:p>
      <w:pPr>
        <w:pStyle w:val="ListBullet"/>
        <w:ind w:left="1080"/>
      </w:pPr>
      <w:r>
        <w:rPr>
          <w:sz w:val="22"/>
        </w:rPr>
        <w:t>Moroder 2020, 2022: showed scapulothoracic orientation affects optimal component positioning</w:t>
      </w:r>
    </w:p>
    <w:p>
      <w:pPr>
        <w:pStyle w:val="ListBullet"/>
        <w:ind w:left="1080"/>
      </w:pPr>
      <w:r>
        <w:rPr>
          <w:sz w:val="22"/>
        </w:rPr>
        <w:t>Bauer 2023: identified scapular posture as an unaddressed variable in rTSA planning</w:t>
      </w:r>
    </w:p>
    <w:p>
      <w:pPr>
        <w:pStyle w:val="ListBullet"/>
        <w:ind w:left="1080"/>
      </w:pPr>
      <w:r>
        <w:rPr>
          <w:sz w:val="22"/>
        </w:rPr>
        <w:t>Current planning software does not account for scapulothoracic position</w:t>
      </w:r>
    </w:p>
    <w:p>
      <w:pPr>
        <w:pStyle w:val="ListBullet"/>
        <w:ind w:left="1080"/>
      </w:pPr>
      <w:r>
        <w:rPr>
          <w:sz w:val="22"/>
        </w:rPr>
        <w:t>Needed: Computational study showing how different scapulothoracic positions change optimal component orientation</w:t>
      </w:r>
    </w:p>
    <w:p>
      <w:pPr>
        <w:pStyle w:val="Heading2"/>
      </w:pPr>
      <w:r>
        <w:t>Implant Selection</w:t>
      </w:r>
    </w:p>
    <w:p>
      <w:pPr>
        <w:pStyle w:val="ListNumber"/>
      </w:pPr>
      <w:r>
        <w:rPr>
          <w:sz w:val="22"/>
        </w:rPr>
        <w:t>Should rTSA lateralization be matched to pre-operative scapulothoracic reserve ("scapula-sparing" implant selection)?</w:t>
      </w:r>
    </w:p>
    <w:p>
      <w:pPr>
        <w:pStyle w:val="ListBullet"/>
        <w:ind w:left="1080"/>
      </w:pPr>
      <w:r>
        <w:rPr>
          <w:sz w:val="22"/>
        </w:rPr>
        <w:t>Walker 2015: all 3 implant designs showed SHR ~1.3:1, but designs differed in lateralization</w:t>
      </w:r>
    </w:p>
    <w:p>
      <w:pPr>
        <w:pStyle w:val="ListBullet"/>
        <w:ind w:left="1080"/>
      </w:pPr>
      <w:r>
        <w:rPr>
          <w:sz w:val="22"/>
        </w:rPr>
        <w:t>Levin 2024: implant configuration affects muscle-tendon lengths (deltoid originates from scapula)</w:t>
      </w:r>
    </w:p>
    <w:p>
      <w:pPr>
        <w:pStyle w:val="ListBullet"/>
        <w:ind w:left="1080"/>
      </w:pPr>
      <w:r>
        <w:rPr>
          <w:sz w:val="22"/>
        </w:rPr>
        <w:t>Needed: Comparative study — outcomes of lateralized vs. medialized rTSA stratified by pre-operative scapulothoracic function</w:t>
      </w:r>
    </w:p>
    <w:p>
      <w:pPr>
        <w:pStyle w:val="ListNumber"/>
      </w:pPr>
      <w:r>
        <w:rPr>
          <w:sz w:val="22"/>
        </w:rPr>
        <w:t>Does implant lateralization differentially affect scapulothoracic demands?</w:t>
      </w:r>
    </w:p>
    <w:p>
      <w:pPr>
        <w:pStyle w:val="ListBullet"/>
        <w:ind w:left="1080"/>
      </w:pPr>
      <w:r>
        <w:rPr>
          <w:sz w:val="22"/>
        </w:rPr>
        <w:t>Theoretical: lateralized design might restore more GH contribution, reducing ST demands</w:t>
      </w:r>
    </w:p>
    <w:p>
      <w:pPr>
        <w:pStyle w:val="ListBullet"/>
        <w:ind w:left="1080"/>
      </w:pPr>
      <w:r>
        <w:rPr>
          <w:sz w:val="22"/>
        </w:rPr>
        <w:t>Needed: Kinematic study (biplanar fluoroscopy) comparing SHR across lateralized vs. medialized rTSA designs</w:t>
      </w:r>
    </w:p>
    <w:p>
      <w:pPr>
        <w:pStyle w:val="Heading2"/>
      </w:pPr>
      <w:r>
        <w:t>Scapular Notching</w:t>
      </w:r>
    </w:p>
    <w:p>
      <w:pPr>
        <w:pStyle w:val="ListNumber"/>
      </w:pPr>
      <w:r>
        <w:rPr>
          <w:sz w:val="22"/>
        </w:rPr>
        <w:t>Does pre-operative scapular dyskinesis predict scapular notching rate, independent of implant positioning?</w:t>
      </w:r>
    </w:p>
    <w:p>
      <w:pPr>
        <w:pStyle w:val="ListBullet"/>
        <w:ind w:left="1080"/>
      </w:pPr>
      <w:r>
        <w:rPr>
          <w:sz w:val="22"/>
        </w:rPr>
        <w:t>Simovitch 2007: 44% notching rate, correlated with glenosphere-scapular neck angle</w:t>
      </w:r>
    </w:p>
    <w:p>
      <w:pPr>
        <w:pStyle w:val="ListBullet"/>
        <w:ind w:left="1080"/>
      </w:pPr>
      <w:r>
        <w:rPr>
          <w:sz w:val="22"/>
        </w:rPr>
        <w:t>Notching is a dynamic event — scapular position during movement determines pillar position</w:t>
      </w:r>
    </w:p>
    <w:p>
      <w:pPr>
        <w:pStyle w:val="ListBullet"/>
        <w:ind w:left="1080"/>
      </w:pPr>
      <w:r>
        <w:rPr>
          <w:sz w:val="22"/>
        </w:rPr>
        <w:t>Needed: Prospective study — pre-op scapular kinematics + post-op notching rate, controlling for glenosphere position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IV. Scapular Rehabilitation</w:t>
      </w:r>
    </w:p>
    <w:p>
      <w:pPr>
        <w:pStyle w:val="ListNumber"/>
      </w:pPr>
      <w:r>
        <w:rPr>
          <w:sz w:val="22"/>
        </w:rPr>
        <w:t>Does scapular prehab before cuff repair improve surgical outcomes?</w:t>
      </w:r>
    </w:p>
    <w:p>
      <w:pPr>
        <w:pStyle w:val="ListBullet"/>
        <w:ind w:left="1080"/>
      </w:pPr>
      <w:r>
        <w:rPr>
          <w:sz w:val="22"/>
        </w:rPr>
        <w:t>Camargo 2015: RCT showed scapular rehab improved kinematics/function/pain in impingement</w:t>
      </w:r>
    </w:p>
    <w:p>
      <w:pPr>
        <w:pStyle w:val="ListBullet"/>
        <w:ind w:left="1080"/>
      </w:pPr>
      <w:r>
        <w:rPr>
          <w:sz w:val="22"/>
        </w:rPr>
        <w:t>Burkhart 2003: 100% return with scapular rehab alone for SICK scapula</w:t>
      </w:r>
    </w:p>
    <w:p>
      <w:pPr>
        <w:pStyle w:val="ListBullet"/>
        <w:ind w:left="1080"/>
      </w:pPr>
      <w:r>
        <w:rPr>
          <w:sz w:val="22"/>
        </w:rPr>
        <w:t>Needed: RCT — standard pre-op protocol vs. 6-8 week scapular prehab program before cuff repair, outcomes at 1 year</w:t>
      </w:r>
    </w:p>
    <w:p>
      <w:pPr>
        <w:pStyle w:val="ListNumber"/>
      </w:pPr>
      <w:r>
        <w:rPr>
          <w:sz w:val="22"/>
        </w:rPr>
        <w:t>Does scapular prehab before rTSA improve outcomes?</w:t>
      </w:r>
    </w:p>
    <w:p>
      <w:pPr>
        <w:pStyle w:val="ListBullet"/>
        <w:ind w:left="1080"/>
      </w:pPr>
      <w:r>
        <w:rPr>
          <w:sz w:val="22"/>
        </w:rPr>
        <w:t>Completely untested</w:t>
      </w:r>
    </w:p>
    <w:p>
      <w:pPr>
        <w:pStyle w:val="ListBullet"/>
        <w:ind w:left="1080"/>
      </w:pPr>
      <w:r>
        <w:rPr>
          <w:sz w:val="22"/>
        </w:rPr>
        <w:t>Theoretical basis: pre-op rehabilitation could restore sarcomere architecture (Gibbons 2016) before imposing new demands</w:t>
      </w:r>
    </w:p>
    <w:p>
      <w:pPr>
        <w:pStyle w:val="ListBullet"/>
        <w:ind w:left="1080"/>
      </w:pPr>
      <w:r>
        <w:rPr>
          <w:sz w:val="22"/>
        </w:rPr>
        <w:t>Needed: Randomized pilot — standard rTSA rehab vs. 6-12 week scapular prehab + standard rehab</w:t>
      </w:r>
    </w:p>
    <w:p>
      <w:pPr>
        <w:pStyle w:val="ListNumber"/>
      </w:pPr>
      <w:r>
        <w:rPr>
          <w:sz w:val="22"/>
        </w:rPr>
        <w:t>Is there a minimum duration of scapular prehab needed for sarcomere remodeling?</w:t>
      </w:r>
    </w:p>
    <w:p>
      <w:pPr>
        <w:pStyle w:val="ListBullet"/>
        <w:ind w:left="1080"/>
      </w:pPr>
      <w:r>
        <w:rPr>
          <w:sz w:val="22"/>
        </w:rPr>
        <w:t>Williams &amp; Goldspink: sarcomere adaptation takes weeks in animal models</w:t>
      </w:r>
    </w:p>
    <w:p>
      <w:pPr>
        <w:pStyle w:val="ListBullet"/>
        <w:ind w:left="1080"/>
      </w:pPr>
      <w:r>
        <w:rPr>
          <w:sz w:val="22"/>
        </w:rPr>
        <w:t>Burkhart 2003: 50% scapular repositioning in 2-3 weeks, full repositioning in 3 months</w:t>
      </w:r>
    </w:p>
    <w:p>
      <w:pPr>
        <w:pStyle w:val="ListBullet"/>
        <w:ind w:left="1080"/>
      </w:pPr>
      <w:r>
        <w:rPr>
          <w:sz w:val="22"/>
        </w:rPr>
        <w:t>Needed: Serial kinematic or imaging assessment during structured prehab to define the time course of scapulothoracic normalization</w:t>
      </w:r>
    </w:p>
    <w:p>
      <w:pPr>
        <w:pStyle w:val="ListNumber"/>
      </w:pPr>
      <w:r>
        <w:rPr>
          <w:sz w:val="22"/>
        </w:rPr>
        <w:t>Should post-operative rehabilitation after rTSA specifically target scapular stabilizers?</w:t>
      </w:r>
    </w:p>
    <w:p>
      <w:pPr>
        <w:pStyle w:val="ListBullet"/>
        <w:ind w:left="1080"/>
      </w:pPr>
      <w:r>
        <w:rPr>
          <w:sz w:val="22"/>
        </w:rPr>
        <w:t>Walker 2015: "particular attention to the periscapular muscles" in rTSA rehab</w:t>
      </w:r>
    </w:p>
    <w:p>
      <w:pPr>
        <w:pStyle w:val="ListBullet"/>
        <w:ind w:left="1080"/>
      </w:pPr>
      <w:r>
        <w:rPr>
          <w:sz w:val="22"/>
        </w:rPr>
        <w:t>Needed: RCT — standard rTSA rehab vs. scapular-targeted rTSA rehab, outcomes at 1-2 years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V. Tensegrity and Biomechanical Modeling</w:t>
      </w:r>
    </w:p>
    <w:p>
      <w:pPr>
        <w:pStyle w:val="ListNumber"/>
      </w:pPr>
      <w:r>
        <w:rPr>
          <w:sz w:val="22"/>
        </w:rPr>
        <w:t>Does the scapulothoracic muscle attachment pattern match tensegrity-optimized configurations?</w:t>
      </w:r>
    </w:p>
    <w:p>
      <w:pPr>
        <w:pStyle w:val="ListBullet"/>
        <w:ind w:left="1080"/>
      </w:pPr>
      <w:r>
        <w:rPr>
          <w:sz w:val="22"/>
        </w:rPr>
        <w:t>Chen &amp; Ingber 1999: tensegrity minimizes metabolic cost through tension-dominant architecture</w:t>
      </w:r>
    </w:p>
    <w:p>
      <w:pPr>
        <w:pStyle w:val="ListBullet"/>
        <w:ind w:left="1080"/>
      </w:pPr>
      <w:r>
        <w:rPr>
          <w:sz w:val="22"/>
        </w:rPr>
        <w:t>Roboticists have built tensegrity shoulders (Baltaxe-Admony 2016, Li 2022) with solutions resembling anatomy</w:t>
      </w:r>
    </w:p>
    <w:p>
      <w:pPr>
        <w:pStyle w:val="ListBullet"/>
        <w:ind w:left="1080"/>
      </w:pPr>
      <w:r>
        <w:rPr>
          <w:sz w:val="22"/>
        </w:rPr>
        <w:t>Needed: Computational optimization study — given scapula geometry and motion requirements, derive minimum-energy muscle arrangement using tensegrity math, compare to actual anatomy</w:t>
      </w:r>
    </w:p>
    <w:p>
      <w:pPr>
        <w:pStyle w:val="ListNumber"/>
      </w:pPr>
      <w:r>
        <w:rPr>
          <w:sz w:val="22"/>
        </w:rPr>
        <w:t>Can a computational tensegrity model of the scapulothoracic system predict clinical kinematic patterns?</w:t>
      </w:r>
    </w:p>
    <w:p>
      <w:pPr>
        <w:pStyle w:val="ListBullet"/>
        <w:ind w:left="1080"/>
      </w:pPr>
      <w:r>
        <w:rPr>
          <w:sz w:val="22"/>
        </w:rPr>
        <w:t>Qualitative predictions match: pre-stress dependence (Kebaetse 1999), global reorganization (Borstad 2005, Burkhart 2003), self-stabilization (Mercurio 2026)</w:t>
      </w:r>
    </w:p>
    <w:p>
      <w:pPr>
        <w:pStyle w:val="ListBullet"/>
        <w:ind w:left="1080"/>
      </w:pPr>
      <w:r>
        <w:rPr>
          <w:sz w:val="22"/>
        </w:rPr>
        <w:t>Needed: Build a quantitative tensegrity model, computationally "weaken" serratus anterior, and compare predicted scapular position changes to Ludewig 2000's measured kinematics</w:t>
      </w:r>
    </w:p>
    <w:p>
      <w:pPr>
        <w:pStyle w:val="ListNumber"/>
      </w:pPr>
      <w:r>
        <w:rPr>
          <w:sz w:val="22"/>
        </w:rPr>
        <w:t>Does the scapulothoracic system exhibit strain-hardening (a tensegrity signature)?</w:t>
      </w:r>
    </w:p>
    <w:p>
      <w:pPr>
        <w:pStyle w:val="ListBullet"/>
        <w:ind w:left="1080"/>
      </w:pPr>
      <w:r>
        <w:rPr>
          <w:sz w:val="22"/>
        </w:rPr>
        <w:t>Cellular tensegrity demonstrates strain-hardening: stiffness increases with strain (Wang 2001, PNAS)</w:t>
      </w:r>
    </w:p>
    <w:p>
      <w:pPr>
        <w:pStyle w:val="ListBullet"/>
        <w:ind w:left="1080"/>
      </w:pPr>
      <w:r>
        <w:rPr>
          <w:sz w:val="22"/>
        </w:rPr>
        <w:t>Needed: Biomechanical study measuring scapulothoracic stiffness as a function of applied load — does it show the strain-hardening curve characteristic of tensegrity?</w:t>
      </w:r>
    </w:p>
    <w:p>
      <w:pPr>
        <w:pStyle w:val="ListNumber"/>
      </w:pPr>
      <w:r>
        <w:rPr>
          <w:sz w:val="22"/>
        </w:rPr>
        <w:t>Can tensegrity modeling predict scapulothoracic demands after rTSA?</w:t>
      </w:r>
    </w:p>
    <w:p>
      <w:pPr>
        <w:pStyle w:val="ListBullet"/>
        <w:ind w:left="1080"/>
      </w:pPr>
      <w:r>
        <w:rPr>
          <w:sz w:val="22"/>
        </w:rPr>
        <w:t>Model native scapulothoracic tensegrity, then replace GH joint with rTSA geometry</w:t>
      </w:r>
    </w:p>
    <w:p>
      <w:pPr>
        <w:pStyle w:val="ListBullet"/>
        <w:ind w:left="1080"/>
      </w:pPr>
      <w:r>
        <w:rPr>
          <w:sz w:val="22"/>
        </w:rPr>
        <w:t>Predict new tension requirements for each scapular stabilizer</w:t>
      </w:r>
    </w:p>
    <w:p>
      <w:pPr>
        <w:pStyle w:val="ListBullet"/>
        <w:ind w:left="1080"/>
      </w:pPr>
      <w:r>
        <w:rPr>
          <w:sz w:val="22"/>
        </w:rPr>
        <w:t>Compare to Walker 2015 SHR data and Kawashima 2025 outcome data</w:t>
      </w:r>
    </w:p>
    <w:p>
      <w:pPr>
        <w:pStyle w:val="ListBullet"/>
        <w:ind w:left="1080"/>
      </w:pPr>
      <w:r>
        <w:rPr>
          <w:sz w:val="22"/>
        </w:rPr>
        <w:t>Needed: Computational study — collaboration with biomedical engineer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VI. Evolutionary and Mechanotransduction Questions</w:t>
      </w:r>
    </w:p>
    <w:p>
      <w:pPr>
        <w:pStyle w:val="ListNumber"/>
      </w:pPr>
      <w:r>
        <w:rPr>
          <w:sz w:val="22"/>
        </w:rPr>
        <w:t>Is the scapulothoracic muscle attachment pattern consistent with evolutionary optimization for metabolic efficiency?</w:t>
      </w:r>
    </w:p>
    <w:p>
      <w:pPr>
        <w:pStyle w:val="ListBullet"/>
        <w:ind w:left="1080"/>
      </w:pPr>
      <w:r>
        <w:rPr>
          <w:sz w:val="22"/>
        </w:rPr>
        <w:t>Kuhn 2016: shoulder evolved for throwing</w:t>
      </w:r>
    </w:p>
    <w:p>
      <w:pPr>
        <w:pStyle w:val="ListBullet"/>
        <w:ind w:left="1080"/>
      </w:pPr>
      <w:r>
        <w:rPr>
          <w:sz w:val="22"/>
        </w:rPr>
        <w:t>Selby 2017: two fundamental scapular changes during hominoid evolution</w:t>
      </w:r>
    </w:p>
    <w:p>
      <w:pPr>
        <w:pStyle w:val="ListBullet"/>
        <w:ind w:left="1080"/>
      </w:pPr>
      <w:r>
        <w:rPr>
          <w:sz w:val="22"/>
        </w:rPr>
        <w:t>Chen &amp; Ingber 1999: tensegrity minimizes mass for given structural requirements</w:t>
      </w:r>
    </w:p>
    <w:p>
      <w:pPr>
        <w:pStyle w:val="ListBullet"/>
        <w:ind w:left="1080"/>
      </w:pPr>
      <w:r>
        <w:rPr>
          <w:sz w:val="22"/>
        </w:rPr>
        <w:t>Needed: Comparative anatomy study — scapular muscle attachment patterns across primates mapped onto tensegrity optimization models</w:t>
      </w:r>
    </w:p>
    <w:p>
      <w:pPr>
        <w:pStyle w:val="ListNumber"/>
      </w:pPr>
      <w:r>
        <w:rPr>
          <w:sz w:val="22"/>
        </w:rPr>
        <w:t>Does chronic scapulothoracic malposition produce measurable mechanotransduction changes in periscapular muscles?</w:t>
      </w:r>
    </w:p>
    <w:p>
      <w:pPr>
        <w:pStyle w:val="ListBullet"/>
        <w:ind w:left="1080"/>
      </w:pPr>
      <w:r>
        <w:rPr>
          <w:sz w:val="22"/>
        </w:rPr>
        <w:t>Ingber 1997, 2003, 2014: cellular tensegrity mediates mechanotransduction — chronic abnormal loading → altered gene expression</w:t>
      </w:r>
    </w:p>
    <w:p>
      <w:pPr>
        <w:pStyle w:val="ListBullet"/>
        <w:ind w:left="1080"/>
      </w:pPr>
      <w:r>
        <w:rPr>
          <w:sz w:val="22"/>
        </w:rPr>
        <w:t>Gibbons 2016: cuff tears produce sarcomere loss and fatty infiltration</w:t>
      </w:r>
    </w:p>
    <w:p>
      <w:pPr>
        <w:pStyle w:val="ListBullet"/>
        <w:ind w:left="1080"/>
      </w:pPr>
      <w:r>
        <w:rPr>
          <w:sz w:val="22"/>
        </w:rPr>
        <w:t>Needed: Biopsy or advanced imaging (MR spectroscopy?) of periscapular muscles in patients with chronic dyskinesis vs. matched controls — looking for architectural changes, fatty infiltration, or altered sarcomere properties</w:t>
      </w:r>
    </w:p>
    <w:p>
      <w:pPr>
        <w:pStyle w:val="ListNumber"/>
      </w:pPr>
      <w:r>
        <w:rPr>
          <w:sz w:val="22"/>
        </w:rPr>
        <w:t>Are there measurable differences in scapulothoracic biomechanics between modern sedentary humans and physically active populations?</w:t>
      </w:r>
    </w:p>
    <w:p>
      <w:pPr>
        <w:pStyle w:val="ListBullet"/>
        <w:ind w:left="1080"/>
      </w:pPr>
      <w:r>
        <w:rPr>
          <w:sz w:val="22"/>
        </w:rPr>
        <w:t>Kuhn 2016: shoulder designed for intermittent high-performance use</w:t>
      </w:r>
    </w:p>
    <w:p>
      <w:pPr>
        <w:pStyle w:val="ListBullet"/>
        <w:ind w:left="1080"/>
      </w:pPr>
      <w:r>
        <w:rPr>
          <w:sz w:val="22"/>
        </w:rPr>
        <w:t>Modern use case (sedentary, forward-oriented) differs from evolutionary design parameters</w:t>
      </w:r>
    </w:p>
    <w:p>
      <w:pPr>
        <w:pStyle w:val="ListBullet"/>
        <w:ind w:left="1080"/>
      </w:pPr>
      <w:r>
        <w:rPr>
          <w:sz w:val="22"/>
        </w:rPr>
        <w:t>Needed: Cross-cultural or occupational study comparing scapulothoracic kinematics and pathology rates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VII. Assessment and Measurement</w:t>
      </w:r>
    </w:p>
    <w:p>
      <w:pPr>
        <w:pStyle w:val="ListNumber"/>
      </w:pPr>
      <w:r>
        <w:rPr>
          <w:sz w:val="22"/>
        </w:rPr>
        <w:t>Can objective scapular assessment tools (wearable sensors, machine learning) replace unreliable visual assessment?</w:t>
      </w:r>
    </w:p>
    <w:p>
      <w:pPr>
        <w:pStyle w:val="ListBullet"/>
        <w:ind w:left="1080"/>
      </w:pPr>
      <w:r>
        <w:rPr>
          <w:sz w:val="22"/>
        </w:rPr>
        <w:t>Vila-Dieguez 2026: visual dyskinesia assessment Kappa = 0.12</w:t>
      </w:r>
    </w:p>
    <w:p>
      <w:pPr>
        <w:pStyle w:val="ListBullet"/>
        <w:ind w:left="1080"/>
      </w:pPr>
      <w:r>
        <w:rPr>
          <w:sz w:val="22"/>
        </w:rPr>
        <w:t>Mercurio 2026 used magnetic inertial measurement units (3D kinematic tracking)</w:t>
      </w:r>
    </w:p>
    <w:p>
      <w:pPr>
        <w:pStyle w:val="ListBullet"/>
        <w:ind w:left="1080"/>
      </w:pPr>
      <w:r>
        <w:rPr>
          <w:sz w:val="22"/>
        </w:rPr>
        <w:t>Needed: Validation study of wearable sensor-based scapular kinematic assessment against gold standard (bone pins or biplanar fluoroscopy)</w:t>
      </w:r>
    </w:p>
    <w:p>
      <w:pPr>
        <w:pStyle w:val="ListNumber"/>
      </w:pPr>
      <w:r>
        <w:rPr>
          <w:sz w:val="22"/>
        </w:rPr>
        <w:t>Should the Scapular Assistance Test be standardized and validated as a clinical outcome measure?</w:t>
      </w:r>
    </w:p>
    <w:p>
      <w:pPr>
        <w:pStyle w:val="ListBullet"/>
        <w:ind w:left="1080"/>
      </w:pPr>
      <w:r>
        <w:rPr>
          <w:sz w:val="22"/>
        </w:rPr>
        <w:t>Seitz 2012: SAT changes subacromial space but not cuff strength</w:t>
      </w:r>
    </w:p>
    <w:p>
      <w:pPr>
        <w:pStyle w:val="ListBullet"/>
        <w:ind w:left="1080"/>
      </w:pPr>
      <w:r>
        <w:rPr>
          <w:sz w:val="22"/>
        </w:rPr>
        <w:t>Currently no standardized protocol or scoring system</w:t>
      </w:r>
    </w:p>
    <w:p>
      <w:pPr>
        <w:pStyle w:val="ListBullet"/>
        <w:ind w:left="1080"/>
      </w:pPr>
      <w:r>
        <w:rPr>
          <w:sz w:val="22"/>
        </w:rPr>
        <w:t>Needed: Reliability study of standardized SAT protocol, followed by validity study against kinematic assessment</w:t>
      </w:r>
    </w:p>
    <w:p>
      <w:pPr>
        <w:jc w:val="center"/>
      </w:pPr>
      <w:r>
        <w:rPr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Prioritization</w:t>
      </w:r>
    </w:p>
    <w:p>
      <w:pPr>
        <w:pStyle w:val="Heading2"/>
      </w:pPr>
      <w:r>
        <w:t>Most Accessible (could start now with minimal resources)</w:t>
      </w:r>
    </w:p>
    <w:p>
      <w:pPr>
        <w:pStyle w:val="ListBullet"/>
        <w:ind w:left="360"/>
      </w:pPr>
      <w:r>
        <w:rPr>
          <w:sz w:val="22"/>
        </w:rPr>
        <w:t>#12: Pre-op dyskinesis predicting cuff repair outcomes (prospective cohort, clinical assessment)</w:t>
      </w:r>
    </w:p>
    <w:p>
      <w:pPr>
        <w:pStyle w:val="ListBullet"/>
        <w:ind w:left="360"/>
      </w:pPr>
      <w:r>
        <w:rPr>
          <w:sz w:val="22"/>
        </w:rPr>
        <w:t>#18: Scapular prehab before cuff repair (pilot RCT)</w:t>
      </w:r>
    </w:p>
    <w:p>
      <w:pPr>
        <w:pStyle w:val="ListBullet"/>
        <w:ind w:left="360"/>
      </w:pPr>
      <w:r>
        <w:rPr>
          <w:sz w:val="22"/>
        </w:rPr>
        <w:t>#30: SAT standardization and validation</w:t>
      </w:r>
    </w:p>
    <w:p>
      <w:pPr>
        <w:pStyle w:val="Heading2"/>
      </w:pPr>
      <w:r>
        <w:t>Most Impactful (paradigm-shifting if positive)</w:t>
      </w:r>
    </w:p>
    <w:p>
      <w:pPr>
        <w:pStyle w:val="ListBullet"/>
        <w:ind w:left="360"/>
      </w:pPr>
      <w:r>
        <w:rPr>
          <w:sz w:val="22"/>
        </w:rPr>
        <w:t>#7: Dynamic glenoid version measurement (biplanar fluoroscopy)</w:t>
      </w:r>
    </w:p>
    <w:p>
      <w:pPr>
        <w:pStyle w:val="ListBullet"/>
        <w:ind w:left="360"/>
      </w:pPr>
      <w:r>
        <w:rPr>
          <w:sz w:val="22"/>
        </w:rPr>
        <w:t>#13: Pre-op scapular function predicting rTSA outcomes</w:t>
      </w:r>
    </w:p>
    <w:p>
      <w:pPr>
        <w:pStyle w:val="ListBullet"/>
        <w:ind w:left="360"/>
      </w:pPr>
      <w:r>
        <w:rPr>
          <w:sz w:val="22"/>
        </w:rPr>
        <w:t>#22: Tensegrity optimization matching actual anatomy (computational)</w:t>
      </w:r>
    </w:p>
    <w:p>
      <w:pPr>
        <w:pStyle w:val="Heading2"/>
      </w:pPr>
      <w:r>
        <w:t>Most Novel (nobody has published anything close)</w:t>
      </w:r>
    </w:p>
    <w:p>
      <w:pPr>
        <w:pStyle w:val="ListBullet"/>
        <w:ind w:left="360"/>
      </w:pPr>
      <w:r>
        <w:rPr>
          <w:sz w:val="22"/>
        </w:rPr>
        <w:t>#22: Tensegrity-optimized anatomy prediction</w:t>
      </w:r>
    </w:p>
    <w:p>
      <w:pPr>
        <w:pStyle w:val="ListBullet"/>
        <w:ind w:left="360"/>
      </w:pPr>
      <w:r>
        <w:rPr>
          <w:sz w:val="22"/>
        </w:rPr>
        <w:t>#23: Tensegrity model predicting clinical kinematics</w:t>
      </w:r>
    </w:p>
    <w:p>
      <w:pPr>
        <w:pStyle w:val="ListBullet"/>
        <w:ind w:left="360"/>
      </w:pPr>
      <w:r>
        <w:rPr>
          <w:sz w:val="22"/>
        </w:rPr>
        <w:t>#10: B0 phenotype prevention through scapulothoracic intervention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