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Tension, Compression, and the Shoulder</w:t>
      </w:r>
    </w:p>
    <w:p>
      <w:pPr>
        <w:pStyle w:val="Heading1"/>
        <w:jc w:val="center"/>
      </w:pPr>
      <w:r>
        <w:t>A First-Principles Framework</w:t>
      </w:r>
    </w:p>
    <w:p>
      <w:pPr>
        <w:jc w:val="center"/>
      </w:pPr>
      <w:r>
        <w:rPr>
          <w:sz w:val="16"/>
        </w:rPr>
        <w:t>────────────────────────────────────────</w:t>
      </w:r>
    </w:p>
    <w:p>
      <w:pPr>
        <w:pStyle w:val="Heading2"/>
      </w:pPr>
      <w:r>
        <w:t>The Principle</w:t>
      </w:r>
    </w:p>
    <w:p>
      <w:r>
        <w:rPr>
          <w:sz w:val="24"/>
        </w:rPr>
        <w:t>Living structures solve the same engineering problem at every scale: how to be stable, mobile, and metabolically efficient simultaneously. The solution that evolution converged on — from cytoskeletons to skeletons — is tensegrity: a small number of compression elements held in position by a continuous network of tension elements. Stability comes from the balance of tension, not from stacking compression.</w:t>
      </w:r>
    </w:p>
    <w:p>
      <w:r>
        <w:rPr>
          <w:sz w:val="24"/>
        </w:rPr>
        <w:t>This isn't a theory. At the cellular level, it's proven: microtubules bear compression, actin filaments bear tension, and the cell's shape, stiffness, and biological responses are governed by the balance between them (Ingber, Science 1993; PNAS 2001; Annual Review of Physiology 1997 — over 5,000 combined citations). At the tissue level, Chen and Ingber extended the same principle from skeleton to cytoskeleton (Osteoarthritis &amp; Cartilage, 1999). The same organizational logic appears wherever evolution needed structures that are strong, light, and responsive to their mechanical environment.</w:t>
      </w:r>
    </w:p>
    <w:p>
      <w:pPr>
        <w:pStyle w:val="Heading2"/>
      </w:pPr>
      <w:r>
        <w:t>Why It Matters for the Shoulder</w:t>
      </w:r>
    </w:p>
    <w:p>
      <w:r>
        <w:rPr>
          <w:sz w:val="24"/>
        </w:rPr>
        <w:t>The scapulothoracic articulation is the clearest musculoskeletal example of this principle. The scapula is a bone with no bony connection to the axial skeleton — a compression element floating in a continuous network of muscle and fascia. Its position is entirely determined by the balance of tension forces acting on it.</w:t>
      </w:r>
    </w:p>
    <w:p>
      <w:r>
        <w:rPr>
          <w:sz w:val="24"/>
        </w:rPr>
        <w:t>This single anatomical fact has consequences that ripple through everything we treat:</w:t>
      </w:r>
    </w:p>
    <w:p>
      <w:r>
        <w:rPr>
          <w:sz w:val="24"/>
        </w:rPr>
        <w:t>1. The scapula's position determines the glenoid's orientation.</w:t>
      </w:r>
    </w:p>
    <w:p>
      <w:r>
        <w:rPr>
          <w:sz w:val="24"/>
        </w:rPr>
        <w:t>Bryce et al. (JBJS, 2010, 147 citations) showed that scapular rotation changes measured glenoid version by up to 22.5°. This was framed as a CT measurement problem. But it's not just a measurement problem — it's a functional reality. Every time the scapula shifts position, the socket changes orientation. Every patient's effective glenoid version is dynamic, not static.</w:t>
      </w:r>
    </w:p>
    <w:p>
      <w:r>
        <w:rPr>
          <w:sz w:val="24"/>
        </w:rPr>
        <w:t>2. The scapula's shape determines where force goes.</w:t>
      </w:r>
    </w:p>
    <w:p>
      <w:r>
        <w:rPr>
          <w:sz w:val="24"/>
        </w:rPr>
        <w:t>Moor et al. (BJJ, 2013) showed that the Critical Shoulder Angle — a measurement of the scapula's lateral acromial extension and glenoid inclination — predicts rotator cuff tears (CSA &gt;35°) and osteoarthritis (CSA &lt;30°) with an AUC of 0.92. Viehöfer et al. (J Orthop Res, 2016) showed why: a high CSA produces 23% more shear force at 50° of abduction. The scapula's shape determines the force environment the cuff lives in.</w:t>
      </w:r>
    </w:p>
    <w:p>
      <w:r>
        <w:rPr>
          <w:sz w:val="24"/>
        </w:rPr>
        <w:t>This isn't just correlative. Garcia (JSES, 2017) showed that CSA &gt;38° produces an odds ratio of 14.8 for retear after cuff repair. Gerber (Arthroscopy, 2018, 112 citations) showed that correcting the CSA through lateral acromioplasty — shaving 6mm off the lateral acromion — improved outcomes. Patients corrected to CSA ≤33° had 25% more strength than those ≥35°. And Passaplan (JSES, 2021) showed CSA doesn't change over a decade — it's innate.</w:t>
      </w:r>
    </w:p>
    <w:p>
      <w:r>
        <w:rPr>
          <w:sz w:val="24"/>
        </w:rPr>
        <w:t>The same principle applies to instability. Meyer (JBJS, 2019, 72 citations) showed that posterior acromial height ≥23mm produces an odds ratio of 39 for posterior instability. Hochreiter (J Exp Orthop, 2023) proved biomechanically that correcting the glenoid alone is insufficient — you must correct the acromial anatomy too. Gerber (JSES Int, 2025) is now performing 3D-planned scapular osteotomies to reshape the acromion for posterior instability.</w:t>
      </w:r>
    </w:p>
    <w:p>
      <w:r>
        <w:rPr>
          <w:sz w:val="24"/>
        </w:rPr>
        <w:t>Two different pathologies — cuff disease and instability. Same upstream structure. Same principle: the shape of the compression element determines the force distribution across the tension network.</w:t>
      </w:r>
    </w:p>
    <w:p>
      <w:r>
        <w:rPr>
          <w:sz w:val="24"/>
        </w:rPr>
        <w:t>3. When tension elements fail, the system doesn't degrade gradually — it collapses.</w:t>
      </w:r>
    </w:p>
    <w:p>
      <w:r>
        <w:rPr>
          <w:sz w:val="24"/>
        </w:rPr>
        <w:t>This is a fundamental property of tensegrity. Pre-stress (baseline tension) must stay above a critical threshold for the system to hold its shape. Below that threshold, the structure loses coherence.</w:t>
      </w:r>
    </w:p>
    <w:p>
      <w:r>
        <w:rPr>
          <w:sz w:val="24"/>
        </w:rPr>
        <w:t>Pseudoparalysis is exactly this. Denard (Orthopedics, 2012, 79 citations) showed that it's not tear size that determines pseudoparalysis — it's cable integrity. The rotator cable (Burkhart, Arthroscopy, 1993, 384 citations) is a cross-link: a thick band of fibers running perpendicular to the cuff tendon, redistributing tension across the network. When the cable is intact, even massive tears are functional. When the cable fails, the cross-link that redistributes force is gone, pre-stress drops below the threshold, and the system collapses. The deltoid is still firing — the force just has nowhere useful to go.</w:t>
      </w:r>
    </w:p>
    <w:p>
      <w:r>
        <w:rPr>
          <w:sz w:val="24"/>
        </w:rPr>
        <w:t>4. When we change one compression element, the entire tension network must adapt.</w:t>
      </w:r>
    </w:p>
    <w:p>
      <w:r>
        <w:rPr>
          <w:sz w:val="24"/>
        </w:rPr>
        <w:t>Reverse total shoulder arthroplasty replaces the glenohumeral joint — one compression element — with a fundamentally different geometry. Walker (JSES, 2015, 77 citations) showed that scapulohumeral rhythm changes from 3:1 to 1.3:1. The scapulothoracic system — still a tension network, still a tensegrity — now does more than half the work. Kawashima (JSES, 2025) showed that patients with better scapulothoracic rhythm have significantly better outcomes (ASES 94.3 vs 82.1, p=.007).</w:t>
      </w:r>
    </w:p>
    <w:p>
      <w:r>
        <w:rPr>
          <w:sz w:val="24"/>
        </w:rPr>
        <w:t>We replaced the joint to help the patient. But we made the most vulnerable part of the system — the tension-dependent scapulothoracic articulation — work harder. And we did this in patients whose periscapular muscles have often been compromised for years, with sarcomeres that have structurally remodeled to accommodate dysfunction (Gibbons, J Orthop Res, 2016). We're asking more from muscles that are architecturally committed to doing less.</w:t>
      </w:r>
    </w:p>
    <w:p>
      <w:r>
        <w:rPr>
          <w:sz w:val="24"/>
        </w:rPr>
        <w:t>5. The same principle extends beyond the shoulder.</w:t>
      </w:r>
    </w:p>
    <w:p>
      <w:r>
        <w:rPr>
          <w:sz w:val="24"/>
        </w:rPr>
        <w:t>The lateral epicondyle is the highest-concentration tension node at the elbow — five muscle-tendons converging on a small bony area. Tanaka (J Hand Surgery, 2011) measured contact pressure between the ECRB and the capitellum: the ECRB simultaneously bears tension (as a wrist extensor) and compression (against the capitellum). This dual loading violates the tensegrity design principle. It may explain why the ECRB fails preferentially over the other extensors, and why scapular protraction — by increasing forearm pronation for fixed-hand tasks — could increase ECRB loading through an upstream mechanism.</w:t>
      </w:r>
    </w:p>
    <w:p>
      <w:pPr>
        <w:pStyle w:val="Heading2"/>
      </w:pPr>
      <w:r>
        <w:t>What This Framework Predicts</w:t>
      </w:r>
    </w:p>
    <w:p>
      <w:r>
        <w:rPr>
          <w:sz w:val="24"/>
        </w:rPr>
        <w:t>If the shoulder functions as a hierarchical tensegrity, specific predictions follow:</w:t>
      </w:r>
    </w:p>
    <w:p>
      <w:pPr>
        <w:pStyle w:val="ListBullet"/>
      </w:pPr>
      <w:r>
        <w:rPr>
          <w:sz w:val="24"/>
        </w:rPr>
        <w:t>- Pre-operative scapulothoracic function should predict surgical outcomes — for cuff repair (does dyskinesis predict retear?) and for rTSA (does scapulothoracic reserve predict functional recovery). Nobody has published this.</w:t>
      </w:r>
    </w:p>
    <w:p>
      <w:pPr>
        <w:pStyle w:val="ListBullet"/>
      </w:pPr>
      <w:r>
        <w:rPr>
          <w:sz w:val="24"/>
        </w:rPr>
        <w:t>- Scapular prehabilitation should improve arthroplasty outcomes — not by "strengthening muscles" but by restoring sarcomere architecture and pre-stress before imposing new biomechanical demands. Nobody has tested this.</w:t>
      </w:r>
    </w:p>
    <w:p>
      <w:pPr>
        <w:pStyle w:val="ListBullet"/>
      </w:pPr>
      <w:r>
        <w:rPr>
          <w:sz w:val="24"/>
        </w:rPr>
        <w:t>- Cable integrity should predict retear independently of tear size and repair quality. The cross-link determines whether the network can redistribute force after repair.</w:t>
      </w:r>
    </w:p>
    <w:p>
      <w:pPr>
        <w:pStyle w:val="ListBullet"/>
      </w:pPr>
      <w:r>
        <w:rPr>
          <w:sz w:val="24"/>
        </w:rPr>
        <w:t>- The Walch B0 glenoid may originate as a scapulothoracic problem. Chronic functional retroversion from scapular malposition — not static bony retroversion — may initiate the posterior wear cascade. Akgun (AJSM, 2024) showed scapulothoracic orientation differs in these patients.</w:t>
      </w:r>
    </w:p>
    <w:p>
      <w:pPr>
        <w:pStyle w:val="ListBullet"/>
      </w:pPr>
      <w:r>
        <w:rPr>
          <w:sz w:val="24"/>
        </w:rPr>
        <w:t>- Lateral epicondylitis patients should have more scapular protraction than matched controls. If they do, and if correcting scapular position reduces forearm pronation, the upstream mechanism is established.</w:t>
      </w:r>
    </w:p>
    <w:p>
      <w:r>
        <w:rPr>
          <w:sz w:val="24"/>
        </w:rPr>
        <w:t>Each of these is testable. Each follows from the same principle: stability through tension balance, vulnerability when that balance is disrupted, and consequences that propagate through the system because the tension network is continuous.</w:t>
      </w:r>
    </w:p>
    <w:p>
      <w:pPr>
        <w:pStyle w:val="Heading2"/>
      </w:pPr>
      <w:r>
        <w:t>What We Don't Know</w:t>
      </w:r>
    </w:p>
    <w:p>
      <w:r>
        <w:rPr>
          <w:sz w:val="24"/>
        </w:rPr>
        <w:t>The qualitative predictions match clinical observations. The quantitative predictions haven't been made. We cannot yet calculate how many degrees of scapular protraction produce how many millimeters of subacromial space narrowing, or how much serratus anterior weakness produces how much scapular shift. The system is too complex, too actively controlled by the nervous system, and too variable between individuals for precise quantitative modeling — yet.</w:t>
      </w:r>
    </w:p>
    <w:p>
      <w:r>
        <w:rPr>
          <w:sz w:val="24"/>
        </w:rPr>
        <w:t>The tensegrity framework for the scapula is in the position that cellular tensegrity was in the early 1990s — before Ingber's experimental validation. The anatomy fits. The clinical observations are consistent. The predictions are specific and testable. What's needed now is the measurement.</w:t>
      </w:r>
    </w:p>
    <w:p>
      <w:pPr>
        <w:pStyle w:val="Heading2"/>
      </w:pPr>
      <w:r>
        <w:t>The Bottom Line</w:t>
      </w:r>
    </w:p>
    <w:p>
      <w:r>
        <w:rPr>
          <w:sz w:val="24"/>
        </w:rPr>
        <w:t>The scapula is where evolutionary design, morphological variation, and surgical intervention all converge. Its shape determines force distribution. Its position determines glenoid orientation, subacromial space, and cuff loading. Its muscular suspension makes it both adaptable and vulnerable. And when we change the glenohumeral joint with arthroplasty, the scapula's tension network bears the consequences.</w:t>
      </w:r>
    </w:p>
    <w:p>
      <w:r>
        <w:rPr>
          <w:sz w:val="24"/>
        </w:rPr>
        <w:t>You can explain this with one sentence: the scapula is a compression element in a tension network, and the state of that network determines everything downstream.</w:t>
      </w:r>
    </w:p>
    <w:p>
      <w:r>
        <w:rPr>
          <w:sz w:val="24"/>
        </w:rPr>
        <w:t>Everything else — CSA, posterior acromial morphology, dyskinesia, the cable-crescent architecture, pseudoparalysis, rTSA outcomes, even lateral epicondylitis — is a specific instance of that principle applied to a specific clinical problem.</w:t>
      </w:r>
    </w:p>
    <w:p>
      <w:pPr>
        <w:jc w:val="center"/>
      </w:pPr>
      <w:r>
        <w:rPr>
          <w:sz w:val="16"/>
        </w:rPr>
        <w:t>────────────────────────────────────────</w:t>
      </w:r>
    </w:p>
    <w:p>
      <w:r>
        <w:rPr>
          <w:sz w:val="24"/>
        </w:rPr>
        <w:t>[Your Name], MD</w:t>
      </w:r>
    </w:p>
    <w:p>
      <w:r>
        <w:rPr>
          <w:sz w:val="24"/>
        </w:rPr>
        <w:t>University of Oklahoma → University of Colorado (S/E Fellowship)</w:t>
      </w:r>
    </w:p>
    <w:p>
      <w:r>
        <w:rPr>
          <w:sz w:val="24"/>
        </w:rPr>
        <w:t>Living document — March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