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Scapula as the Biomechanical Bottleneck of the Shoulder</w:t>
      </w:r>
    </w:p>
    <w:p>
      <w:pPr>
        <w:pStyle w:val="Heading1"/>
      </w:pPr>
      <w:r>
        <w:t>Master Research Document</w:t>
      </w:r>
    </w:p>
    <w:p>
      <w:pPr>
        <w:pStyle w:val="Heading2"/>
      </w:pPr>
      <w:r>
        <w:t>Brad Roepke, MD</w:t>
      </w:r>
    </w:p>
    <w:p>
      <w:pPr>
        <w:pStyle w:val="Heading2"/>
      </w:pPr>
      <w:r>
        <w:t>University of Oklahoma → University of Colorado (S/E Fellowship)</w:t>
      </w:r>
    </w:p>
    <w:p>
      <w:pPr>
        <w:pStyle w:val="Heading2"/>
      </w:pPr>
      <w:r>
        <w:t>Living Document — Last Updated March 23, 2026</w:t>
      </w:r>
    </w:p>
    <w:p>
      <w:pPr>
        <w:jc w:val="center"/>
      </w:pPr>
      <w:r>
        <w:rPr>
          <w:sz w:val="16"/>
        </w:rPr>
        <w:t>──────────────────────────────────────────────────</w:t>
      </w:r>
    </w:p>
    <w:p>
      <w:r>
        <w:rPr>
          <w:sz w:val="22"/>
        </w:rPr>
        <w:t>This is the single comprehensive document for the scapula research program. It contains the conceptual framework, all research questions, the practical study plan, publication roadmap, and key contacts. All other research planning documents are superseded by this one.</w:t>
      </w:r>
    </w:p>
    <w:p>
      <w:pPr>
        <w:jc w:val="center"/>
      </w:pPr>
      <w:r>
        <w:rPr>
          <w:sz w:val="16"/>
        </w:rPr>
        <w:t>──────────────────────────────────────────────────</w:t>
      </w:r>
    </w:p>
    <w:p>
      <w:pPr>
        <w:pStyle w:val="Heading1"/>
      </w:pPr>
      <w:r>
        <w:t>PART 1: CORE ASSUMPTIONS</w:t>
      </w:r>
    </w:p>
    <w:p>
      <w:r>
        <w:rPr>
          <w:sz w:val="22"/>
        </w:rPr>
        <w:t>These are the foundational beliefs on which the entire framework rests. Each has been evaluated for evidence quality.</w:t>
      </w:r>
    </w:p>
    <w:p>
      <w:pPr>
        <w:pStyle w:val="Heading2"/>
      </w:pPr>
      <w:r>
        <w:t>1. Physical forces govern biological structures.</w:t>
      </w:r>
    </w:p>
    <w:p>
      <w:r>
        <w:rPr>
          <w:sz w:val="22"/>
        </w:rPr>
        <w:t>Tension, compression, shear, and torsion apply to all material objects. Biological structures are not exempt. Bone bears compression. Tendon bears tension. Cartilage bears compression and shear. Confidence: Absolute.</w:t>
      </w:r>
    </w:p>
    <w:p>
      <w:pPr>
        <w:pStyle w:val="Heading2"/>
      </w:pPr>
      <w:r>
        <w:t>2. Evolution selects for metabolically efficient solutions, subordinate to reproductive fitness.</w:t>
      </w:r>
    </w:p>
    <w:p>
      <w:r>
        <w:rPr>
          <w:sz w:val="22"/>
        </w:rPr>
        <w:t>Within the space of structures achieving the same functional outcome, natural selection favors lower metabolic cost. However, efficiency is sacrificed when functional advantage demands it (e.g., the depressed greater tuberosity sacrifices supraspinatus mechanical advantage for throwing range of motion). Confidence: High. Caveat: efficiency is not the sole optimization target.</w:t>
      </w:r>
    </w:p>
    <w:p>
      <w:pPr>
        <w:pStyle w:val="Heading2"/>
      </w:pPr>
      <w:r>
        <w:t>3. The human shoulder was significantly shaped by the ability to throw.</w:t>
      </w:r>
    </w:p>
    <w:p>
      <w:r>
        <w:rPr>
          <w:sz w:val="22"/>
        </w:rPr>
        <w:t>Supported by Kuhn 2016 (Am J Orthopedics), Roach 2013 (Nature — elastic energy storage), Selby 2017 (scapular evolution from clambering ancestor). Specific anatomical features (depressed tuberosity, coracoacromial ligament unique to hominids, GH cartilage alignment at 90 degrees abduction) are consistent with throwing adaptations. Confidence: Moderate-high. Caveat: throwing was one of several selection pressures.</w:t>
      </w:r>
    </w:p>
    <w:p>
      <w:pPr>
        <w:pStyle w:val="Heading2"/>
      </w:pPr>
      <w:r>
        <w:t>4. Similar physical constraints produce similar structural solutions across biological scales.</w:t>
      </w:r>
    </w:p>
    <w:p>
      <w:r>
        <w:rPr>
          <w:sz w:val="22"/>
        </w:rPr>
        <w:t>Ingber demonstrated tensegrity at the cellular level (Science 1993, Annu Rev Physiol 1997, J Cell Sci 2003, Rep Prog Phys 2014 — over 5,000 combined citations). Chen and Ingber extended the principle from cytoskeleton to skeleton (Osteoarthritis Cartilage 1999). Whether this represents conservation of the same developmental program or convergence on similar solutions from different programs is an open question. Confidence: High for the general principle. Moderate for tensegrity specifically at the musculoskeletal level.</w:t>
      </w:r>
    </w:p>
    <w:p>
      <w:pPr>
        <w:pStyle w:val="Heading2"/>
      </w:pPr>
      <w:r>
        <w:t>5. The scapulothoracic articulation functions as a tension-dependent system whose morphology and position determine downstream force distribution.</w:t>
      </w:r>
    </w:p>
    <w:p>
      <w:r>
        <w:rPr>
          <w:sz w:val="22"/>
        </w:rPr>
        <w:t>This is the central testable claim of the framework. Supported by CSA data (Moor, Viehöfer, Davide, Garcia, Gerber 2018), posterior acromial morphology (Meyer, Hochreiter), scapulothoracic orientation differences (Akgun 2024), rTSA kinematics (Walker, Kawashima), and persistent dyskinesis data (Mercurio 2026). Confidence: High. This is what the perspective paper argues.</w:t>
      </w:r>
    </w:p>
    <w:p>
      <w:pPr>
        <w:jc w:val="center"/>
      </w:pPr>
      <w:r>
        <w:rPr>
          <w:sz w:val="16"/>
        </w:rPr>
        <w:t>──────────────────────────────────────────────────</w:t>
      </w:r>
    </w:p>
    <w:p>
      <w:pPr>
        <w:pStyle w:val="Heading1"/>
      </w:pPr>
      <w:r>
        <w:t>PART 2: THE FRAMEWORK</w:t>
      </w:r>
    </w:p>
    <w:p>
      <w:pPr>
        <w:pStyle w:val="Heading2"/>
      </w:pPr>
      <w:r>
        <w:t>The Scapula as an Upstream Determinant</w:t>
      </w:r>
    </w:p>
    <w:p>
      <w:r>
        <w:rPr>
          <w:sz w:val="22"/>
        </w:rPr>
        <w:t>The scapula has no bony articulation with the axial skeleton. It is an unconstrained system stabilized entirely by the balance of tension forces in the surrounding musculature. Its position at any moment is a vector summation of those tensions. Because the scapula positions the glenoid, anchors the rotator cuff, and transmits force from the trunk to the arm, any change in this tension balance changes force distribution across every downstream structure.</w:t>
      </w:r>
    </w:p>
    <w:p>
      <w:r>
        <w:rPr>
          <w:sz w:val="22"/>
        </w:rPr>
        <w:t>The scapula exerts its upstream influence through two mechanistically distinct pathways:</w:t>
      </w:r>
    </w:p>
    <w:p>
      <w:r>
        <w:rPr>
          <w:sz w:val="22"/>
        </w:rPr>
        <w:t>Static morphology: The innate bony architecture (CSA, posterior acromial height, acromial coverage, acromial tilt). Does not change over time (Passaplan 2021). Not modifiable through rehabilitation. Determines the baseline force environment.</w:t>
      </w:r>
    </w:p>
    <w:p>
      <w:r>
        <w:rPr>
          <w:sz w:val="22"/>
        </w:rPr>
        <w:t>Dynamic positioning: The scapula's orientation during functional movement, governed by periscapular muscle forces. Potentially modifiable through rehabilitation, postural correction, or surgical intervention. Changes the effective force environment in real time.</w:t>
      </w:r>
    </w:p>
    <w:p>
      <w:pPr>
        <w:pStyle w:val="Heading2"/>
      </w:pPr>
      <w:r>
        <w:t>The Mechanical Switch: RCT vs OA</w:t>
      </w:r>
    </w:p>
    <w:p>
      <w:r>
        <w:rPr>
          <w:sz w:val="22"/>
        </w:rPr>
        <w:t>Rotator cuff tears and primary glenohumeral osteoarthritis are inversely related (Moor 2013). The biomechanical explanation centers on the shear-to-compression ratio determined by the CSA:</w:t>
      </w:r>
    </w:p>
    <w:p>
      <w:r>
        <w:rPr>
          <w:sz w:val="22"/>
        </w:rPr>
        <w:t>High CSA: The deltoid's force vector has a relatively greater superior shear component. The supraspinatus must work against this shear as a stabilizer rather than functioning as an agonist to the deltoid. The cuff is chronically overloaded (13-33% more SSP force needed per Gerber 2014), predisposing to degeneration and tearing. The articular surface is relatively spared from compressive wear. Result: cuff tears without OA.</w:t>
      </w:r>
    </w:p>
    <w:p>
      <w:r>
        <w:rPr>
          <w:sz w:val="22"/>
        </w:rPr>
        <w:t>Low CSA: The deltoid's vector is directed more compressively into the glenoid. Cuff and deltoid function as agonists. The cartilage bears greater cumulative compressive load over decades. The cuff is relatively spared. Result: OA without cuff tears.</w:t>
      </w:r>
    </w:p>
    <w:p>
      <w:r>
        <w:rPr>
          <w:sz w:val="22"/>
        </w:rPr>
        <w:t>The scapula's morphology, through a single geometric parameter, acts as a mechanical switch determining which downstream structure is preferentially loaded and which pathology develops. [SUPPORTED — Moor 2013, Viehöfer 2016, Gerber 2014]</w:t>
      </w:r>
    </w:p>
    <w:p>
      <w:pPr>
        <w:pStyle w:val="Heading2"/>
      </w:pPr>
      <w:r>
        <w:t>The Self-Reinforcing Cascade</w:t>
      </w:r>
    </w:p>
    <w:p>
      <w:r>
        <w:rPr>
          <w:sz w:val="22"/>
        </w:rPr>
        <w:t>When the scapula shifts to a new position, the consequences extend beyond kinematics through a series of individually well-understood physiological mechanisms:</w:t>
      </w:r>
    </w:p>
    <w:p>
      <w:pPr>
        <w:pStyle w:val="ListNumber"/>
      </w:pPr>
      <w:r>
        <w:rPr>
          <w:sz w:val="22"/>
        </w:rPr>
        <w:t>1. Positional shift changes the resting lengths of every attached muscle</w:t>
      </w:r>
    </w:p>
    <w:p>
      <w:pPr>
        <w:pStyle w:val="ListNumber"/>
      </w:pPr>
      <w:r>
        <w:rPr>
          <w:sz w:val="22"/>
        </w:rPr>
        <w:t>2. Altered resting length moves each muscle to a different point on its length-tension curve, changing force output for a given neural activation (Gibbons 2016 demonstrated this pathologically in the cuff)</w:t>
      </w:r>
    </w:p>
    <w:p>
      <w:pPr>
        <w:pStyle w:val="ListNumber"/>
      </w:pPr>
      <w:r>
        <w:rPr>
          <w:sz w:val="22"/>
        </w:rPr>
        <w:t>3. Altered force output changes the balance of the force couples controlling scapular rotation (Bagg and Forrest 1988, Ludewig 2000)</w:t>
      </w:r>
    </w:p>
    <w:p>
      <w:pPr>
        <w:pStyle w:val="ListNumber"/>
      </w:pPr>
      <w:r>
        <w:rPr>
          <w:sz w:val="22"/>
        </w:rPr>
        <w:t>4. Altered force couple balance may disrupt the timing and sequencing of muscle activation as the neuromuscular system recalibrates (Hodges 1996 established feedforward timing disruption at the spinal level; Cools 2007 showed altered trapezius timing in impingement)</w:t>
      </w:r>
    </w:p>
    <w:p>
      <w:pPr>
        <w:pStyle w:val="ListNumber"/>
      </w:pPr>
      <w:r>
        <w:rPr>
          <w:sz w:val="22"/>
        </w:rPr>
        <w:t>5. Sustained positional change triggers sarcomere remodeling — muscles add or subtract sarcomeres in series to optimize for the new (suboptimal) position (Williams and Goldspink animal models; Gibbons 2016 human cuff data)</w:t>
      </w:r>
    </w:p>
    <w:p>
      <w:pPr>
        <w:pStyle w:val="ListNumber"/>
      </w:pPr>
      <w:r>
        <w:rPr>
          <w:sz w:val="22"/>
        </w:rPr>
        <w:t>6. Sarcomere remodeling structurally commits the system to the dysfunctional position, making it resistant to simple strengthening</w:t>
      </w:r>
    </w:p>
    <w:p>
      <w:r>
        <w:rPr>
          <w:sz w:val="22"/>
        </w:rPr>
        <w:t>What begins as a positional shift becomes a self-reinforcing pattern of altered mechanics, altered motor control, and altered muscle architecture. This explains why scapular dyskinesis persists after cuff repair (Mercurio 2026) and why rehabilitation must be sustained long enough for sarcomere remodeling (weeks to months, per Burkhart 2003 — full repositioning at 3 months).</w:t>
      </w:r>
    </w:p>
    <w:p>
      <w:pPr>
        <w:pStyle w:val="Heading2"/>
      </w:pPr>
      <w:r>
        <w:t>The B0 Hypothesis: Dynamic Glenoid Version</w:t>
      </w:r>
    </w:p>
    <w:p>
      <w:r>
        <w:rPr>
          <w:sz w:val="22"/>
        </w:rPr>
        <w:t>Bryce 2010 (JBJS, 147 citations) showed scapular rotation changes measured glenoid version by up to 22.5 degrees. Framed as a CT measurement artifact, we propose reframing as a functional biomechanical variable: a scapula that chronically sits in more internal rotation presents a functionally more retroverted glenoid during loading.</w:t>
      </w:r>
    </w:p>
    <w:p>
      <w:r>
        <w:rPr>
          <w:sz w:val="22"/>
        </w:rPr>
        <w:t>Akgun 2024 showed C1 posterior decentering patients have different scapulothoracic orientation (less upward rotation, less tilt) but also less thoracic kyphosis, suggesting the mechanism is more complex than posture alone.</w:t>
      </w:r>
    </w:p>
    <w:p>
      <w:r>
        <w:rPr>
          <w:sz w:val="22"/>
        </w:rPr>
        <w:t>The cumulative loading argument: the magnitude of functional version change on any given day may be modest, but articular cartilage degeneration is driven by cumulative loading over time. A small persistent asymmetry maintained over years represents a meaningful mechanical dose. The B0 to B2 progression occurs over decades, consistent with cumulative loading.</w:t>
      </w:r>
    </w:p>
    <w:p>
      <w:r>
        <w:rPr>
          <w:sz w:val="22"/>
        </w:rPr>
        <w:t>Causation is unestablished. This is the most speculative component of the framework.</w:t>
      </w:r>
    </w:p>
    <w:p>
      <w:pPr>
        <w:pStyle w:val="Heading2"/>
      </w:pPr>
      <w:r>
        <w:t>The rTSA Paradox</w:t>
      </w:r>
    </w:p>
    <w:p>
      <w:r>
        <w:rPr>
          <w:sz w:val="22"/>
        </w:rPr>
        <w:t>rTSA converts the shoulder from tension-based stability (cuff providing dynamic centering) to geometry-based constraint (prosthetic ball-and-socket). The scapulothoracic system, still tension-dependent, now contributes approximately half of arm elevation (SHR 1.3:1 vs 3:1 normal, Walker 2015). Better SHR correlates with better outcomes (Kawashima 2025: ASES 94.3 vs 82.1, P=0.007). Moroder 2020 showed scapulothoracic orientation influences optimal component positioning (R=0.91). Shekhbihi 2025 called this "the scapulothoracic conundrum."</w:t>
      </w:r>
    </w:p>
    <w:p>
      <w:r>
        <w:rPr>
          <w:sz w:val="22"/>
        </w:rPr>
        <w:t>The prehab rationale: if periscapular muscles have undergone sarcomere remodeling from years of dysfunction, restoring their architecture before imposing new biomechanical demands (rTSA) should produce better outcomes than rehabilitating afterward. Camargo 2015 RCT supports scapular rehab effectiveness in impingement. Untested in arthroplasty population.</w:t>
      </w:r>
    </w:p>
    <w:p>
      <w:pPr>
        <w:pStyle w:val="Heading2"/>
      </w:pPr>
      <w:r>
        <w:t>The Tensegrity Lens</w:t>
      </w:r>
    </w:p>
    <w:p>
      <w:r>
        <w:rPr>
          <w:sz w:val="22"/>
        </w:rPr>
        <w:t>The scapulothoracic articulation fits the definition of tensegrity architecture: a compression element (scapula) floating in a continuous tension network (periscapular muscles) with no bony constraint. Stability emerges from the balance of tension rather than compressive stacking.</w:t>
      </w:r>
    </w:p>
    <w:p>
      <w:r>
        <w:rPr>
          <w:sz w:val="22"/>
        </w:rPr>
        <w:t>Clinical observations consistent with tensegrity predictions:</w:t>
      </w:r>
    </w:p>
    <w:p>
      <w:pPr>
        <w:pStyle w:val="ListBullet"/>
      </w:pPr>
      <w:r>
        <w:rPr>
          <w:sz w:val="22"/>
        </w:rPr>
        <w:t>Pre-stress determines stiffness (Kebaetse 1999: slouching reduces abduction by 23.6 degrees and force by 16.2%)</w:t>
      </w:r>
    </w:p>
    <w:p>
      <w:pPr>
        <w:pStyle w:val="ListBullet"/>
      </w:pPr>
      <w:r>
        <w:rPr>
          <w:sz w:val="22"/>
        </w:rPr>
        <w:t>Altered compression element geometry changes force distribution (CSA data, posterior acromial morphology)</w:t>
      </w:r>
    </w:p>
    <w:p>
      <w:pPr>
        <w:pStyle w:val="ListBullet"/>
      </w:pPr>
      <w:r>
        <w:rPr>
          <w:sz w:val="22"/>
        </w:rPr>
        <w:t>Local perturbation produces global reorganization (Borstad 2005: pec minor length changes kinematics in 3 planes; Burkhart 2003: SICK scapula produces symptoms at multiple anatomic sites)</w:t>
      </w:r>
    </w:p>
    <w:p>
      <w:pPr>
        <w:pStyle w:val="ListBullet"/>
      </w:pPr>
      <w:r>
        <w:rPr>
          <w:sz w:val="22"/>
        </w:rPr>
        <w:t>System self-stabilizes at new equilibrium after perturbation (Mercurio 2026: dyskinesis persists after repair)</w:t>
      </w:r>
    </w:p>
    <w:p>
      <w:r>
        <w:rPr>
          <w:sz w:val="22"/>
        </w:rPr>
        <w:t>Whether tensegrity is the correct formal model or a useful approximation remains open. We use it as a lens, not a claim. The observations stand regardless of whether the label is accepted.</w:t>
      </w:r>
    </w:p>
    <w:p>
      <w:pPr>
        <w:pStyle w:val="Heading2"/>
      </w:pPr>
      <w:r>
        <w:t>Alternative Biomechanical Models</w:t>
      </w:r>
    </w:p>
    <w:p>
      <w:r>
        <w:rPr>
          <w:sz w:val="22"/>
        </w:rPr>
        <w:t>The shoulder can be modeled through multiple frameworks, each capturing different aspects:</w:t>
      </w:r>
    </w:p>
    <w:p>
      <w:pPr>
        <w:pStyle w:val="ListBullet"/>
      </w:pPr>
      <w:r>
        <w:rPr>
          <w:sz w:val="22"/>
        </w:rPr>
        <w:t>Lever mechanics: Calculates joint forces accurately. Standard in implant design. Treats joints in isolation.</w:t>
      </w:r>
    </w:p>
    <w:p>
      <w:pPr>
        <w:pStyle w:val="ListBullet"/>
      </w:pPr>
      <w:r>
        <w:rPr>
          <w:sz w:val="22"/>
        </w:rPr>
        <w:t>Linked segment / kinetic chain: Explains sequential force transmission (Kibler's 51% data). Doesn't explain scapulothoracic stabilization.</w:t>
      </w:r>
    </w:p>
    <w:p>
      <w:pPr>
        <w:pStyle w:val="ListBullet"/>
      </w:pPr>
      <w:r>
        <w:rPr>
          <w:sz w:val="22"/>
        </w:rPr>
        <w:t>Tensegrity: Explains scapulothoracic suspension and global connectivity. Doesn't account for active neural control.</w:t>
      </w:r>
    </w:p>
    <w:p>
      <w:pPr>
        <w:pStyle w:val="ListBullet"/>
      </w:pPr>
      <w:r>
        <w:rPr>
          <w:sz w:val="22"/>
        </w:rPr>
        <w:t>Spring-mass-damper: Handles variable stiffness and dynamic responses. Muscles as variable-stiffness springs tuned by the nervous system. Pre-stress in tensegrity maps onto baseline muscle stiffness.</w:t>
      </w:r>
    </w:p>
    <w:p>
      <w:pPr>
        <w:pStyle w:val="ListBullet"/>
      </w:pPr>
      <w:r>
        <w:rPr>
          <w:sz w:val="22"/>
        </w:rPr>
        <w:t>Musculoskeletal computational models (OpenSim, AnyBody): Most complete. Doesn't assume a structural paradigm. Could validate or refute tensegrity predictions if applied to the scapulothoracic system.</w:t>
      </w:r>
    </w:p>
    <w:p>
      <w:pPr>
        <w:pStyle w:val="ListBullet"/>
      </w:pPr>
      <w:r>
        <w:rPr>
          <w:sz w:val="22"/>
        </w:rPr>
        <w:t>Elastic energy storage (Roach 2013): Explains throwing performance. Subscapularis and biceps as springs. Thorax as torsional spring. Applies specifically to high-energy movements.</w:t>
      </w:r>
    </w:p>
    <w:p>
      <w:pPr>
        <w:pStyle w:val="ListBullet"/>
      </w:pPr>
      <w:r>
        <w:rPr>
          <w:sz w:val="22"/>
        </w:rPr>
        <w:t>Optimal control / Bernstein's problem: The scapula has more degrees of freedom than needed. The CNS solves the redundancy problem. Dyskinesis may represent an energy-minimizing compensation given altered constraints.</w:t>
      </w:r>
    </w:p>
    <w:p>
      <w:r>
        <w:rPr>
          <w:sz w:val="22"/>
        </w:rPr>
        <w:t>No single model is sufficient. The scapulothoracic system likely requires tensegrity (for the structural logic), spring-mass-damper (for the dynamic neural control), and elastic energy (for throwing function) simultaneously.</w:t>
      </w:r>
    </w:p>
    <w:p>
      <w:pPr>
        <w:pStyle w:val="Heading2"/>
      </w:pPr>
      <w:r>
        <w:t>Honest Limitations and Competing Explanations</w:t>
      </w:r>
    </w:p>
    <w:p>
      <w:r>
        <w:rPr>
          <w:sz w:val="22"/>
        </w:rPr>
        <w:t>Intrinsic tendon biology: Age-related degeneration, vascular insufficiency, oxidative stress, and genetic predisposition contribute to cuff disease independently of scapulothoracic mechanics. Twin studies demonstrate a heritable component. This framework highlights an additional variable, not a replacement for these factors.</w:t>
      </w:r>
    </w:p>
    <w:p>
      <w:r>
        <w:rPr>
          <w:sz w:val="22"/>
        </w:rPr>
        <w:t>Acromial morphology debate: Not all studies replicate CSA associations (Arnar 2017: OR 1.12, P=0.63 for RCT). The role of acromial morphology in cuff pathology remains debated. Confounding by shared genetic factors cannot be excluded.</w:t>
      </w:r>
    </w:p>
    <w:p>
      <w:r>
        <w:rPr>
          <w:sz w:val="22"/>
        </w:rPr>
        <w:t>The Janda comparison: Vladimir Janda proposed upper/lower cross syndromes based primarily on clinical observation without rigorous biomechanical validation. His framework was intuitive but lacked quantitative evidence. This program differs in that its core claims (CSA predicts pathology, posterior acromial morphology predicts instability) are supported by Level III evidence with biomechanical validation. The tensegrity framing and B0 hypothesis are more speculative and should be held to a higher standard before being presented as established.</w:t>
      </w:r>
    </w:p>
    <w:p>
      <w:pPr>
        <w:jc w:val="center"/>
      </w:pPr>
      <w:r>
        <w:rPr>
          <w:sz w:val="16"/>
        </w:rPr>
        <w:t>──────────────────────────────────────────────────</w:t>
      </w:r>
    </w:p>
    <w:p>
      <w:pPr>
        <w:pStyle w:val="Heading1"/>
      </w:pPr>
      <w:r>
        <w:t>PART 3: RESEARCH QUESTIONS (46 Total)</w:t>
      </w:r>
    </w:p>
    <w:p>
      <w:pPr>
        <w:pStyle w:val="Heading2"/>
      </w:pPr>
      <w:r>
        <w:t>I. Critical Shoulder Angle and Rotator Cuff (Questions 1-4)</w:t>
      </w:r>
    </w:p>
    <w:p>
      <w:pPr>
        <w:pStyle w:val="ListNumber"/>
      </w:pPr>
      <w:r>
        <w:rPr>
          <w:sz w:val="22"/>
        </w:rPr>
        <w:t>1. Does CSA predict retear at our institution? (Replicate Garcia)</w:t>
      </w:r>
    </w:p>
    <w:p>
      <w:pPr>
        <w:pStyle w:val="ListNumber"/>
      </w:pPr>
      <w:r>
        <w:rPr>
          <w:sz w:val="22"/>
        </w:rPr>
        <w:t>2. Is there a CSA threshold above which lateral acromioplasty should be standard?</w:t>
      </w:r>
    </w:p>
    <w:p>
      <w:pPr>
        <w:pStyle w:val="ListNumber"/>
      </w:pPr>
      <w:r>
        <w:rPr>
          <w:sz w:val="22"/>
        </w:rPr>
        <w:t>3. Does CSA predict primary cuff tear development prospectively?</w:t>
      </w:r>
    </w:p>
    <w:p>
      <w:pPr>
        <w:pStyle w:val="ListNumber"/>
      </w:pPr>
      <w:r>
        <w:rPr>
          <w:sz w:val="22"/>
        </w:rPr>
        <w:t>4. Can CSA be used as a population screening tool?</w:t>
      </w:r>
    </w:p>
    <w:p>
      <w:pPr>
        <w:pStyle w:val="Heading2"/>
      </w:pPr>
      <w:r>
        <w:t>II. Posterior Acromial Morphology (Questions 5-6)</w:t>
      </w:r>
    </w:p>
    <w:p>
      <w:pPr>
        <w:pStyle w:val="ListNumber"/>
      </w:pPr>
      <w:r>
        <w:rPr>
          <w:sz w:val="22"/>
        </w:rPr>
        <w:t>5. Does correcting posterior acromial morphology reliably treat posterior instability? (Follow Gerber SCOPE data)</w:t>
      </w:r>
    </w:p>
    <w:p>
      <w:pPr>
        <w:pStyle w:val="ListNumber"/>
      </w:pPr>
      <w:r>
        <w:rPr>
          <w:sz w:val="22"/>
        </w:rPr>
        <w:t>6. Is PAH assessable on standard (non-fluoroscopic) radiographs?</w:t>
      </w:r>
    </w:p>
    <w:p>
      <w:pPr>
        <w:pStyle w:val="Heading2"/>
      </w:pPr>
      <w:r>
        <w:t>III. Dynamic Glenoid Version and B0 (Questions 7-11)</w:t>
      </w:r>
    </w:p>
    <w:p>
      <w:pPr>
        <w:pStyle w:val="ListNumber"/>
      </w:pPr>
      <w:r>
        <w:rPr>
          <w:sz w:val="22"/>
        </w:rPr>
        <w:t>7. Does scapulothoracic position dynamically alter effective glenoid version during functional movement? (Biplanar fluoroscopy)</w:t>
      </w:r>
    </w:p>
    <w:p>
      <w:pPr>
        <w:pStyle w:val="ListNumber"/>
      </w:pPr>
      <w:r>
        <w:rPr>
          <w:sz w:val="22"/>
        </w:rPr>
        <w:t>8. Do B0 patients have different scapulothoracic orientation than matched controls? (Replicate Akgun)</w:t>
      </w:r>
    </w:p>
    <w:p>
      <w:pPr>
        <w:pStyle w:val="ListNumber"/>
      </w:pPr>
      <w:r>
        <w:rPr>
          <w:sz w:val="22"/>
        </w:rPr>
        <w:t>9. Does chronic functional retroversion predict posterior cartilage changes over time?</w:t>
      </w:r>
    </w:p>
    <w:p>
      <w:pPr>
        <w:pStyle w:val="ListNumber"/>
      </w:pPr>
      <w:r>
        <w:rPr>
          <w:sz w:val="22"/>
        </w:rPr>
        <w:t>10. Is the B0 phenotype preventable through scapulothoracic intervention?</w:t>
      </w:r>
    </w:p>
    <w:p>
      <w:pPr>
        <w:pStyle w:val="ListNumber"/>
      </w:pPr>
      <w:r>
        <w:rPr>
          <w:sz w:val="22"/>
        </w:rPr>
        <w:t>11. Does scapulothoracic malposition create dynamic asymmetric loading on prosthetic glenoid components?</w:t>
      </w:r>
    </w:p>
    <w:p>
      <w:pPr>
        <w:pStyle w:val="Heading2"/>
      </w:pPr>
      <w:r>
        <w:t>IV. Scapulothoracic Function and Arthroplasty (Questions 12-17)</w:t>
      </w:r>
    </w:p>
    <w:p>
      <w:pPr>
        <w:pStyle w:val="ListNumber"/>
      </w:pPr>
      <w:r>
        <w:rPr>
          <w:sz w:val="22"/>
        </w:rPr>
        <w:t>12. Does pre-operative scapular dyskinesis predict worse outcomes after cuff repair?</w:t>
      </w:r>
    </w:p>
    <w:p>
      <w:pPr>
        <w:pStyle w:val="ListNumber"/>
      </w:pPr>
      <w:r>
        <w:rPr>
          <w:sz w:val="22"/>
        </w:rPr>
        <w:t>13. Does pre-operative scapular dyskinesis predict worse outcomes after rTSA?</w:t>
      </w:r>
    </w:p>
    <w:p>
      <w:pPr>
        <w:pStyle w:val="ListNumber"/>
      </w:pPr>
      <w:r>
        <w:rPr>
          <w:sz w:val="22"/>
        </w:rPr>
        <w:t>14. Should pre-operative scapulothoracic assessment be incorporated into arthroplasty planning software?</w:t>
      </w:r>
    </w:p>
    <w:p>
      <w:pPr>
        <w:pStyle w:val="ListNumber"/>
      </w:pPr>
      <w:r>
        <w:rPr>
          <w:sz w:val="22"/>
        </w:rPr>
        <w:t>15. Should rTSA lateralization be matched to scapulothoracic reserve?</w:t>
      </w:r>
    </w:p>
    <w:p>
      <w:pPr>
        <w:pStyle w:val="ListNumber"/>
      </w:pPr>
      <w:r>
        <w:rPr>
          <w:sz w:val="22"/>
        </w:rPr>
        <w:t>16. Does implant lateralization differentially affect scapulothoracic demands?</w:t>
      </w:r>
    </w:p>
    <w:p>
      <w:pPr>
        <w:pStyle w:val="ListNumber"/>
      </w:pPr>
      <w:r>
        <w:rPr>
          <w:sz w:val="22"/>
        </w:rPr>
        <w:t>17. Does pre-operative scapular dyskinesis predict scapular notching rate?</w:t>
      </w:r>
    </w:p>
    <w:p>
      <w:pPr>
        <w:pStyle w:val="Heading2"/>
      </w:pPr>
      <w:r>
        <w:t>V. Scapular Rehabilitation (Questions 18-21)</w:t>
      </w:r>
    </w:p>
    <w:p>
      <w:pPr>
        <w:pStyle w:val="ListNumber"/>
      </w:pPr>
      <w:r>
        <w:rPr>
          <w:sz w:val="22"/>
        </w:rPr>
        <w:t>18. Does scapular prehab before cuff repair improve outcomes?</w:t>
      </w:r>
    </w:p>
    <w:p>
      <w:pPr>
        <w:pStyle w:val="ListNumber"/>
      </w:pPr>
      <w:r>
        <w:rPr>
          <w:sz w:val="22"/>
        </w:rPr>
        <w:t>19. Does scapular prehab before rTSA improve outcomes?</w:t>
      </w:r>
    </w:p>
    <w:p>
      <w:pPr>
        <w:pStyle w:val="ListNumber"/>
      </w:pPr>
      <w:r>
        <w:rPr>
          <w:sz w:val="22"/>
        </w:rPr>
        <w:t>20. Is there a minimum duration needed for sarcomere remodeling?</w:t>
      </w:r>
    </w:p>
    <w:p>
      <w:pPr>
        <w:pStyle w:val="ListNumber"/>
      </w:pPr>
      <w:r>
        <w:rPr>
          <w:sz w:val="22"/>
        </w:rPr>
        <w:t>21. Should post-rTSA rehabilitation specifically target scapular stabilizers?</w:t>
      </w:r>
    </w:p>
    <w:p>
      <w:pPr>
        <w:pStyle w:val="Heading2"/>
      </w:pPr>
      <w:r>
        <w:t>VI. Tensegrity and Biomechanical Modeling (Questions 22-25)</w:t>
      </w:r>
    </w:p>
    <w:p>
      <w:pPr>
        <w:pStyle w:val="ListNumber"/>
      </w:pPr>
      <w:r>
        <w:rPr>
          <w:sz w:val="22"/>
        </w:rPr>
        <w:t>22. Does the scapulothoracic muscle attachment pattern match tensegrity-optimized configurations? (Computational)</w:t>
      </w:r>
    </w:p>
    <w:p>
      <w:pPr>
        <w:pStyle w:val="ListNumber"/>
      </w:pPr>
      <w:r>
        <w:rPr>
          <w:sz w:val="22"/>
        </w:rPr>
        <w:t>23. Can a computational tensegrity model predict clinical kinematic patterns?</w:t>
      </w:r>
    </w:p>
    <w:p>
      <w:pPr>
        <w:pStyle w:val="ListNumber"/>
      </w:pPr>
      <w:r>
        <w:rPr>
          <w:sz w:val="22"/>
        </w:rPr>
        <w:t>24. Does the scapulothoracic system exhibit strain-hardening? (Tensegrity signature)</w:t>
      </w:r>
    </w:p>
    <w:p>
      <w:pPr>
        <w:pStyle w:val="ListNumber"/>
      </w:pPr>
      <w:r>
        <w:rPr>
          <w:sz w:val="22"/>
        </w:rPr>
        <w:t>25. Can tensegrity modeling predict scapulothoracic demands after rTSA?</w:t>
      </w:r>
    </w:p>
    <w:p>
      <w:pPr>
        <w:pStyle w:val="Heading2"/>
      </w:pPr>
      <w:r>
        <w:t>VII. Evolutionary and Mechanotransduction (Questions 26-28)</w:t>
      </w:r>
    </w:p>
    <w:p>
      <w:pPr>
        <w:pStyle w:val="ListNumber"/>
      </w:pPr>
      <w:r>
        <w:rPr>
          <w:sz w:val="22"/>
        </w:rPr>
        <w:t>26. Is the scapulothoracic muscle attachment pattern consistent with evolutionary optimization for metabolic efficiency?</w:t>
      </w:r>
    </w:p>
    <w:p>
      <w:pPr>
        <w:pStyle w:val="ListNumber"/>
      </w:pPr>
      <w:r>
        <w:rPr>
          <w:sz w:val="22"/>
        </w:rPr>
        <w:t>27. Does chronic scapulothoracic malposition produce measurable mechanotransduction changes in periscapular muscles?</w:t>
      </w:r>
    </w:p>
    <w:p>
      <w:pPr>
        <w:pStyle w:val="ListNumber"/>
      </w:pPr>
      <w:r>
        <w:rPr>
          <w:sz w:val="22"/>
        </w:rPr>
        <w:t>28. Are there measurable scapulothoracic biomechanical differences between sedentary and physically active populations?</w:t>
      </w:r>
    </w:p>
    <w:p>
      <w:pPr>
        <w:pStyle w:val="Heading2"/>
      </w:pPr>
      <w:r>
        <w:t>VIII. Assessment and Measurement (Questions 29-30)</w:t>
      </w:r>
    </w:p>
    <w:p>
      <w:pPr>
        <w:pStyle w:val="ListNumber"/>
      </w:pPr>
      <w:r>
        <w:rPr>
          <w:sz w:val="22"/>
        </w:rPr>
        <w:t>29. Can objective scapular assessment tools (wearable sensors, ML) replace unreliable visual assessment?</w:t>
      </w:r>
    </w:p>
    <w:p>
      <w:pPr>
        <w:pStyle w:val="ListNumber"/>
      </w:pPr>
      <w:r>
        <w:rPr>
          <w:sz w:val="22"/>
        </w:rPr>
        <w:t>30. Should the SAT be standardized and validated as a clinical outcome measure?</w:t>
      </w:r>
    </w:p>
    <w:p>
      <w:pPr>
        <w:pStyle w:val="Heading2"/>
      </w:pPr>
      <w:r>
        <w:t>IX. Lateral Epicondylitis and Tensegrity (Questions 31-37)</w:t>
      </w:r>
    </w:p>
    <w:p>
      <w:pPr>
        <w:pStyle w:val="ListNumber"/>
      </w:pPr>
      <w:r>
        <w:rPr>
          <w:sz w:val="22"/>
        </w:rPr>
        <w:t>31. Is the lateral epicondyle a high-concentration tension node vulnerable under the tensegrity model?</w:t>
      </w:r>
    </w:p>
    <w:p>
      <w:pPr>
        <w:pStyle w:val="ListNumber"/>
      </w:pPr>
      <w:r>
        <w:rPr>
          <w:sz w:val="22"/>
        </w:rPr>
        <w:t>32. Does the ECRB's dual loading violation (tension + compression against capitellum) explain its specific vulnerability? (Tanaka 2011 measured contact pressure)</w:t>
      </w:r>
    </w:p>
    <w:p>
      <w:pPr>
        <w:pStyle w:val="ListNumber"/>
      </w:pPr>
      <w:r>
        <w:rPr>
          <w:sz w:val="22"/>
        </w:rPr>
        <w:t>33. Do lateral epicondylitis patients have more scapular protraction than controls?</w:t>
      </w:r>
    </w:p>
    <w:p>
      <w:pPr>
        <w:pStyle w:val="ListNumber"/>
      </w:pPr>
      <w:r>
        <w:rPr>
          <w:sz w:val="22"/>
        </w:rPr>
        <w:t>34. Does addressing upstream kinetic chain dysfunction reduce epicondylitis recurrence?</w:t>
      </w:r>
    </w:p>
    <w:p>
      <w:pPr>
        <w:pStyle w:val="ListNumber"/>
      </w:pPr>
      <w:r>
        <w:rPr>
          <w:sz w:val="22"/>
        </w:rPr>
        <w:t>35. Do epicondylitis patients have more forearm pronation during functional tasks, correlating with scapular protraction?</w:t>
      </w:r>
    </w:p>
    <w:p>
      <w:pPr>
        <w:pStyle w:val="ListNumber"/>
      </w:pPr>
      <w:r>
        <w:rPr>
          <w:sz w:val="22"/>
        </w:rPr>
        <w:t>36. Is the ECRB-capitellum contact pressure curve steep or flat with respect to forearm rotation?</w:t>
      </w:r>
    </w:p>
    <w:p>
      <w:pPr>
        <w:pStyle w:val="ListNumber"/>
      </w:pPr>
      <w:r>
        <w:rPr>
          <w:sz w:val="22"/>
        </w:rPr>
        <w:t>37. Does scapular correction reduce forearm pronation during constrained tasks?</w:t>
      </w:r>
    </w:p>
    <w:p>
      <w:pPr>
        <w:pStyle w:val="Heading2"/>
      </w:pPr>
      <w:r>
        <w:t>X. Rotator Cuff Cable-Crescent and Pseudoparalysis (Questions 38-46)</w:t>
      </w:r>
    </w:p>
    <w:p>
      <w:pPr>
        <w:pStyle w:val="ListNumber"/>
      </w:pPr>
      <w:r>
        <w:rPr>
          <w:sz w:val="22"/>
        </w:rPr>
        <w:t>38. Does cable integrity correlate with scapulothoracic function?</w:t>
      </w:r>
    </w:p>
    <w:p>
      <w:pPr>
        <w:pStyle w:val="ListNumber"/>
      </w:pPr>
      <w:r>
        <w:rPr>
          <w:sz w:val="22"/>
        </w:rPr>
        <w:t>39. Does CSA predict cable degeneration specifically?</w:t>
      </w:r>
    </w:p>
    <w:p>
      <w:pPr>
        <w:pStyle w:val="ListNumber"/>
      </w:pPr>
      <w:r>
        <w:rPr>
          <w:sz w:val="22"/>
        </w:rPr>
        <w:t>40. Does cable integrity predict retear independently of tear size and repair quality?</w:t>
      </w:r>
    </w:p>
    <w:p>
      <w:pPr>
        <w:pStyle w:val="ListNumber"/>
      </w:pPr>
      <w:r>
        <w:rPr>
          <w:sz w:val="22"/>
        </w:rPr>
        <w:t>41. Can scapular rehab improve function in symptomatic partial/small cuff tears without surgery?</w:t>
      </w:r>
    </w:p>
    <w:p>
      <w:pPr>
        <w:pStyle w:val="ListNumber"/>
      </w:pPr>
      <w:r>
        <w:rPr>
          <w:sz w:val="22"/>
        </w:rPr>
        <w:t>42. Is there a measurable molecular signature of altered mechanotransduction in tendons from patients with scapular dysfunction?</w:t>
      </w:r>
    </w:p>
    <w:p>
      <w:pPr>
        <w:pStyle w:val="ListNumber"/>
      </w:pPr>
      <w:r>
        <w:rPr>
          <w:sz w:val="22"/>
        </w:rPr>
        <w:t>43. Does correcting scapulothoracic position alter force distribution across the rotator cable?</w:t>
      </w:r>
    </w:p>
    <w:p>
      <w:pPr>
        <w:pStyle w:val="ListNumber"/>
      </w:pPr>
      <w:r>
        <w:rPr>
          <w:sz w:val="22"/>
        </w:rPr>
        <w:t>44. Does scapulothoracic function independently predict pseudoparalysis in massive tear patients?</w:t>
      </w:r>
    </w:p>
    <w:p>
      <w:pPr>
        <w:pStyle w:val="ListNumber"/>
      </w:pPr>
      <w:r>
        <w:rPr>
          <w:sz w:val="22"/>
        </w:rPr>
        <w:t>45. Can scapulothoracic optimization reverse pseudoparalysis without surgery?</w:t>
      </w:r>
    </w:p>
    <w:p>
      <w:pPr>
        <w:pStyle w:val="ListNumber"/>
      </w:pPr>
      <w:r>
        <w:rPr>
          <w:sz w:val="22"/>
        </w:rPr>
        <w:t>46. Is the pseudoparesis-to-pseudoparalysis transition binary (consistent with tensegrity collapse) or gradual?</w:t>
      </w:r>
    </w:p>
    <w:p>
      <w:pPr>
        <w:jc w:val="center"/>
      </w:pPr>
      <w:r>
        <w:rPr>
          <w:sz w:val="16"/>
        </w:rPr>
        <w:t>──────────────────────────────────────────────────</w:t>
      </w:r>
    </w:p>
    <w:p>
      <w:pPr>
        <w:pStyle w:val="Heading1"/>
      </w:pPr>
      <w:r>
        <w:t>PART 4: PRACTICAL STUDY PLAN</w:t>
      </w:r>
    </w:p>
    <w:p>
      <w:pPr>
        <w:pStyle w:val="Heading2"/>
      </w:pPr>
      <w:r>
        <w:t>Tier 1: Solo Studies (Residency / Early Fellowship)</w:t>
      </w:r>
    </w:p>
    <w:p>
      <w:r>
        <w:rPr>
          <w:sz w:val="22"/>
        </w:rPr>
        <w:t>Study 1: CSA and Retear at My Institution</w:t>
      </w:r>
    </w:p>
    <w:p>
      <w:r>
        <w:rPr>
          <w:sz w:val="22"/>
        </w:rPr>
        <w:t>Retrospective chart review. Measure CSA on pre-op AP radiographs for all cuff repairs. Correlate with retear. Replicate Garcia. No funding, no equipment, no collaborators needed. Start: now. Timeline: 2-3 months. Status: not started.</w:t>
      </w:r>
    </w:p>
    <w:p>
      <w:r>
        <w:rPr>
          <w:sz w:val="22"/>
        </w:rPr>
        <w:t>Study 2: CSA in B-Type vs Concentric OA Glenoids</w:t>
      </w:r>
    </w:p>
    <w:p>
      <w:r>
        <w:rPr>
          <w:sz w:val="22"/>
        </w:rPr>
        <w:t>Retrospective radiographic study. Compare CSA distribution between Walch B-type and A-type arthroplasty patients. Timeline: 1-2 months. Status: not started.</w:t>
      </w:r>
    </w:p>
    <w:p>
      <w:r>
        <w:rPr>
          <w:sz w:val="22"/>
        </w:rPr>
        <w:t>Study 3: Scapulothoracic Orientation in B-Type Glenoids</w:t>
      </w:r>
    </w:p>
    <w:p>
      <w:r>
        <w:rPr>
          <w:sz w:val="22"/>
        </w:rPr>
        <w:t>Retrospective CT study using Akgun 2024 methods. Compare scapulothoracic orientation between B-type and concentric OA. Timeline: 2-3 months. Status: not started.</w:t>
      </w:r>
    </w:p>
    <w:p>
      <w:pPr>
        <w:pStyle w:val="Heading2"/>
      </w:pPr>
      <w:r>
        <w:t>Tier 2: One Collaborator (Fellowship)</w:t>
      </w:r>
    </w:p>
    <w:p>
      <w:r>
        <w:rPr>
          <w:sz w:val="22"/>
        </w:rPr>
        <w:t>Study 4: Pre-Op Scapulothoracic Function Predicting Outcomes</w:t>
      </w:r>
    </w:p>
    <w:p>
      <w:r>
        <w:rPr>
          <w:sz w:val="22"/>
        </w:rPr>
        <w:t>Prospective cohort. Standardized scapulothoracic assessment pre-op, outcomes at 6-12 months. Needs PT collaborator. Career-defining if positive. Status: not started.</w:t>
      </w:r>
    </w:p>
    <w:p>
      <w:r>
        <w:rPr>
          <w:sz w:val="22"/>
        </w:rPr>
        <w:t>Study 5: Scapular Prehab Pilot</w:t>
      </w:r>
    </w:p>
    <w:p>
      <w:r>
        <w:rPr>
          <w:sz w:val="22"/>
        </w:rPr>
        <w:t>Randomized pilot. 6-12 weeks prehab vs standard care before rTSA. Needs same PT collaborator. Prerequisite: Study 4 results. Status: not started.</w:t>
      </w:r>
    </w:p>
    <w:p>
      <w:pPr>
        <w:pStyle w:val="Heading2"/>
      </w:pPr>
      <w:r>
        <w:t>Tier 3: Engineering Collaboration (Fellowship / Early Career)</w:t>
      </w:r>
    </w:p>
    <w:p>
      <w:r>
        <w:rPr>
          <w:sz w:val="22"/>
        </w:rPr>
        <w:t>Study 6: Dynamic Glenoid Version Measurement</w:t>
      </w:r>
    </w:p>
    <w:p>
      <w:r>
        <w:rPr>
          <w:sz w:val="22"/>
        </w:rPr>
        <w:t>Biplanar fluoroscopy during functional tasks. B0 patients vs controls. Needs motion analysis lab. Status: not started.</w:t>
      </w:r>
    </w:p>
    <w:p>
      <w:r>
        <w:rPr>
          <w:sz w:val="22"/>
        </w:rPr>
        <w:t>Study 7: Computational Tensegrity Model</w:t>
      </w:r>
    </w:p>
    <w:p>
      <w:r>
        <w:rPr>
          <w:sz w:val="22"/>
        </w:rPr>
        <w:t>Build and test a tensegrity model of the scapulothoracic system. Needs biomedical engineer. Status: not started.</w:t>
      </w:r>
    </w:p>
    <w:p>
      <w:pPr>
        <w:jc w:val="center"/>
      </w:pPr>
      <w:r>
        <w:rPr>
          <w:sz w:val="16"/>
        </w:rPr>
        <w:t>──────────────────────────────────────────────────</w:t>
      </w:r>
    </w:p>
    <w:p>
      <w:pPr>
        <w:pStyle w:val="Heading1"/>
      </w:pPr>
      <w:r>
        <w:t>PART 5: PUBLICATION ROADMAP</w:t>
      </w:r>
    </w:p>
    <w:p>
      <w:pPr>
        <w:pStyle w:val="Heading2"/>
      </w:pPr>
      <w:r>
        <w:t>Ready or In Progress</w:t>
      </w:r>
    </w:p>
    <w:p>
      <w:pPr>
        <w:pStyle w:val="ListBullet"/>
      </w:pPr>
      <w:r>
        <w:rPr>
          <w:sz w:val="22"/>
        </w:rPr>
        <w:t>[ ] Perspective paper: "Beyond the Glenohumeral Joint..." (Manuscript_Draft_v3) — send to Kuhn, submit to JSES Reviews</w:t>
      </w:r>
    </w:p>
    <w:p>
      <w:pPr>
        <w:pStyle w:val="ListBullet"/>
      </w:pPr>
      <w:r>
        <w:rPr>
          <w:sz w:val="22"/>
        </w:rPr>
        <w:t>[ ] Email to Kuhn — drafted, ready to send</w:t>
      </w:r>
    </w:p>
    <w:p>
      <w:pPr>
        <w:pStyle w:val="Heading2"/>
      </w:pPr>
      <w:r>
        <w:t>Next Papers</w:t>
      </w:r>
    </w:p>
    <w:p>
      <w:pPr>
        <w:pStyle w:val="ListBullet"/>
      </w:pPr>
      <w:r>
        <w:rPr>
          <w:sz w:val="22"/>
        </w:rPr>
        <w:t>[ ] Study 1: CSA and retear at single institution — original data</w:t>
      </w:r>
    </w:p>
    <w:p>
      <w:pPr>
        <w:pStyle w:val="ListBullet"/>
      </w:pPr>
      <w:r>
        <w:rPr>
          <w:sz w:val="22"/>
        </w:rPr>
        <w:t>[ ] Commentary on Mercurio 2026 — persistent dyskinesis and the upstream hypothesis</w:t>
      </w:r>
    </w:p>
    <w:p>
      <w:pPr>
        <w:pStyle w:val="ListBullet"/>
      </w:pPr>
      <w:r>
        <w:rPr>
          <w:sz w:val="22"/>
        </w:rPr>
        <w:t>[ ] Study 2/3: Scapulothoracic morphology and orientation in B-type vs concentric OA</w:t>
      </w:r>
    </w:p>
    <w:p>
      <w:pPr>
        <w:pStyle w:val="Heading2"/>
      </w:pPr>
      <w:r>
        <w:t>Future Papers</w:t>
      </w:r>
    </w:p>
    <w:p>
      <w:pPr>
        <w:pStyle w:val="ListBullet"/>
      </w:pPr>
      <w:r>
        <w:rPr>
          <w:sz w:val="22"/>
        </w:rPr>
        <w:t>[ ] Study 4: Pre-op scapulothoracic function as outcome predictor</w:t>
      </w:r>
    </w:p>
    <w:p>
      <w:pPr>
        <w:pStyle w:val="ListBullet"/>
      </w:pPr>
      <w:r>
        <w:rPr>
          <w:sz w:val="22"/>
        </w:rPr>
        <w:t>[ ] Dynamic glenoid version measurement</w:t>
      </w:r>
    </w:p>
    <w:p>
      <w:pPr>
        <w:pStyle w:val="ListBullet"/>
      </w:pPr>
      <w:r>
        <w:rPr>
          <w:sz w:val="22"/>
        </w:rPr>
        <w:t>[ ] Computational tensegrity validation</w:t>
      </w:r>
    </w:p>
    <w:p>
      <w:pPr>
        <w:pStyle w:val="ListBullet"/>
      </w:pPr>
      <w:r>
        <w:rPr>
          <w:sz w:val="22"/>
        </w:rPr>
        <w:t>[ ] Prehab pilot results</w:t>
      </w:r>
    </w:p>
    <w:p>
      <w:pPr>
        <w:jc w:val="center"/>
      </w:pPr>
      <w:r>
        <w:rPr>
          <w:sz w:val="16"/>
        </w:rPr>
        <w:t>──────────────────────────────────────────────────</w:t>
      </w:r>
    </w:p>
    <w:p>
      <w:pPr>
        <w:pStyle w:val="Heading1"/>
      </w:pPr>
      <w:r>
        <w:t>PART 6: KEY CONTACTS</w:t>
      </w:r>
    </w:p>
    <w:p>
      <w:pPr>
        <w:pStyle w:val="Heading2"/>
      </w:pPr>
      <w:r>
        <w:t>To Contact Now</w:t>
      </w:r>
    </w:p>
    <w:p>
      <w:pPr>
        <w:pStyle w:val="ListBullet"/>
      </w:pPr>
      <w:r>
        <w:rPr>
          <w:sz w:val="22"/>
        </w:rPr>
        <w:t>Jed Kuhn (Vanderbilt): Email and manuscript ready. Evolutionary framework, deep thinker.</w:t>
      </w:r>
    </w:p>
    <w:p>
      <w:pPr>
        <w:pStyle w:val="ListBullet"/>
      </w:pPr>
      <w:r>
        <w:rPr>
          <w:sz w:val="22"/>
        </w:rPr>
        <w:t>Rick Matsen (Washington): Email drafted. Glenohumeral balance, glenoid wear.</w:t>
      </w:r>
    </w:p>
    <w:p>
      <w:pPr>
        <w:pStyle w:val="Heading2"/>
      </w:pPr>
      <w:r>
        <w:t>To Identify at Fellowship</w:t>
      </w:r>
    </w:p>
    <w:p>
      <w:pPr>
        <w:pStyle w:val="ListBullet"/>
      </w:pPr>
      <w:r>
        <w:rPr>
          <w:sz w:val="22"/>
        </w:rPr>
        <w:t>PT collaborator at Colorado: For Studies 4-5. First month of fellowship.</w:t>
      </w:r>
    </w:p>
    <w:p>
      <w:pPr>
        <w:pStyle w:val="ListBullet"/>
      </w:pPr>
      <w:r>
        <w:rPr>
          <w:sz w:val="22"/>
        </w:rPr>
        <w:t>Biomedical engineer at Colorado: For Study 7. First three months.</w:t>
      </w:r>
    </w:p>
    <w:p>
      <w:pPr>
        <w:pStyle w:val="ListBullet"/>
      </w:pPr>
      <w:r>
        <w:rPr>
          <w:sz w:val="22"/>
        </w:rPr>
        <w:t>Fellowship shoulder faculty: Who does research, who cares about scapulothoracic topics.</w:t>
      </w:r>
    </w:p>
    <w:p>
      <w:pPr>
        <w:pStyle w:val="Heading2"/>
      </w:pPr>
      <w:r>
        <w:t>Researchers Doing Adjacent Work</w:t>
      </w:r>
    </w:p>
    <w:p>
      <w:pPr>
        <w:pStyle w:val="ListBullet"/>
      </w:pPr>
      <w:r>
        <w:rPr>
          <w:sz w:val="22"/>
        </w:rPr>
        <w:t>Moroder / Akgun (Berlin/Schulthess): Scapulothoracic orientation in rTSA and posterior instability</w:t>
      </w:r>
    </w:p>
    <w:p>
      <w:pPr>
        <w:pStyle w:val="ListBullet"/>
      </w:pPr>
      <w:r>
        <w:rPr>
          <w:sz w:val="22"/>
        </w:rPr>
        <w:t>Shekhbihi (Schulthess): "The scapulothoracic conundrum" review</w:t>
      </w:r>
    </w:p>
    <w:p>
      <w:pPr>
        <w:pStyle w:val="ListBullet"/>
      </w:pPr>
      <w:r>
        <w:rPr>
          <w:sz w:val="22"/>
        </w:rPr>
        <w:t>Walker / Banks (Florida): SHR after rTSA</w:t>
      </w:r>
    </w:p>
    <w:p>
      <w:pPr>
        <w:pStyle w:val="ListBullet"/>
      </w:pPr>
      <w:r>
        <w:rPr>
          <w:sz w:val="22"/>
        </w:rPr>
        <w:t>Kawashima (Florida/Japan): SHR and rTSA outcomes</w:t>
      </w:r>
    </w:p>
    <w:p>
      <w:pPr>
        <w:jc w:val="center"/>
      </w:pPr>
      <w:r>
        <w:rPr>
          <w:sz w:val="16"/>
        </w:rPr>
        <w:t>──────────────────────────────────────────────────</w:t>
      </w:r>
    </w:p>
    <w:p>
      <w:pPr>
        <w:pStyle w:val="Heading1"/>
      </w:pPr>
      <w:r>
        <w:t>PART 7: TIMELINE</w:t>
      </w:r>
    </w:p>
    <w:p>
      <w:pPr>
        <w:pStyle w:val="Heading2"/>
      </w:pPr>
      <w:r>
        <w:t>Now (March 2026)</w:t>
      </w:r>
    </w:p>
    <w:p>
      <w:pPr>
        <w:pStyle w:val="ListBullet"/>
      </w:pPr>
      <w:r>
        <w:rPr>
          <w:sz w:val="22"/>
        </w:rPr>
        <w:t>[x] Complete perspective manuscript</w:t>
      </w:r>
    </w:p>
    <w:p>
      <w:pPr>
        <w:pStyle w:val="ListBullet"/>
      </w:pPr>
      <w:r>
        <w:rPr>
          <w:sz w:val="22"/>
        </w:rPr>
        <w:t>[ ] Send to Kuhn</w:t>
      </w:r>
    </w:p>
    <w:p>
      <w:pPr>
        <w:pStyle w:val="ListBullet"/>
      </w:pPr>
      <w:r>
        <w:rPr>
          <w:sz w:val="22"/>
        </w:rPr>
        <w:t>[ ] Start IRB for Study 1</w:t>
      </w:r>
    </w:p>
    <w:p>
      <w:pPr>
        <w:pStyle w:val="Heading2"/>
      </w:pPr>
      <w:r>
        <w:t>Remaining Residency (April-June 2026)</w:t>
      </w:r>
    </w:p>
    <w:p>
      <w:pPr>
        <w:pStyle w:val="ListBullet"/>
      </w:pPr>
      <w:r>
        <w:rPr>
          <w:sz w:val="22"/>
        </w:rPr>
        <w:t>[ ] Give visiting professorship talk</w:t>
      </w:r>
    </w:p>
    <w:p>
      <w:pPr>
        <w:pStyle w:val="ListBullet"/>
      </w:pPr>
      <w:r>
        <w:rPr>
          <w:sz w:val="22"/>
        </w:rPr>
        <w:t>[ ] Collect Study 1 data</w:t>
      </w:r>
    </w:p>
    <w:p>
      <w:pPr>
        <w:pStyle w:val="ListBullet"/>
      </w:pPr>
      <w:r>
        <w:rPr>
          <w:sz w:val="22"/>
        </w:rPr>
        <w:t>[ ] Submit perspective paper</w:t>
      </w:r>
    </w:p>
    <w:p>
      <w:pPr>
        <w:pStyle w:val="Heading2"/>
      </w:pPr>
      <w:r>
        <w:t>Early Fellowship (July-December 2026)</w:t>
      </w:r>
    </w:p>
    <w:p>
      <w:pPr>
        <w:pStyle w:val="ListBullet"/>
      </w:pPr>
      <w:r>
        <w:rPr>
          <w:sz w:val="22"/>
        </w:rPr>
        <w:t>[ ] Submit Study 1</w:t>
      </w:r>
    </w:p>
    <w:p>
      <w:pPr>
        <w:pStyle w:val="ListBullet"/>
      </w:pPr>
      <w:r>
        <w:rPr>
          <w:sz w:val="22"/>
        </w:rPr>
        <w:t>[ ] Identify PT and BME collaborators</w:t>
      </w:r>
    </w:p>
    <w:p>
      <w:pPr>
        <w:pStyle w:val="ListBullet"/>
      </w:pPr>
      <w:r>
        <w:rPr>
          <w:sz w:val="22"/>
        </w:rPr>
        <w:t>[ ] Begin Study 4 enrollment</w:t>
      </w:r>
    </w:p>
    <w:p>
      <w:pPr>
        <w:pStyle w:val="ListBullet"/>
      </w:pPr>
      <w:r>
        <w:rPr>
          <w:sz w:val="22"/>
        </w:rPr>
        <w:t>[ ] Begin Studies 2/3</w:t>
      </w:r>
    </w:p>
    <w:p>
      <w:pPr>
        <w:pStyle w:val="Heading2"/>
      </w:pPr>
      <w:r>
        <w:t>Mid-Fellowship (2027)</w:t>
      </w:r>
    </w:p>
    <w:p>
      <w:pPr>
        <w:pStyle w:val="ListBullet"/>
      </w:pPr>
      <w:r>
        <w:rPr>
          <w:sz w:val="22"/>
        </w:rPr>
        <w:t>[ ] Continue Study 4</w:t>
      </w:r>
    </w:p>
    <w:p>
      <w:pPr>
        <w:pStyle w:val="ListBullet"/>
      </w:pPr>
      <w:r>
        <w:rPr>
          <w:sz w:val="22"/>
        </w:rPr>
        <w:t>[ ] Begin computational collaboration if engineer found</w:t>
      </w:r>
    </w:p>
    <w:p>
      <w:pPr>
        <w:pStyle w:val="ListBullet"/>
      </w:pPr>
      <w:r>
        <w:rPr>
          <w:sz w:val="22"/>
        </w:rPr>
        <w:t>[ ] Present at shoulder conference</w:t>
      </w:r>
    </w:p>
    <w:p>
      <w:pPr>
        <w:pStyle w:val="Heading2"/>
      </w:pPr>
      <w:r>
        <w:t>Late Fellowship / Early Career (2027-2028)</w:t>
      </w:r>
    </w:p>
    <w:p>
      <w:pPr>
        <w:pStyle w:val="ListBullet"/>
      </w:pPr>
      <w:r>
        <w:rPr>
          <w:sz w:val="22"/>
        </w:rPr>
        <w:t>[ ] Analyze Study 4</w:t>
      </w:r>
    </w:p>
    <w:p>
      <w:pPr>
        <w:pStyle w:val="ListBullet"/>
      </w:pPr>
      <w:r>
        <w:rPr>
          <w:sz w:val="22"/>
        </w:rPr>
        <w:t>[ ] Design Study 5 based on results</w:t>
      </w:r>
    </w:p>
    <w:p>
      <w:pPr>
        <w:pStyle w:val="ListBullet"/>
      </w:pPr>
      <w:r>
        <w:rPr>
          <w:sz w:val="22"/>
        </w:rPr>
        <w:t>[ ] Pursue dynamic glenoid version study</w:t>
      </w:r>
    </w:p>
    <w:p>
      <w:pPr>
        <w:pStyle w:val="ListBullet"/>
      </w:pPr>
      <w:r>
        <w:rPr>
          <w:sz w:val="22"/>
        </w:rPr>
        <w:t>[ ] Apply for funding (OREF Young Investigator Award)</w:t>
      </w:r>
    </w:p>
    <w:p>
      <w:pPr>
        <w:jc w:val="center"/>
      </w:pPr>
      <w:r>
        <w:rPr>
          <w:sz w:val="16"/>
        </w:rPr>
        <w:t>──────────────────────────────────────────────────</w:t>
      </w:r>
    </w:p>
    <w:p>
      <w:r>
        <w:rPr>
          <w:sz w:val="22"/>
        </w:rPr>
        <w:t>This is a living document. It will be updated as evidence accumulates, collaborations form, and the framework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