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Guide — Slide-by-Slide</w:t>
      </w:r>
    </w:p>
    <w:p>
      <w:pPr>
        <w:pStyle w:val="Heading1"/>
      </w:pPr>
      <w:r>
        <w:t>Specific figures from your article collection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7: "Questions We Can't Fully Answer"</w:t>
      </w:r>
    </w:p>
    <w:p>
      <w:pPr>
        <w:pStyle w:val="ListBullet"/>
        <w:ind w:left="360"/>
      </w:pPr>
      <w:r>
        <w:rPr>
          <w:sz w:val="22"/>
        </w:rPr>
        <w:t>No image needed. Text-only slide. The questions are the visual. Clean, uncluttered.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8: "The Scapula"</w:t>
      </w:r>
    </w:p>
    <w:p>
      <w:pPr>
        <w:pStyle w:val="ListBullet"/>
        <w:ind w:left="360"/>
      </w:pPr>
      <w:r>
        <w:rPr>
          <w:sz w:val="22"/>
        </w:rPr>
        <w:t>Posterior view of the scapula with muscle attachments — use a clean anatomical illustration showing all the muscles originating from and inserting on the scapula. This is available in most anatomy atlases. Consider Netter or a 3D rendering.</w:t>
      </w:r>
    </w:p>
    <w:p>
      <w:pPr>
        <w:pStyle w:val="ListBullet"/>
        <w:ind w:left="360"/>
      </w:pPr>
      <w:r>
        <w:rPr>
          <w:sz w:val="22"/>
        </w:rPr>
        <w:t>The point is to show visually how many muscles depend on this one bone.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10: "The Design Problem"</w:t>
      </w:r>
    </w:p>
    <w:p>
      <w:pPr>
        <w:pStyle w:val="ListBullet"/>
        <w:ind w:left="360"/>
      </w:pPr>
      <w:r>
        <w:rPr>
          <w:sz w:val="22"/>
        </w:rPr>
        <w:t>Borstad 2005, Figure 1 — Scapular rotation terminology diagram (posterior view, superior view, lateral view showing upward/downward rotation, internal/external rotation, anterior/posterior tilt). This is the clearest published diagram of the three scapular rotations. Clean, educational, orients the audience to the vocabulary.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11: "The Numbers That Made Me Pay Attention"</w:t>
      </w:r>
    </w:p>
    <w:p>
      <w:pPr>
        <w:pStyle w:val="ListBullet"/>
        <w:ind w:left="360"/>
      </w:pPr>
      <w:r>
        <w:rPr>
          <w:sz w:val="22"/>
        </w:rPr>
        <w:t>Kibler 1998, Figure 1 — The kinetic chain link sequencing diagram showing force generation from ground through legs, trunk, scapula to arm/hand. This is the original kinetic chain figure that's been cited hundreds of times. Simple, iconic.</w:t>
      </w:r>
    </w:p>
    <w:p>
      <w:pPr>
        <w:pStyle w:val="ListBullet"/>
        <w:ind w:left="360"/>
      </w:pPr>
      <w:r>
        <w:rPr>
          <w:sz w:val="22"/>
        </w:rPr>
        <w:t>Optional secondary: McClure 2001, Figure 1 — photograph of a living subject with bone pins drilled into the scapular spine and electromagnetic sensors attached. This is visually striking — it shows the audience the rigor of the measurement methodology. It's memorable because bone pins in a living volunteer is dramatic.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12: "The Evolutionary Context"</w:t>
      </w:r>
    </w:p>
    <w:p>
      <w:pPr>
        <w:pStyle w:val="ListBullet"/>
        <w:ind w:left="360"/>
      </w:pPr>
      <w:r>
        <w:rPr>
          <w:sz w:val="22"/>
        </w:rPr>
        <w:t>Kuhn 2016, Figure 3 — Four-panel figure showing glenohumeral cartilage alignment. Panel A: humeral head cartilage thickness (thickest at center). Panel B: glenoid cartilage thickness (thinnest at center). Panel C: cartilage NOT aligned in upright resting position. Panel D: cartilage aligned at ~90° abduction (throwing position). This is the single most powerful image in your talk — it shows that the joint is literally designed for throwing, not resting. The audience will remember this figure.</w:t>
      </w:r>
    </w:p>
    <w:p>
      <w:pPr>
        <w:pStyle w:val="ListBullet"/>
        <w:ind w:left="360"/>
      </w:pPr>
      <w:r>
        <w:rPr>
          <w:sz w:val="22"/>
        </w:rPr>
        <w:t>Kuhn 2016, Figure 4 — Comparative humeral morphology across primate species showing the depressed greater tuberosity in humans vs. other primates (Papio anubis, Cercopithecus aethiops, Presbytis melalophos, Homo sapiens). This visually demonstrates the evolutionary trade-off: depressed tuberosity enables extreme external rotation for throwing but reduces supraspinatus moment arm and creates the watershed zone.</w:t>
      </w:r>
    </w:p>
    <w:p>
      <w:pPr>
        <w:pStyle w:val="ListBullet"/>
        <w:ind w:left="360"/>
      </w:pPr>
      <w:r>
        <w:rPr>
          <w:sz w:val="22"/>
        </w:rPr>
        <w:t>Optional: Selby 2017 — Comparative scapular morphology across hominoids showing the two fundamental changes (mediolateral narrowing and glenoid migration). More academic, better for a publication than a talk.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14: "The Critical Shoulder Angle"</w:t>
      </w:r>
    </w:p>
    <w:p>
      <w:pPr>
        <w:pStyle w:val="ListBullet"/>
        <w:ind w:left="360"/>
      </w:pPr>
      <w:r>
        <w:rPr>
          <w:sz w:val="22"/>
        </w:rPr>
        <w:t>Moor 2013, Figure 2a and 2b — Side-by-side radiographs showing CSA measurement in a shoulder with a cuff tear (CSA 43°) and a shoulder with OA (CSA 22°). This is THE defining image of the CSA concept. The audience immediately sees the difference. Essential slide.</w:t>
      </w:r>
    </w:p>
    <w:p>
      <w:pPr>
        <w:pStyle w:val="ListBullet"/>
        <w:ind w:left="360"/>
      </w:pPr>
      <w:r>
        <w:rPr>
          <w:sz w:val="22"/>
        </w:rPr>
        <w:t>Nyffeler 2006, Figure 1 — Acromion Index measurement diagram showing the three parallel lines on an AP radiograph. Good for showing the intellectual lineage (AI → CSA).</w:t>
      </w:r>
    </w:p>
    <w:p>
      <w:pPr>
        <w:pStyle w:val="ListBullet"/>
        <w:ind w:left="360"/>
      </w:pPr>
      <w:r>
        <w:rPr>
          <w:sz w:val="22"/>
        </w:rPr>
        <w:t>Nyffeler 2006, Figure 3a and 3b — Side-by-side radiographs: one with a large lateral acromial extension and cuff tear (AI 0.82) and one with OA and a short acromion (AI 0.50). Visually dramatic contrast.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15: "CSA Predicts Surgical Failure"</w:t>
      </w:r>
    </w:p>
    <w:p>
      <w:pPr>
        <w:pStyle w:val="ListBullet"/>
        <w:ind w:left="360"/>
      </w:pPr>
      <w:r>
        <w:rPr>
          <w:sz w:val="22"/>
        </w:rPr>
        <w:t>Garcia 2017, Figure 1 — CSA measurement diagram (similar to Moor but from the retear paper — ties the measurement directly to the surgical outcome context).</w:t>
      </w:r>
    </w:p>
    <w:p>
      <w:pPr>
        <w:pStyle w:val="ListBullet"/>
        <w:ind w:left="360"/>
      </w:pPr>
      <w:r>
        <w:rPr>
          <w:sz w:val="22"/>
        </w:rPr>
        <w:t>Consider a bar graph or table you create showing: CSA in no-retear (34.3°) vs. partial retear vs. full-thickness retear (38.6°) from Garcia's data. Simple, clean, high impact.</w:t>
      </w:r>
    </w:p>
    <w:p>
      <w:pPr>
        <w:pStyle w:val="ListBullet"/>
        <w:ind w:left="360"/>
      </w:pPr>
      <w:r>
        <w:rPr>
          <w:sz w:val="22"/>
        </w:rPr>
        <w:t>Optional: Gerber 2018 — intraoperative or schematic images of the lateral acromioplasty technique if available in the paper. These would show the audience exactly what the procedure looks like.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16: "Posterior Acromial Morphology"</w:t>
      </w:r>
    </w:p>
    <w:p>
      <w:pPr>
        <w:pStyle w:val="ListBullet"/>
        <w:ind w:left="360"/>
      </w:pPr>
      <w:r>
        <w:rPr>
          <w:sz w:val="22"/>
        </w:rPr>
        <w:t>Meyer 2019, Figure 1 — The measurement technique for posterior acromial tilt on a true lateral (Y-view) radiograph. Shows the reference line from inferior scapular angle through the Y intersection, and the acromial tilt line. This teaches the audience a measurement they can use.</w:t>
      </w:r>
    </w:p>
    <w:p>
      <w:pPr>
        <w:pStyle w:val="ListBullet"/>
        <w:ind w:left="360"/>
      </w:pPr>
      <w:r>
        <w:rPr>
          <w:sz w:val="22"/>
        </w:rPr>
        <w:t>Gerber 2025 SCOPE, Figure 1 — 3D comparison of a scapula with posterior instability (yellow) overlaid on a normal scapula (statistical shape model). Shows the high, horizontal acromion in posterior instability vs. the steeper normal acromion. This is the most visually compelling figure for the morphology argument — the difference is immediately apparent in 3D.</w:t>
      </w:r>
    </w:p>
    <w:p>
      <w:pPr>
        <w:pStyle w:val="ListBullet"/>
        <w:ind w:left="360"/>
      </w:pPr>
      <w:r>
        <w:rPr>
          <w:sz w:val="22"/>
        </w:rPr>
        <w:t>Gerber 2025 SCOPE, Figure 2 — The planned biplanar closing-wedge acromial osteotomy with the correction marked. Shows the 3D-planned cutting guides. This is cutting-edge personalized medicine applied to the scapula — visually impressive.</w:t>
      </w:r>
    </w:p>
    <w:p>
      <w:pPr>
        <w:pStyle w:val="ListBullet"/>
        <w:ind w:left="360"/>
      </w:pPr>
      <w:r>
        <w:rPr>
          <w:sz w:val="22"/>
        </w:rPr>
        <w:t>Hochreiter 2023 — 3D-printed scapula models showing the different configurations tested (normal vs. B1 vs. corrections). Visually demonstrates the biomechanical testing setup.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17: "The B0 Question"</w:t>
      </w:r>
    </w:p>
    <w:p>
      <w:pPr>
        <w:pStyle w:val="ListBullet"/>
        <w:ind w:left="360"/>
      </w:pPr>
      <w:r>
        <w:rPr>
          <w:sz w:val="22"/>
        </w:rPr>
        <w:t>Bryce 2010, Figure 1 — The scapular coordinate system showing how the plane of the scapula is defined and how version is measured. Helps the audience visualize how scapular rotation changes the apparent version.</w:t>
      </w:r>
    </w:p>
    <w:p>
      <w:pPr>
        <w:pStyle w:val="ListBullet"/>
        <w:ind w:left="360"/>
      </w:pPr>
      <w:r>
        <w:rPr>
          <w:sz w:val="22"/>
        </w:rPr>
        <w:t>Domos 2017 (Walch B0), Figure 1 — The three stages of posterior subluxation: Stage 1 (B0 — subluxation without cartilage/bone changes), Stage 2 (B1 — partial cartilage loss), Stage 3 (B2 — biconcave erosion). This progression diagram is essential for the audience to understand the clinical significance.</w:t>
      </w:r>
    </w:p>
    <w:p>
      <w:pPr>
        <w:pStyle w:val="ListBullet"/>
        <w:ind w:left="360"/>
      </w:pPr>
      <w:r>
        <w:rPr>
          <w:sz w:val="22"/>
        </w:rPr>
        <w:t>Optional: Akgun 2024 — any figures showing the scapulothoracic orientation differences between C1 patients and controls.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19: "The rTSA Paradox"</w:t>
      </w:r>
    </w:p>
    <w:p>
      <w:pPr>
        <w:pStyle w:val="ListBullet"/>
        <w:ind w:left="360"/>
      </w:pPr>
      <w:r>
        <w:rPr>
          <w:sz w:val="22"/>
        </w:rPr>
        <w:t>A simple bar graph comparing SHR: Normal (3:1) vs. rTSA (1.3:1). You can create this — two bars, clean, labeled. From Walker 2015 data. This is the single most impactful visual for Thread 3.</w:t>
      </w:r>
    </w:p>
    <w:p>
      <w:pPr>
        <w:pStyle w:val="ListBullet"/>
        <w:ind w:left="360"/>
      </w:pPr>
      <w:r>
        <w:rPr>
          <w:sz w:val="22"/>
        </w:rPr>
        <w:t>Boileau 2005 — Diagram showing the Grammont design concept: medialized and distalized center of rotation, increased deltoid moment arm. This helps the audience understand WHY the biomechanics change.</w:t>
      </w:r>
    </w:p>
    <w:p>
      <w:pPr>
        <w:pStyle w:val="ListBullet"/>
        <w:ind w:left="360"/>
      </w:pPr>
      <w:r>
        <w:rPr>
          <w:sz w:val="22"/>
        </w:rPr>
        <w:t>Optional: Kawashima 2025 — scatter plot or graph showing correlation between SHR and ASES scores if available.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20: "Why Dyskinesis Persists"</w:t>
      </w:r>
    </w:p>
    <w:p>
      <w:pPr>
        <w:pStyle w:val="ListBullet"/>
        <w:ind w:left="360"/>
      </w:pPr>
      <w:r>
        <w:rPr>
          <w:sz w:val="22"/>
        </w:rPr>
        <w:t>Gibbons 2016, Figure 1A — The sarcomere length-tension curve. This is a classic physiology figure but Gibbons contextualizes it for cuff pathology. Shows how sarcomere length determines force-generating capacity and how massive tears push sarcomeres below the optimal operating range.</w:t>
      </w:r>
    </w:p>
    <w:p>
      <w:pPr>
        <w:pStyle w:val="ListBullet"/>
        <w:ind w:left="360"/>
      </w:pPr>
      <w:r>
        <w:rPr>
          <w:sz w:val="22"/>
        </w:rPr>
        <w:t>Burkhart 2003 Part III, Figures 1-2 — Clinical photographs of SICK scapula from posterior and anterior views. These are the original clinical photos that defined the syndrome — the "dropped" scapula, the inferior medial border prominence. Recognizable and memorable.</w:t>
      </w:r>
    </w:p>
    <w:p>
      <w:pPr>
        <w:pStyle w:val="ListBullet"/>
        <w:ind w:left="360"/>
      </w:pPr>
      <w:r>
        <w:rPr>
          <w:sz w:val="22"/>
        </w:rPr>
        <w:t>Burkhart 2003 Part III, Figure 6 — The scapular retraction test in action: Panel A showing limited forward flexion with coracoid pain, Panel B showing full flexion restored with manual scapular repositioning. This is essentially the SAT — ties back to your Thread 1 actionable item.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21: "A Unifying Observation"</w:t>
      </w:r>
    </w:p>
    <w:p>
      <w:pPr>
        <w:pStyle w:val="ListBullet"/>
        <w:ind w:left="360"/>
      </w:pPr>
      <w:r>
        <w:rPr>
          <w:sz w:val="22"/>
        </w:rPr>
        <w:t>No image or a simple conceptual diagram. Consider a clean graphic you create showing: SHAPE (CSA, PAH) → POSITION (dyskinesis, SHR) → SURGERY (rTSA demands) all pointing to the scapula at center. Keep it minimal. This is the synthesis slide — words matter more than pictures here.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22: "Questions I'm Still Working On"</w:t>
      </w:r>
    </w:p>
    <w:p>
      <w:pPr>
        <w:pStyle w:val="ListBullet"/>
        <w:ind w:left="360"/>
      </w:pPr>
      <w:r>
        <w:rPr>
          <w:sz w:val="22"/>
        </w:rPr>
        <w:t>No image needed. Text-only. The questions are the visual.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Slide 23: "Four Things for Monday Morning"</w:t>
      </w:r>
    </w:p>
    <w:p>
      <w:pPr>
        <w:pStyle w:val="ListBullet"/>
        <w:ind w:left="360"/>
      </w:pPr>
      <w:r>
        <w:rPr>
          <w:sz w:val="22"/>
        </w:rPr>
        <w:t>No image needed. Clean, numbered list. This is the takeaway slide — simplicity is key.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Priority Images (Must-Have)</w:t>
      </w:r>
    </w:p>
    <w:p>
      <w:r>
        <w:rPr>
          <w:sz w:val="22"/>
        </w:rPr>
        <w:t>These are the figures that will make the biggest visual impact and are worth the effort to extract from the PDFs: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Figure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Paper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Cartilage alignment at 90° abduction (Fig 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Kuhn 2016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memorable image in the talk — the joint is designed for throwing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CSA measurement on radiographs (Fig 2a/2b)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Moor 2013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Defines the CSA visually — essential for Thread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 scapula comparison: PSI vs normal (Fig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Gerber 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visually striking — shows acromial morphology difference in 3D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SHR bar graph: 3:1 vs 1.3:1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from Walker 2015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rTSA paradox in one image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B0 → B1 → B2 progression (Fig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Domos 2017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Tells the clinical story for the B0 hypothesis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Posterior acromial tilt measurement (Fig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Meyer 2019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Teaches a measurement the audience can 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Kinetic chain diagram (Fig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Kibler 1998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Iconic, immediately communicates force transmission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Primate tuberosity comparison (Fig 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Kuhn 2016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Evolution in one image — the trade-off is visual</w:t>
            </w:r>
          </w:p>
        </w:tc>
      </w:tr>
    </w:tbl>
    <w:p/>
    <w:p>
      <w:pPr>
        <w:pStyle w:val="Heading1"/>
      </w:pPr>
      <w:r>
        <w:t>Nice-to-Have Images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Figure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Acromion Index measurement (Fig 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Nyffeler 2006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lineage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Bone pin setup on subject (Fig 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McClure 2001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Shows methodological rigor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SICK scapula clinical photos (Fig 1-2)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Burkhart 2003 III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Recognizable, memorable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Scapular retraction test (Fig 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Burkhart 2003 III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Ties to SAT actionable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Scapular rotation terminology (Fig 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Borstad 2005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Educational orientation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Sarcomere length-tension curve (Fig 1A)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Gibbons 2016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Explains the biology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 cutting guides (Fig 3-4)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Gerber 2025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Cutting-edge visual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Large vs small acromion radiographs (Fig 3a/3b)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Nyffeler 2006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Dramatic contrast</w:t>
            </w:r>
          </w:p>
        </w:tc>
      </w:tr>
    </w:tbl>
    <w:p/>
    <w:p>
      <w:pPr>
        <w:pStyle w:val="Heading1"/>
      </w:pPr>
      <w:r>
        <w:t>Notes on Image Use</w:t>
      </w:r>
    </w:p>
    <w:p>
      <w:pPr>
        <w:pStyle w:val="ListBullet"/>
        <w:ind w:left="360"/>
      </w:pPr>
      <w:r>
        <w:rPr>
          <w:sz w:val="22"/>
        </w:rPr>
        <w:t>For a visiting professorship talk, using published figures with citation is standard practice</w:t>
      </w:r>
    </w:p>
    <w:p>
      <w:pPr>
        <w:pStyle w:val="ListBullet"/>
        <w:ind w:left="360"/>
      </w:pPr>
      <w:r>
        <w:rPr>
          <w:sz w:val="22"/>
        </w:rPr>
        <w:t>Include "Adapted from [Author], [Journal], [Year]" below each figure</w:t>
      </w:r>
    </w:p>
    <w:p>
      <w:pPr>
        <w:pStyle w:val="ListBullet"/>
        <w:ind w:left="360"/>
      </w:pPr>
      <w:r>
        <w:rPr>
          <w:sz w:val="22"/>
        </w:rPr>
        <w:t>For the SHR bar graph, create your own from the published data — cleaner and avoids copyright</w:t>
      </w:r>
    </w:p>
    <w:p>
      <w:pPr>
        <w:pStyle w:val="ListBullet"/>
        <w:ind w:left="360"/>
      </w:pPr>
      <w:r>
        <w:rPr>
          <w:sz w:val="22"/>
        </w:rPr>
        <w:t>Consider redrawing key diagrams (CSA measurement, kinetic chain) in a consistent visual style for a more polished look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