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3f6c0b8fc4ed8c3ab68509fcdb8dd7d5d35bc9"/>
    <w:p>
      <w:pPr>
        <w:pStyle w:val="Heading1"/>
      </w:pPr>
      <w:r>
        <w:t xml:space="preserve">Lateral Epicondylitis as a Compressive Tendinopathy: Connecting Histopathological Localization, Anatomical Compression, and Cellular Mechanotransduction</w:t>
      </w:r>
    </w:p>
    <w:p>
      <w:pPr>
        <w:pStyle w:val="FirstParagraph"/>
      </w:pPr>
      <w:r>
        <w:t xml:space="preserve">Brad Roepke, MD</w:t>
      </w:r>
    </w:p>
    <w:p>
      <w:pPr>
        <w:pStyle w:val="BodyText"/>
      </w:pPr>
      <w:r>
        <w:t xml:space="preserve">Department of Orthopedic Surgery, University of Oklahoma Health Sciences Center, Oklahoma City, OK</w:t>
      </w:r>
    </w:p>
    <w:bookmarkStart w:id="9" w:name="abstract"/>
    <w:p>
      <w:pPr>
        <w:pStyle w:val="Heading2"/>
      </w:pPr>
      <w:r>
        <w:t xml:space="preserve">Abstract</w:t>
      </w:r>
    </w:p>
    <w:p>
      <w:pPr>
        <w:pStyle w:val="FirstParagraph"/>
      </w:pPr>
      <w:r>
        <w:t xml:space="preserve">Lateral epicondylitis is characterized histopathologically by angiofibroblastic tendinosis of the extensor carpi radialis brevis (ECRB) origin, a degenerative rather than inflammatory process. A feature of this pathology that has not been adequately explained is its preferential localization to the deep, articular surface of the ECRB, the surface that faces the capitellum. Cook and Purdam proposed that tendons subjected to chronic compressive loading against bony prominences develop a specific pattern of fibrocartilaginous metaplasia distinct from tensile tendinopathy, a concept they termed compressive tendinopathy. The ECRB has the anatomical prerequisites for compressive tendinopathy: it is the only common extensor with a purely tendinous origin, it overlies the radiohumeral joint capsule with only a thin capsular layer intervening, and the radiocapitellar joint beneath it sustains contact pressures that vary significantly with forearm rotation. Despite this, lateral epicondylitis has never been formally classified as a compressive tendinopathy. We argue that the convergence of histopathological, anatomical, and biomechanical evidence supports this classification and that recognizing the compressive component has implications for understanding the condition’s etiology, its resistance to anti-inflammatory treatment, and the design of rehabilitation protocols.</w:t>
      </w:r>
    </w:p>
    <w:p>
      <w:pPr>
        <w:pStyle w:val="BodyText"/>
      </w:pPr>
      <w:r>
        <w:t xml:space="preserve">Level of Evidence: Level V; Expert Opinion / Narrative Review</w:t>
      </w:r>
    </w:p>
    <w:p>
      <w:pPr>
        <w:pStyle w:val="BodyText"/>
      </w:pPr>
      <w:r>
        <w:t xml:space="preserve">Keywords: lateral epicondylitis; compressive tendinopathy; ECRB; mechanotransduction; tendinosis; radiocapitellar joint</w:t>
      </w:r>
    </w:p>
    <w:bookmarkEnd w:id="9"/>
    <w:bookmarkStart w:id="10" w:name="introduction"/>
    <w:p>
      <w:pPr>
        <w:pStyle w:val="Heading2"/>
      </w:pPr>
      <w:r>
        <w:t xml:space="preserve">Introduction</w:t>
      </w:r>
    </w:p>
    <w:p>
      <w:pPr>
        <w:pStyle w:val="FirstParagraph"/>
      </w:pPr>
      <w:r>
        <w:t xml:space="preserve">Lateral epicondylitis affects 1 to 3% of the general population, with an annual incidence of 4 to 7 per 1000 in general practice.(1) Despite its prevalence, the condition remains incompletely understood. The term</w:t>
      </w:r>
      <w:r>
        <w:t xml:space="preserve"> </w:t>
      </w:r>
      <w:r>
        <w:t xml:space="preserve">“epicondylitis”</w:t>
      </w:r>
      <w:r>
        <w:t xml:space="preserve"> </w:t>
      </w:r>
      <w:r>
        <w:t xml:space="preserve">itself is a misnomer: histopathological studies have consistently demonstrated that the pathology is degenerative rather than inflammatory, a distinction first established by Nirschl and Pettrone in 1979(2) and confirmed in controlled studies by Regan et al. in 1992.(3) Kraushaar and Nirschl subsequently proposed the term</w:t>
      </w:r>
      <w:r>
        <w:t xml:space="preserve"> </w:t>
      </w:r>
      <w:r>
        <w:t xml:space="preserve">“angiofibroblastic tendinosis”</w:t>
      </w:r>
      <w:r>
        <w:t xml:space="preserve"> </w:t>
      </w:r>
      <w:r>
        <w:t xml:space="preserve">to reflect the non-inflammatory, degenerative nature of the condition, documenting disorganized collagen, fibroblastic and vascular hyperplasia, and the absence of inflammatory cell infiltrates on histological, immunohistochemical, and electron microscopic examination.(4) The condition is now understood to represent a failed healing response rather than an active inflammatory process, which may explain the well-documented failure of anti-inflammatory treatments to produce durable benefit.(1,4)</w:t>
      </w:r>
    </w:p>
    <w:p>
      <w:pPr>
        <w:pStyle w:val="BodyText"/>
      </w:pPr>
      <w:r>
        <w:t xml:space="preserve">A feature of the pathology that has received less attention is its anatomical localization. Nirschl and Pettrone observed that the pathological tissue was consistently found on the</w:t>
      </w:r>
      <w:r>
        <w:t xml:space="preserve"> </w:t>
      </w:r>
      <w:r>
        <w:t xml:space="preserve">“underside”</w:t>
      </w:r>
      <w:r>
        <w:t xml:space="preserve"> </w:t>
      </w:r>
      <w:r>
        <w:t xml:space="preserve">of the ECRB tendon, with tears penetrating through the synovial membrane into the lateral compartment of the elbow.(2) Coombes et al., in their integrative model of lateral epicondylalgia, noted that the pathology localizes to the</w:t>
      </w:r>
      <w:r>
        <w:t xml:space="preserve"> </w:t>
      </w:r>
      <w:r>
        <w:t xml:space="preserve">“deep and anterior fibres”</w:t>
      </w:r>
      <w:r>
        <w:t xml:space="preserve"> </w:t>
      </w:r>
      <w:r>
        <w:t xml:space="preserve">of the ECRB.(1) If the condition were purely a tensile overload injury, one would expect the pathology to be distributed diffusely through the tendon cross-section or concentrated at the enthesis. The preferential involvement of the deep, articular surface suggests that a force other than tension is acting on this specific region.</w:t>
      </w:r>
    </w:p>
    <w:p>
      <w:pPr>
        <w:pStyle w:val="BodyText"/>
      </w:pPr>
      <w:r>
        <w:t xml:space="preserve">In 2012, Cook and Purdam proposed that chronic compressive loading of tendons against bony prominences produces a specific pattern of pathology, which they termed compressive tendinopathy.(5) They identified a series of clinical tendinopathies, including insertional Achilles tendinopathy, proximal hamstring tendinopathy, and supraspinatus tendinopathy, in which the tendon is compressed against a bony prominence during certain joint positions, and in which the pathology localizes to the deep surface at the site of compression. They cited Ingber’s tensegrity model of cellular mechanotransduction as the mechanism by which compressive forces at the tissue level are converted into altered gene expression at the cellular level, producing the observed tissue changes.(5,6) Docking et al., from the same research group, further explored this connection, noting that while the tensegrity model explains how cells detect tensile strain, the mechanism by which the cytoskeleton detects compressive stress has not been fully investigated.(7)</w:t>
      </w:r>
    </w:p>
    <w:p>
      <w:pPr>
        <w:pStyle w:val="BodyText"/>
      </w:pPr>
      <w:r>
        <w:t xml:space="preserve">Despite the fact that Cook and Purdam’s framework provides a potential explanation for the deep-surface localization of pathology in lateral epicondylitis, this connection has not been formally made. A search of the Scopus database for</w:t>
      </w:r>
      <w:r>
        <w:t xml:space="preserve"> </w:t>
      </w:r>
      <w:r>
        <w:t xml:space="preserve">“compressive tendinopathy”</w:t>
      </w:r>
      <w:r>
        <w:t xml:space="preserve"> </w:t>
      </w:r>
      <w:r>
        <w:t xml:space="preserve">AND</w:t>
      </w:r>
      <w:r>
        <w:t xml:space="preserve"> </w:t>
      </w:r>
      <w:r>
        <w:t xml:space="preserve">“lateral epicondylitis”</w:t>
      </w:r>
      <w:r>
        <w:t xml:space="preserve"> </w:t>
      </w:r>
      <w:r>
        <w:t xml:space="preserve">returns zero results (searched March 23, 2026). The purpose of this paper is to examine the anatomical, biomechanical, and histopathological evidence for classifying lateral epicondylitis as a compressive tendinopathy and to explore the implications of this classification for understanding the condition’s etiology and treatment.</w:t>
      </w:r>
    </w:p>
    <w:bookmarkEnd w:id="10"/>
    <w:bookmarkStart w:id="11" w:name="Xc384c13b3eb321c68fa36c2362524a6bddb79a9"/>
    <w:p>
      <w:pPr>
        <w:pStyle w:val="Heading2"/>
      </w:pPr>
      <w:r>
        <w:t xml:space="preserve">The ECRB: Anatomical Vulnerability to Compression</w:t>
      </w:r>
    </w:p>
    <w:p>
      <w:pPr>
        <w:pStyle w:val="FirstParagraph"/>
      </w:pPr>
      <w:r>
        <w:t xml:space="preserve">The ECRB origin occupies a unique anatomical position among the common extensors. Nimura et al. demonstrated through cadaveric dissection that the ECRB is the only common extensor that originates as a purely tendinous structure, with no muscular component at its origin.(8) Its origin measures 7.2 +/- 2.0 mm in craniocaudal length and 5.5 +/- 0.5 mm in anteroposterior width.(8) All other common extensors, including the brachioradialis, extensor carpi radialis longus, extensor digitorum communis, and extensor carpi ulnaris, have muscular portions at their origins that may provide a degree of cushioning not available to the ECRB.(8)</w:t>
      </w:r>
    </w:p>
    <w:p>
      <w:pPr>
        <w:pStyle w:val="BodyText"/>
      </w:pPr>
      <w:r>
        <w:t xml:space="preserve">The deep surface of the ECRB origin lies directly over the radiohumeral joint capsule. Nimura et al. found that at the anterior portion of the ECRB origin, the joint capsule attachment is extremely thin, measuring only 3.3 +/- 0.7 mm in width, and completely separate from the ECRB tendon.(8) This thin capsular layer is all that intervenes between the tendinous ECRB origin and the articular surface of the radiocapitellar joint. At the posterodistal portion, the capsule, annular ligament, and supinator merge into a more robust sheet measuring 10.7 +/- 1.0 mm in width.(8) The implication is that the anterior portion of the ECRB origin has less structural protection from the joint beneath it than the posterior portion.</w:t>
      </w:r>
    </w:p>
    <w:p>
      <w:pPr>
        <w:pStyle w:val="BodyText"/>
      </w:pPr>
      <w:r>
        <w:t xml:space="preserve">This anatomical arrangement means that forces transmitted through the radiocapitellar joint act on the deep surface of the ECRB through only a thin capsular barrier. Hwang et al., from O’Driscoll’s laboratory at Mayo Clinic, measured intra-articular radiocapitellar contact mechanics during forearm rotation using thin-film pressure sensors in cadaveric specimens loaded with 160 N of axial force.(9) They found that radiocapitellar contact pressure varies significantly with forearm position: 676 +/- 86 kPa in supination versus 449 +/- 31 kPa in pronation (P = 0.0001).(9) The pressure difference was driven entirely by changes in contact area, which was smaller in supination (158 +/- 19 mm2) than in pronation (207 +/- 19 mm2, P = 0.0001), while the total force transmitted across the radiocapitellar joint did not differ significantly between positions (P = 0.35).(9) The center of force migrated anterolaterally during supination and posteromedially during pronation.(9)</w:t>
      </w:r>
    </w:p>
    <w:p>
      <w:pPr>
        <w:pStyle w:val="BodyText"/>
      </w:pPr>
      <w:r>
        <w:t xml:space="preserve">Cook and Purdam noted that for the lateral elbow, the radial head acts as a bony prominence against the ECRB primarily in pronation and mid-prone positions, when the radial head rotates to face the ECRB undersurface.(5) This is a different but complementary mechanism to the intra-articular pressure changes measured by Hwang et al. Both mechanisms produce compressive loading on the deep surface of the ECRB: the rotational apposition of the radial head in pronation, and the concentrated high-pressure contact in the anterolateral radiocapitellar joint that underlies the ECRB during supinated gripping. The relative contribution of each mechanism during different functional tasks has not been quantified, but their combined effect is that the ECRB deep surface is subjected to compressive forces across a range of forearm positions.</w:t>
      </w:r>
    </w:p>
    <w:bookmarkEnd w:id="11"/>
    <w:bookmarkStart w:id="12" w:name="X7f9c4dabbb066157a26c0f3cdd7969c6c7b9468"/>
    <w:p>
      <w:pPr>
        <w:pStyle w:val="Heading2"/>
      </w:pPr>
      <w:r>
        <w:t xml:space="preserve">Histopathological Evidence: Localization and Tissue Changes</w:t>
      </w:r>
    </w:p>
    <w:p>
      <w:pPr>
        <w:pStyle w:val="FirstParagraph"/>
      </w:pPr>
      <w:r>
        <w:t xml:space="preserve">The histopathological features of lateral epicondylitis have been characterized in detail across multiple investigations. Nirschl and Pettrone described</w:t>
      </w:r>
      <w:r>
        <w:t xml:space="preserve"> </w:t>
      </w:r>
      <w:r>
        <w:t xml:space="preserve">“angiofibroblastic hyperplasia”</w:t>
      </w:r>
      <w:r>
        <w:t xml:space="preserve"> </w:t>
      </w:r>
      <w:r>
        <w:t xml:space="preserve">consisting of immature fibroblastic and vascular infiltration of the ECRB origin, with gross changes visible in the proximal three-quarters of the tendon.(2) They specifically noted that the pathological tissue was found on the</w:t>
      </w:r>
      <w:r>
        <w:t xml:space="preserve"> </w:t>
      </w:r>
      <w:r>
        <w:t xml:space="preserve">“underside”</w:t>
      </w:r>
      <w:r>
        <w:t xml:space="preserve"> </w:t>
      </w:r>
      <w:r>
        <w:t xml:space="preserve">of the tendon, the surface facing the capitellum, and that tears were observed to penetrate through the synovial membrane into the lateral compartment.(2) Of 88 elbows operated, 51 had ECRB-only pathology, 25 had combined ECRB and extensor digitorum communis involvement, and only 2 had extensor digitorum communis involvement alone.(2)</w:t>
      </w:r>
    </w:p>
    <w:p>
      <w:pPr>
        <w:pStyle w:val="BodyText"/>
      </w:pPr>
      <w:r>
        <w:t xml:space="preserve">Regan et al. confirmed these findings in a blinded, controlled study comparing surgical specimens from 11 patients with chronic refractory lateral epicondylitis to 12 cadaveric controls.(3) The blinded pathologist achieved 100% diagnostic accuracy, correctly identifying all surgical and control specimens. Vascular proliferation was present in 10 of 11 surgical specimens and 0 of 12 controls (P &lt; 0.001), and focal hyaline degeneration was present in 11 of 11 surgical specimens and 0 of 12 controls (P &lt; 0.001).(3) No inflammatory cells, including neutrophils, lymphocytes, or macrophages, were identified in any surgical specimen.(3) The authors concluded that the histological picture was</w:t>
      </w:r>
      <w:r>
        <w:t xml:space="preserve"> </w:t>
      </w:r>
      <w:r>
        <w:t xml:space="preserve">“more consistent with a degenerative than an inflammatory process.”</w:t>
      </w:r>
      <w:r>
        <w:t xml:space="preserve">(3)</w:t>
      </w:r>
    </w:p>
    <w:p>
      <w:pPr>
        <w:pStyle w:val="BodyText"/>
      </w:pPr>
      <w:r>
        <w:t xml:space="preserve">Kraushaar and Nirschl provided the most detailed histological, immunohistochemical, and electron microscopic characterization.(4) They confirmed the absence of inflammatory cells and described three principal features of the pathology. First, fibroblastic hyperplasia with two distinct populations identified on electron microscopy: myofibroblasts containing intracellular contractile elements (a cell type</w:t>
      </w:r>
      <w:r>
        <w:t xml:space="preserve"> </w:t>
      </w:r>
      <w:r>
        <w:t xml:space="preserve">“not native to tendon”</w:t>
      </w:r>
      <w:r>
        <w:t xml:space="preserve">) and more normal-appearing fibroblasts.(4) Second, vascular hyperplasia with immature vessel-like structures that lacked continuous lumens and had thickened, reduplicated basal laminae, consistent with</w:t>
      </w:r>
      <w:r>
        <w:t xml:space="preserve"> </w:t>
      </w:r>
      <w:r>
        <w:t xml:space="preserve">“local metaplasia rather than capillary ingrowth.”</w:t>
      </w:r>
      <w:r>
        <w:t xml:space="preserve">(4) Third, collagen that was grossly dull and soft, with ultrastructural analysis showing fragmented fibrils that</w:t>
      </w:r>
      <w:r>
        <w:t xml:space="preserve"> </w:t>
      </w:r>
      <w:r>
        <w:t xml:space="preserve">“did not form fascicles”</w:t>
      </w:r>
      <w:r>
        <w:t xml:space="preserve"> </w:t>
      </w:r>
      <w:r>
        <w:t xml:space="preserve">and lacked extracellular cross-linkage, rendering the tissue</w:t>
      </w:r>
      <w:r>
        <w:t xml:space="preserve"> </w:t>
      </w:r>
      <w:r>
        <w:t xml:space="preserve">“unable to sustain a tensile load.”</w:t>
      </w:r>
      <w:r>
        <w:t xml:space="preserve">(4)</w:t>
      </w:r>
    </w:p>
    <w:p>
      <w:pPr>
        <w:pStyle w:val="BodyText"/>
      </w:pPr>
      <w:r>
        <w:t xml:space="preserve">Two additional findings from Kraushaar and Nirschl are particularly relevant to the compressive tendinopathy argument. They identified metaplastic cell types within the tendinosis tissue, including chondrocytes and osteocytes, representing mesenchymal differentiation toward phenotypes associated with compression-bearing tissues.(4) And they made the following observation:</w:t>
      </w:r>
      <w:r>
        <w:t xml:space="preserve"> </w:t>
      </w:r>
      <w:r>
        <w:t xml:space="preserve">“It is known that tendons that wrap around convex surfaces are subjected to compressive forces and assume a cartilage-like appearance, presumably by metaplasia.”</w:t>
      </w:r>
      <w:r>
        <w:t xml:space="preserve">(4) This statement, made in the context of explaining the chondroid changes found in their lateral epicondylitis specimens, acknowledges the principle that compressive loading produces chondroid metaplasia in tendon tissue. However, Kraushaar and Nirschl did not explicitly connect this principle to the deep-surface localization of the pathology in the ECRB or to the compressive environment created by the radiocapitellar joint.</w:t>
      </w:r>
    </w:p>
    <w:bookmarkEnd w:id="12"/>
    <w:bookmarkStart w:id="13" w:name="the-compressive-tendinopathy-framework"/>
    <w:p>
      <w:pPr>
        <w:pStyle w:val="Heading2"/>
      </w:pPr>
      <w:r>
        <w:t xml:space="preserve">The Compressive Tendinopathy Framework</w:t>
      </w:r>
    </w:p>
    <w:p>
      <w:pPr>
        <w:pStyle w:val="FirstParagraph"/>
      </w:pPr>
      <w:r>
        <w:t xml:space="preserve">Cook and Purdam proposed that many clinical tendinopathies occur at entheses where a bony prominence proximal to the insertion compresses the deep surface of the tendon.(5) They described an</w:t>
      </w:r>
      <w:r>
        <w:t xml:space="preserve"> </w:t>
      </w:r>
      <w:r>
        <w:t xml:space="preserve">“enthesis organ”</w:t>
      </w:r>
      <w:r>
        <w:t xml:space="preserve"> </w:t>
      </w:r>
      <w:r>
        <w:t xml:space="preserve">in which the tendon inserts at an angle after passing over a bony prominence, with fibrocartilage on opposing bone and tendon surfaces to absorb compressive load.(5) The normal adaptive response to non-excessive compression is fibrocartilage formation: tenocytes become rounder, assume a chondrocytic morphology, and produce large proteoglycans (particularly aggrecan) and type II collagen.(5,7) This is a physiological adaptation. When compressive loads become excessive, the response shifts to pathology: cell proliferation, disorganized collagen, increased type III collagen production, and neurovascular ingrowth.(5,7)</w:t>
      </w:r>
    </w:p>
    <w:p>
      <w:pPr>
        <w:pStyle w:val="BodyText"/>
      </w:pPr>
      <w:r>
        <w:t xml:space="preserve">Wang documented the magnitude of this compositional difference: proteoglycan content in compression-bearing regions of bovine flexor tendons is 3.5% of dry weight, compared to 0.2 to 0.5% in tension-bearing regions of the same tendon.(10) This 7 to 17-fold difference in the same structure, determined solely by the type of mechanical loading, illustrates how profoundly the loading environment influences tendon cell behavior.</w:t>
      </w:r>
    </w:p>
    <w:p>
      <w:pPr>
        <w:pStyle w:val="BodyText"/>
      </w:pPr>
      <w:r>
        <w:t xml:space="preserve">Docking et al. showed that the Soslowsky rat supraspinatus model produces the most severe tendon damage when compressive and tensile loads are combined, more than either loading mode alone.(7) They proposed that during tensile loading, fluid displacement through the tendon exposes tenocytes to intrinsic compressive forces, and that high strain rates increase lateral shear stress perpendicular to the tensile axis, amplifying this effect.(7) This finding suggests that compressive tendinopathy is not limited to external compression from a bony prominence but may also arise from intrinsic compressive forces within the tendon during tensile loading.</w:t>
      </w:r>
    </w:p>
    <w:p>
      <w:pPr>
        <w:pStyle w:val="BodyText"/>
      </w:pPr>
      <w:r>
        <w:t xml:space="preserve">Cook and Purdam identified the supraspinatus at the greater tuberosity as a tendon subject to compressive loading during shoulder adduction, the insertional Achilles at the superior calcaneus during dorsiflexion, the proximal hamstring at the ischial tuberosity during hip flexion, and the gluteus medius and minimus at the greater trochanter during hip adduction, among others.(5) In their discussion of the lateral elbow, they noted that the radial head acts as a bony prominence against the ECRB in pronation and mid-prone positions.(5) They explicitly cited Ingber’s tensegrity model of cellular mechanotransduction as the biological mechanism underlying this framework, referencing both Ingber’s work on mechanotransduction and his description of how tension and compression determine cell form and function.(5,6)</w:t>
      </w:r>
    </w:p>
    <w:bookmarkEnd w:id="13"/>
    <w:bookmarkStart w:id="14" w:name="lateral-epicondylitis-meets-the-criteria"/>
    <w:p>
      <w:pPr>
        <w:pStyle w:val="Heading2"/>
      </w:pPr>
      <w:r>
        <w:t xml:space="preserve">Lateral Epicondylitis Meets the Criteria</w:t>
      </w:r>
    </w:p>
    <w:p>
      <w:pPr>
        <w:pStyle w:val="FirstParagraph"/>
      </w:pPr>
      <w:r>
        <w:t xml:space="preserve">The evidence reviewed above establishes the following:</w:t>
      </w:r>
    </w:p>
    <w:p>
      <w:pPr>
        <w:pStyle w:val="BodyText"/>
      </w:pPr>
      <w:r>
        <w:t xml:space="preserve">First, the ECRB has the anatomical prerequisites for compressive tendinopathy. It is a purely tendinous structure with no muscular cushion at its origin,(8) separated from the radiocapitellar joint by only a thin capsular layer measuring 3.3 mm at its thinnest point.(8) The radiocapitellar joint beneath it transmits significant contact pressures that vary with forearm position.(9)</w:t>
      </w:r>
    </w:p>
    <w:p>
      <w:pPr>
        <w:pStyle w:val="BodyText"/>
      </w:pPr>
      <w:r>
        <w:t xml:space="preserve">Second, the pathology localizes to the deep, articular surface of the ECRB, the surface subjected to compressive loading from the radiocapitellar joint.(2,1) This localization pattern is unexplained by a pure tensile overload model.</w:t>
      </w:r>
    </w:p>
    <w:p>
      <w:pPr>
        <w:pStyle w:val="BodyText"/>
      </w:pPr>
      <w:r>
        <w:t xml:space="preserve">Third, the histopathology includes features consistent with compressive tendinopathy. Chondroid metaplasia and chondrocyte-like cells have been documented in lateral epicondylitis specimens,(4) and Kraushaar and Nirschl themselves acknowledged that tendons subjected to compressive forces</w:t>
      </w:r>
      <w:r>
        <w:t xml:space="preserve"> </w:t>
      </w:r>
      <w:r>
        <w:t xml:space="preserve">“assume a cartilage-like appearance, presumably by metaplasia.”</w:t>
      </w:r>
      <w:r>
        <w:t xml:space="preserve">(4) The tissue changes (disorganized collagen, vascular proliferation without functional lumens, fibroblastic hyperplasia, proteoglycan accumulation) are consistent with the pathological response to excessive compressive loading described by Cook and Purdam.(5,7)</w:t>
      </w:r>
    </w:p>
    <w:p>
      <w:pPr>
        <w:pStyle w:val="BodyText"/>
      </w:pPr>
      <w:r>
        <w:t xml:space="preserve">Fourth, clinical features of lateral epicondylitis are consistent with compressive tendinopathy. Coombes et al. noted that the fibrocartilaginous composition of the ECRB enthesis</w:t>
      </w:r>
      <w:r>
        <w:t xml:space="preserve"> </w:t>
      </w:r>
      <w:r>
        <w:t xml:space="preserve">“may reflect a functional adaptation to compressive forces”</w:t>
      </w:r>
      <w:r>
        <w:t xml:space="preserve"> </w:t>
      </w:r>
      <w:r>
        <w:t xml:space="preserve">and recommended that wrist extensor exercises be performed with the elbow flexed to reduce compression at the insertion, drawing a direct parallel to the recommendation to limit dorsiflexion in insertional Achilles tendinopathy.(1)</w:t>
      </w:r>
    </w:p>
    <w:p>
      <w:pPr>
        <w:pStyle w:val="BodyText"/>
      </w:pPr>
      <w:r>
        <w:t xml:space="preserve">What has not been done is to formally connect these observations. The deep-surface localization documented by Nirschl,(2) the chondroid metaplasia documented by Kraushaar and Nirschl,(4) the anatomical vulnerability documented by Nimura,(8) the radiocapitellar contact mechanics measured by Hwang,(9) and the compressive tendinopathy framework proposed by Cook and Purdam(5) have existed in parallel literatures without being explicitly synthesized. A Scopus search for</w:t>
      </w:r>
      <w:r>
        <w:t xml:space="preserve"> </w:t>
      </w:r>
      <w:r>
        <w:t xml:space="preserve">“compressive tendinopathy”</w:t>
      </w:r>
      <w:r>
        <w:t xml:space="preserve"> </w:t>
      </w:r>
      <w:r>
        <w:t xml:space="preserve">AND</w:t>
      </w:r>
      <w:r>
        <w:t xml:space="preserve"> </w:t>
      </w:r>
      <w:r>
        <w:t xml:space="preserve">“lateral epicondylitis”</w:t>
      </w:r>
      <w:r>
        <w:t xml:space="preserve"> </w:t>
      </w:r>
      <w:r>
        <w:t xml:space="preserve">returns zero indexed results.</w:t>
      </w:r>
    </w:p>
    <w:bookmarkEnd w:id="14"/>
    <w:bookmarkStart w:id="15" w:name="X9fff925488cea2283edc2973b131b72e6fd55b2"/>
    <w:p>
      <w:pPr>
        <w:pStyle w:val="Heading2"/>
      </w:pPr>
      <w:r>
        <w:t xml:space="preserve">A Parallel Observation: Calcific Tendinitis of the Rotator Cuff</w:t>
      </w:r>
    </w:p>
    <w:p>
      <w:pPr>
        <w:pStyle w:val="FirstParagraph"/>
      </w:pPr>
      <w:r>
        <w:t xml:space="preserve">A brief comparison to calcific tendinitis of the rotator cuff illustrates how the same mechanotransduction principle may operate at a different anatomical site. Uhthoff and Loehr described the precalcific stage of calcific tendinitis as fibrocartilaginous metaplasia: tenocytes undergo transformation into chondrocytes, producing proteoglycans and assuming a chondroid phenotype with pericellular lacunae.(11) The calcification occurs in the midsubstance of the supraspinatus tendon, 1.5 to 2.0 cm from the insertion, in the zone that passes beneath the coracoacromial arch and is subjected to compressive loading during certain shoulder positions.(11) Uhthoff attributed the metaplasia primarily to tissue hypoxia, noting</w:t>
      </w:r>
      <w:r>
        <w:t xml:space="preserve"> </w:t>
      </w:r>
      <w:r>
        <w:t xml:space="preserve">“localized pressure”</w:t>
      </w:r>
      <w:r>
        <w:t xml:space="preserve"> </w:t>
      </w:r>
      <w:r>
        <w:t xml:space="preserve">as a secondary factor but not elaborating on the mechanism.(11)</w:t>
      </w:r>
    </w:p>
    <w:p>
      <w:pPr>
        <w:pStyle w:val="BodyText"/>
      </w:pPr>
      <w:r>
        <w:t xml:space="preserve">Oliva et al. reviewed the pathogenesis and noted that more recent work by Rui et al. identified tendon-derived stem cells that can undergo</w:t>
      </w:r>
      <w:r>
        <w:t xml:space="preserve"> </w:t>
      </w:r>
      <w:r>
        <w:t xml:space="preserve">“erroneous differentiation”</w:t>
      </w:r>
      <w:r>
        <w:t xml:space="preserve"> </w:t>
      </w:r>
      <w:r>
        <w:t xml:space="preserve">into chondrocytes or osteoblasts rather than tenocytes.(12) They described calcific tendinitis as</w:t>
      </w:r>
      <w:r>
        <w:t xml:space="preserve"> </w:t>
      </w:r>
      <w:r>
        <w:t xml:space="preserve">“a localized attempt of the tendon to compensate the original decreased stiffness.”</w:t>
      </w:r>
      <w:r>
        <w:t xml:space="preserve">(12) Oliva et al. also noted that type II collagen, the collagen type associated with resistance to compressive stress, is expressed in the metaplastic tissue, and that aggrecan, a proteoglycan that plays a central role in adaptation to compressive loads, is present in the calcific deposits.(12) Neither Uhthoff nor Oliva connected these observations to Cook and Purdam’s compressive tendinopathy framework or to Ingber’s mechanotransduction model. A Scopus search for</w:t>
      </w:r>
      <w:r>
        <w:t xml:space="preserve"> </w:t>
      </w:r>
      <w:r>
        <w:t xml:space="preserve">“compressive tendinopathy”</w:t>
      </w:r>
      <w:r>
        <w:t xml:space="preserve"> </w:t>
      </w:r>
      <w:r>
        <w:t xml:space="preserve">AND</w:t>
      </w:r>
      <w:r>
        <w:t xml:space="preserve"> </w:t>
      </w:r>
      <w:r>
        <w:t xml:space="preserve">“calcific tendinitis”</w:t>
      </w:r>
      <w:r>
        <w:t xml:space="preserve"> </w:t>
      </w:r>
      <w:r>
        <w:t xml:space="preserve">returns zero indexed results.</w:t>
      </w:r>
    </w:p>
    <w:p>
      <w:pPr>
        <w:pStyle w:val="BodyText"/>
      </w:pPr>
      <w:r>
        <w:t xml:space="preserve">The tissue response in both conditions is strikingly similar: tenocytes transforming into chondrocyte-like cells, producing compression-associated matrix proteins (type II collagen, aggrecan), in regions of the tendon where compressive loading occurs. The simplest explanation for this convergent histopathological pattern is that the cells are responding to their mechanical environment through the conserved mechanotransduction pathways described by Ingber and others(6,13,14): compressive loading activates intracellular signaling cascades that shift gene expression toward a chondroid phenotype. The fact that this response has been documented in the ECRB (against the capitellum), in the supraspinatus (against the coracoacromial arch), and in every other tendon that wraps around a bony prominence(5) suggests a common mechanism rather than coincidence.</w:t>
      </w:r>
    </w:p>
    <w:bookmarkEnd w:id="15"/>
    <w:bookmarkStart w:id="16" w:name="clinical-implications"/>
    <w:p>
      <w:pPr>
        <w:pStyle w:val="Heading2"/>
      </w:pPr>
      <w:r>
        <w:t xml:space="preserve">Clinical Implications</w:t>
      </w:r>
    </w:p>
    <w:p>
      <w:pPr>
        <w:pStyle w:val="FirstParagraph"/>
      </w:pPr>
      <w:r>
        <w:t xml:space="preserve">If lateral epicondylitis has a compressive component, several clinical implications follow.</w:t>
      </w:r>
    </w:p>
    <w:p>
      <w:pPr>
        <w:pStyle w:val="BodyText"/>
      </w:pPr>
      <w:r>
        <w:t xml:space="preserve">First, the failure of anti-inflammatory treatments has a mechanistic explanation beyond the absence of inflammation. Corticosteroid injection produces short-term pain relief but 72% recurrence at 12 months, compared to 9% with observation alone.(1) If the underlying pathology is a mechanotransduction-driven remodeling response to compressive loading, anti-inflammatory agents would be expected to provide symptom relief without altering the mechanical cause, and recurrence upon resumption of loading would be predicted.</w:t>
      </w:r>
    </w:p>
    <w:p>
      <w:pPr>
        <w:pStyle w:val="BodyText"/>
      </w:pPr>
      <w:r>
        <w:t xml:space="preserve">Second, the success of exercise-based rehabilitation may be partly attributable to compression management. Cook and Purdam demonstrated that modifying the range of motion to reduce compression improved outcomes in insertional Achilles tendinopathy: limiting dorsiflexion during eccentric exercise increased the success rate from 30% to 70%.(5) Coombes et al. recommended that wrist extensor exercises for lateral epicondylitis be performed with the elbow flexed, explicitly to reduce compressive forces at the ECRB insertion.(1) If compression is a driver of the pathology, then the specific joint positions and ranges used during rehabilitation are not incidental but mechanistically important.</w:t>
      </w:r>
    </w:p>
    <w:p>
      <w:pPr>
        <w:pStyle w:val="BodyText"/>
      </w:pPr>
      <w:r>
        <w:t xml:space="preserve">Third, the kinetic chain may be relevant. Kraushaar and Nirschl observed that</w:t>
      </w:r>
      <w:r>
        <w:t xml:space="preserve"> </w:t>
      </w:r>
      <w:r>
        <w:t xml:space="preserve">“in order to adapt to weakness of the muscles of the shoulder, a tennis player will attempt to generate force with the muscles of the forearm, thereby predisposing to tendinosis of the elbow.”</w:t>
      </w:r>
      <w:r>
        <w:t xml:space="preserve">(4) Coombes et al. found shoulder rotation weakness in patients with lateral epicondylitis.(1) If proximal weakness increases the demands on the forearm extensors, and if the resulting increased ECRB loading amplifies compressive contact at the radiocapitellar interface, then addressing proximal deficits may reduce the compressive load at the elbow. This remains a hypothesis, and the biomechanical chain from shoulder weakness to increased radiocapitellar compression has not been directly measured.</w:t>
      </w:r>
    </w:p>
    <w:p>
      <w:pPr>
        <w:pStyle w:val="BodyText"/>
      </w:pPr>
      <w:r>
        <w:t xml:space="preserve">Fourth, surgical debridement of the ECRB origin removes the tissue that has undergone metaplastic transformation at the compressive interface. The success of this procedure (Nirschl reported 85% return to full activity(2)) is consistent with removing tissue that cannot recover because it has undergone structural commitment to a compression-adapted phenotype.</w:t>
      </w:r>
    </w:p>
    <w:bookmarkEnd w:id="16"/>
    <w:bookmarkStart w:id="17" w:name="limitations"/>
    <w:p>
      <w:pPr>
        <w:pStyle w:val="Heading2"/>
      </w:pPr>
      <w:r>
        <w:t xml:space="preserve">Limitations</w:t>
      </w:r>
    </w:p>
    <w:p>
      <w:pPr>
        <w:pStyle w:val="FirstParagraph"/>
      </w:pPr>
      <w:r>
        <w:t xml:space="preserve">Several limitations must be acknowledged. The compressive tendinopathy classification we propose for lateral epicondylitis is based on convergent indirect evidence, not direct measurement of compressive forces on the ECRB deep surface during functional loading. The Hwang et al. data measured intra-articular radiocapitellar contact pressure, not the compressive stress transmitted through the capsule to the ECRB itself.(9) The magnitude of force reaching the ECRB through the thin capsular layer has not been quantified. The chondroid metaplasia documented by Kraushaar and Nirschl was present but not universal in their specimens, and the proportion of lateral epicondylitis cases that exhibit chondroid changes versus purely fibroblastic changes is not known.(4) The Regan et al. study used cadaveric controls that were not age- or gender-matched, and all surgical patients had received multiple steroid injections, which may confound the histological picture.(3) Cook and Purdam themselves acknowledged that the science supporting compression as a driver of tendinopathy is</w:t>
      </w:r>
      <w:r>
        <w:t xml:space="preserve"> </w:t>
      </w:r>
      <w:r>
        <w:t xml:space="preserve">“incomplete.”</w:t>
      </w:r>
      <w:r>
        <w:t xml:space="preserve">(5) Docking et al. noted that while the tensegrity model explains how cells detect tensile strain, the mechanism by which tenocytes detect compressive stress has not been fully elucidated.(7) Finally, we have not excluded alternative explanations for the deep-surface localization of pathology, including differential vascularity of the deep versus superficial ECRB, stress shielding of deeper tendon layers, or preferential mechanical failure at the tendon-capsule interface rather than compression-driven metaplasia.</w:t>
      </w:r>
    </w:p>
    <w:bookmarkEnd w:id="17"/>
    <w:bookmarkStart w:id="18" w:name="conclusion"/>
    <w:p>
      <w:pPr>
        <w:pStyle w:val="Heading2"/>
      </w:pPr>
      <w:r>
        <w:t xml:space="preserve">Conclusion</w:t>
      </w:r>
    </w:p>
    <w:p>
      <w:pPr>
        <w:pStyle w:val="FirstParagraph"/>
      </w:pPr>
      <w:r>
        <w:t xml:space="preserve">The histopathological localization of lateral epicondylitis to the deep surface of the ECRB, the anatomical vulnerability of the ECRB to compression from the radiocapitellar joint, the chondroid metaplasia documented in the pathological tissue, and the compressive tendinopathy framework established by Cook and Purdam converge on a classification that has not previously been made: lateral epicondylitis may be, at least in part, a compressive tendinopathy. This classification does not replace the recognition of tensile overload, pain system sensitization, and motor system impairment as contributors to the condition.(1) Rather, it adds a mechanical dimension that may explain the specific anatomical localization of the pathology, the presence of compression-associated tissue changes, and the clinical response to interventions that modify compressive loading. The connection between the pathological tissue changes documented in this condition and the cellular mechanotransduction pathways through which mechanical forces are converted into altered gene expression(6,13,14) provides a biological mechanism linking the anatomical compression to the histopathological outcome. Whether this mechanism operates primarily through the radial head rotating into the ECRB in pronation,(5) through concentrated radiocapitellar contact pressure in supination,(9) or through a combination of both remains to be determined. Direct measurement of compressive stress on the ECRB deep surface during functional tasks, and correlation of compressive loading zones with the spatial distribution of histopathological changes within the tendon, would provide the evidence needed to confirm or refute this classification.</w:t>
      </w:r>
    </w:p>
    <w:bookmarkEnd w:id="18"/>
    <w:bookmarkStart w:id="19" w:name="references"/>
    <w:p>
      <w:pPr>
        <w:pStyle w:val="Heading2"/>
      </w:pPr>
      <w:r>
        <w:t xml:space="preserve">References</w:t>
      </w:r>
    </w:p>
    <w:p>
      <w:pPr>
        <w:pStyle w:val="Compact"/>
        <w:numPr>
          <w:ilvl w:val="0"/>
          <w:numId w:val="1001"/>
        </w:numPr>
      </w:pPr>
      <w:r>
        <w:t xml:space="preserve">Coombes BK, Bisset L, Vicenzino B. A new integrative model of lateral epicondylalgia. Br J Sports Med. 2009;43(4):252-258.</w:t>
      </w:r>
    </w:p>
    <w:p>
      <w:pPr>
        <w:pStyle w:val="Compact"/>
        <w:numPr>
          <w:ilvl w:val="0"/>
          <w:numId w:val="1001"/>
        </w:numPr>
      </w:pPr>
      <w:r>
        <w:t xml:space="preserve">Nirschl RP, Pettrone FA. Tennis elbow. The surgical treatment of lateral epicondylitis. J Bone Joint Surg Am. 1979;61(6):832-839.</w:t>
      </w:r>
    </w:p>
    <w:p>
      <w:pPr>
        <w:pStyle w:val="Compact"/>
        <w:numPr>
          <w:ilvl w:val="0"/>
          <w:numId w:val="1001"/>
        </w:numPr>
      </w:pPr>
      <w:r>
        <w:t xml:space="preserve">Regan W, Wold LE, Coonrad R, Morrey BF. Microscopic histopathology of chronic refractory lateral epicondylitis. Am J Sports Med. 1992;20(6):746-749.</w:t>
      </w:r>
    </w:p>
    <w:p>
      <w:pPr>
        <w:pStyle w:val="Compact"/>
        <w:numPr>
          <w:ilvl w:val="0"/>
          <w:numId w:val="1001"/>
        </w:numPr>
      </w:pPr>
      <w:r>
        <w:t xml:space="preserve">Kraushaar BS, Nirschl RP. Tendinosis of the elbow (tennis elbow). Clinical features and findings of histological, immunohistochemical, and electron microscopy studies. J Bone Joint Surg Am. 1999;81(2):259-278.</w:t>
      </w:r>
    </w:p>
    <w:p>
      <w:pPr>
        <w:pStyle w:val="Compact"/>
        <w:numPr>
          <w:ilvl w:val="0"/>
          <w:numId w:val="1001"/>
        </w:numPr>
      </w:pPr>
      <w:r>
        <w:t xml:space="preserve">Cook JL, Purdam C. Is compressive load a factor in the development of tendinopathy? Br J Sports Med. 2012;46(3):163-168.</w:t>
      </w:r>
    </w:p>
    <w:p>
      <w:pPr>
        <w:pStyle w:val="Compact"/>
        <w:numPr>
          <w:ilvl w:val="0"/>
          <w:numId w:val="1001"/>
        </w:numPr>
      </w:pPr>
      <w:r>
        <w:t xml:space="preserve">Ingber DE. Tensegrity: the architectural basis of cellular mechanotransduction. Annu Rev Physiol. 1997;59:575-599.</w:t>
      </w:r>
    </w:p>
    <w:p>
      <w:pPr>
        <w:pStyle w:val="Compact"/>
        <w:numPr>
          <w:ilvl w:val="0"/>
          <w:numId w:val="1001"/>
        </w:numPr>
      </w:pPr>
      <w:r>
        <w:t xml:space="preserve">Docking S, Samiric T, Scase E, Purdam C, Cook J. Relationship between compressive loading and ECM changes in tendons. Muscles Ligaments Tendons J. 2013;3(1):7-11.</w:t>
      </w:r>
    </w:p>
    <w:p>
      <w:pPr>
        <w:pStyle w:val="Compact"/>
        <w:numPr>
          <w:ilvl w:val="0"/>
          <w:numId w:val="1001"/>
        </w:numPr>
      </w:pPr>
      <w:r>
        <w:t xml:space="preserve">Nimura A, Fujishiro H, Wakabayashi Y, Imatani J, Sugaya H, Akita K. Joint capsule attachment to the extensor carpi radialis brevis origin: an anatomical study with possible implications regarding the etiology of lateral epicondylitis. J Hand Surg Am. 2014;39(2):219-225.</w:t>
      </w:r>
    </w:p>
    <w:p>
      <w:pPr>
        <w:pStyle w:val="Compact"/>
        <w:numPr>
          <w:ilvl w:val="0"/>
          <w:numId w:val="1001"/>
        </w:numPr>
      </w:pPr>
      <w:r>
        <w:t xml:space="preserve">Hwang JT, Kim Y, Bachman DR, et al. Axial load transmission through the elbow during forearm rotation. J Shoulder Elbow Surg. 2018;27(3):530-537.</w:t>
      </w:r>
    </w:p>
    <w:p>
      <w:pPr>
        <w:pStyle w:val="Compact"/>
        <w:numPr>
          <w:ilvl w:val="0"/>
          <w:numId w:val="1001"/>
        </w:numPr>
      </w:pPr>
      <w:r>
        <w:t xml:space="preserve">Wang JH. Mechanobiology of tendon. J Biomech. 2006;39(9):1563-1582.</w:t>
      </w:r>
    </w:p>
    <w:p>
      <w:pPr>
        <w:pStyle w:val="Compact"/>
        <w:numPr>
          <w:ilvl w:val="0"/>
          <w:numId w:val="1001"/>
        </w:numPr>
      </w:pPr>
      <w:r>
        <w:t xml:space="preserve">Uhthoff HK, Loehr JW. Calcific tendinopathy of the rotator cuff: pathogenesis, diagnosis, and management. J Am Acad Orthop Surg. 1997;5(4):183-191.</w:t>
      </w:r>
    </w:p>
    <w:p>
      <w:pPr>
        <w:pStyle w:val="Compact"/>
        <w:numPr>
          <w:ilvl w:val="0"/>
          <w:numId w:val="1001"/>
        </w:numPr>
      </w:pPr>
      <w:r>
        <w:t xml:space="preserve">Oliva F, Via AG, Maffulli N. Physiopathology of intratendinous calcific deposition. BMC Med. 2012;10:95.</w:t>
      </w:r>
    </w:p>
    <w:p>
      <w:pPr>
        <w:pStyle w:val="Compact"/>
        <w:numPr>
          <w:ilvl w:val="0"/>
          <w:numId w:val="1001"/>
        </w:numPr>
      </w:pPr>
      <w:r>
        <w:t xml:space="preserve">Ingber DE. Mechanobiology and diseases of mechanotransduction. Ann Med. 2003;35(8):564-577.</w:t>
      </w:r>
    </w:p>
    <w:p>
      <w:pPr>
        <w:pStyle w:val="Compact"/>
        <w:numPr>
          <w:ilvl w:val="0"/>
          <w:numId w:val="1001"/>
        </w:numPr>
      </w:pPr>
      <w:r>
        <w:t xml:space="preserve">Engler AJ, Sen S, Sweeney HL, Discher DE. Matrix elasticity directs stem cell lineage specification. Cell. 2006;126(4):677-689.</w:t>
      </w:r>
    </w:p>
    <w:p>
      <w:pPr>
        <w:pStyle w:val="Compact"/>
        <w:numPr>
          <w:ilvl w:val="0"/>
          <w:numId w:val="1001"/>
        </w:numPr>
      </w:pPr>
      <w:r>
        <w:t xml:space="preserve">Cook JL, Purdam CR. Is tendon pathology a continuum? A pathology model to explain the clinical presentation of load-induced tendinopathy. Br J Sports Med. 2009;43(6):409-416.</w:t>
      </w:r>
    </w:p>
    <w:p>
      <w:pPr>
        <w:pStyle w:val="Compact"/>
        <w:numPr>
          <w:ilvl w:val="0"/>
          <w:numId w:val="1001"/>
        </w:numPr>
      </w:pPr>
      <w:r>
        <w:t xml:space="preserve">Cook JL, Rio E, Purdam CR, Docking SI. Revisiting the continuum model of tendon pathology: what is its merit in clinical practice and research? Br J Sports Med. 2016;50(19):1187-1191.</w:t>
      </w:r>
    </w:p>
    <w:p>
      <w:pPr>
        <w:pStyle w:val="Compact"/>
        <w:numPr>
          <w:ilvl w:val="0"/>
          <w:numId w:val="1001"/>
        </w:numPr>
      </w:pPr>
      <w:r>
        <w:t xml:space="preserve">Khan KM, Scott A. Mechanotherapy: how physical therapists’ prescription of exercise promotes tissue repair. Br J Sports Med. 2009;43(4):247-252.</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2026-03-24T03:17:45Z</dcterms:created>
  <dcterms:modified xsi:type="dcterms:W3CDTF">2026-03-24T03:17:45Z</dcterms:modified>
</cp:coreProperties>
</file>

<file path=docProps/custom.xml><?xml version="1.0" encoding="utf-8"?>
<Properties xmlns="http://schemas.openxmlformats.org/officeDocument/2006/custom-properties" xmlns:vt="http://schemas.openxmlformats.org/officeDocument/2006/docPropsVTypes"/>
</file>