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Novelty Assessment — Publication Concepts</w:t>
      </w:r>
    </w:p>
    <w:p>
      <w:pPr>
        <w:pStyle w:val="Heading1"/>
      </w:pPr>
      <w:r>
        <w:t>Scopus Full-Text Search Results (TITLE-ABS-KEY), March 2026</w:t>
      </w:r>
    </w:p>
    <w:p>
      <w:pPr>
        <w:jc w:val="center"/>
      </w:pPr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Concept 1: Dynamic Glenoid Version</w:t>
      </w:r>
    </w:p>
    <w:p>
      <w:r>
        <w:rPr>
          <w:sz w:val="22"/>
        </w:rPr>
        <w:t>Novelty: HIGH — concept unnamed in the literature</w:t>
      </w:r>
    </w:p>
    <w:p>
      <w:pPr>
        <w:pStyle w:val="Heading2"/>
      </w:pPr>
      <w:r>
        <w:t>Search Results</w:t>
      </w:r>
    </w:p>
    <w:p>
      <w:pPr>
        <w:pStyle w:val="ListBullet"/>
        <w:ind w:left="360"/>
      </w:pPr>
      <w:r>
        <w:rPr>
          <w:sz w:val="22"/>
        </w:rPr>
        <w:t>"dynamic glenoid version" OR "dynamic glenoid orientation" OR "functional glenoid version" → 0 results</w:t>
      </w:r>
    </w:p>
    <w:p>
      <w:pPr>
        <w:pStyle w:val="ListBullet"/>
        <w:ind w:left="360"/>
      </w:pPr>
      <w:r>
        <w:rPr>
          <w:sz w:val="22"/>
        </w:rPr>
        <w:t>Scapular dyskinesis + glenoid version/retroversion/orientation → 5 results (clinical reviews, none study the concept)</w:t>
      </w:r>
    </w:p>
    <w:p>
      <w:pPr>
        <w:pStyle w:val="ListBullet"/>
        <w:ind w:left="360"/>
      </w:pPr>
      <w:r>
        <w:rPr>
          <w:sz w:val="22"/>
        </w:rPr>
        <w:t>Scapular position/motion/kinematics + glenoid version/inclination (excl. arthroplasty) → 31 results</w:t>
      </w:r>
    </w:p>
    <w:p>
      <w:pPr>
        <w:pStyle w:val="ListBullet"/>
        <w:ind w:left="360"/>
      </w:pPr>
      <w:r>
        <w:rPr>
          <w:sz w:val="22"/>
        </w:rPr>
        <w:t>"scapulothoracic" + "glenoid version" → 6 results</w:t>
      </w:r>
    </w:p>
    <w:p>
      <w:pPr>
        <w:pStyle w:val="Heading2"/>
      </w:pPr>
      <w:r>
        <w:t>Key Adjacent Papers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Paper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Relevance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Bryce et al. 2010 (JBJS, 147 citations) — "2D glenoid version measurements vary with coronal and sagittal scapular rotation"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CLOSEST PAPER. Proved the mechanics but framed as CT measurement artifact, not functional biomechanical concept.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Akgun et al. 2024 (AJSM, 9 citations) — Scapulothoracic orientation differences in posterior instability patients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Links scapular orientation to instability — conceptually adjacent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Akgun et al. 2025 (JSES Int, 0 citations) — Scapular morphology/orientation in OA patients vs. controls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Same group, extending to OA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Stein et al. 2017 (J Hand Surg, 9 citations) — Scapular position affects MRI-measured glenoid 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Measurement context, not functional</w:t>
            </w:r>
          </w:p>
        </w:tc>
      </w:tr>
    </w:tbl>
    <w:p/>
    <w:p>
      <w:pPr>
        <w:pStyle w:val="Heading2"/>
      </w:pPr>
      <w:r>
        <w:t>Assessment</w:t>
      </w:r>
    </w:p>
    <w:p>
      <w:r>
        <w:rPr>
          <w:sz w:val="22"/>
        </w:rPr>
        <w:t>The reframe from "measurement artifact" (Bryce 2010) to "functional biomechanical variable during living movement" is genuinely novel. Nobody has proposed that scapular dyskinesis dynamically alters effective glenoid version as a mechanism linking scapular dysfunction to glenoid wear patterns (Walch B0 → B1 → B2).</w:t>
      </w:r>
    </w:p>
    <w:p>
      <w:pPr>
        <w:jc w:val="center"/>
      </w:pPr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Concept 2: Scapula-Sparing Implant Selection for rTSA</w:t>
      </w:r>
    </w:p>
    <w:p>
      <w:r>
        <w:rPr>
          <w:sz w:val="22"/>
        </w:rPr>
        <w:t>Novelty: MODERATE — active field, but specific framework is new</w:t>
      </w:r>
    </w:p>
    <w:p>
      <w:pPr>
        <w:pStyle w:val="Heading2"/>
      </w:pPr>
      <w:r>
        <w:t>Search Results</w:t>
      </w:r>
    </w:p>
    <w:p>
      <w:pPr>
        <w:pStyle w:val="ListBullet"/>
        <w:ind w:left="360"/>
      </w:pPr>
      <w:r>
        <w:rPr>
          <w:sz w:val="22"/>
        </w:rPr>
        <w:t>Scapulothoracic function + reverse shoulder arthroplasty → 38 results (active area)</w:t>
      </w:r>
    </w:p>
    <w:p>
      <w:pPr>
        <w:pStyle w:val="ListBullet"/>
        <w:ind w:left="360"/>
      </w:pPr>
      <w:r>
        <w:rPr>
          <w:sz w:val="22"/>
        </w:rPr>
        <w:t>Scapular dyskinesis + reverse shoulder + outcome/predictor → 2 results (essentially empty)</w:t>
      </w:r>
    </w:p>
    <w:p>
      <w:pPr>
        <w:pStyle w:val="ListBullet"/>
        <w:ind w:left="360"/>
      </w:pPr>
      <w:r>
        <w:rPr>
          <w:sz w:val="22"/>
        </w:rPr>
        <w:t>SHR + implant design (lateralized/medialized) + reverse → 3 results</w:t>
      </w:r>
    </w:p>
    <w:p>
      <w:pPr>
        <w:pStyle w:val="ListBullet"/>
        <w:ind w:left="360"/>
      </w:pPr>
      <w:r>
        <w:rPr>
          <w:sz w:val="22"/>
        </w:rPr>
        <w:t>Pre-operative scapular function + shoulder surgery + outcome → 175 results (broad, but none specific to dyskinesis predicting arthroplasty outcomes)</w:t>
      </w:r>
    </w:p>
    <w:p>
      <w:pPr>
        <w:pStyle w:val="Heading2"/>
      </w:pPr>
      <w:r>
        <w:t>Key Adjacent Papers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Paper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Relevance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Moroder et al. 2020 (JSES, 48 citations) — Posture and scapulothoracic orientation influence humeral component retrotorsion choice in rTSA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CLOSEST PAPER. Already proposes scapulothoracic orientation should influence component positioning.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Moroder et al. 2022 (CORR, 38 citations) — Patient posture affects simulated ROM in rTSA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Shows scapulothoracic position matters for planning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Bauer et al. 2023 (JCM, 16 citations) — "Challenges for Optimization of rTSA Part II: Subacromial Space, Scapular Posture, Moment Arms and Muscle Tensioning"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Explicitly addresses scapular posture in rTSA optimization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Shekhbihi et al. 2025 (EFORT Open Reviews, 0 citations) — "The scapulothoracic conundrum in reverse shoulder arthroplasty: where do we stand and what is yet to expand?"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Most topically aligned — frames this as an open problem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Zdravkovic et al. 2020 (CORR, 17 citations) — Scapulothoracic kinematics differ in RCA vs. normals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Pre-arthroplasty baseline kinematics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Matsuki et al. 2021 (JSES Int, 13 citations) — Good vs. poor elevation kinematics after rTSA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Scapulothoracic compensation predicts function</w:t>
            </w:r>
          </w:p>
        </w:tc>
      </w:tr>
    </w:tbl>
    <w:p/>
    <w:p>
      <w:pPr>
        <w:pStyle w:val="Heading2"/>
      </w:pPr>
      <w:r>
        <w:t>Assessment</w:t>
      </w:r>
    </w:p>
    <w:p>
      <w:r>
        <w:rPr>
          <w:sz w:val="22"/>
        </w:rPr>
        <w:t>Moroder, Bauer, and Shekhbihi are already publishing on scapulothoracic considerations in rTSA. However, nobody has proposed: (1) matching implant lateralization to pre-operative scapulothoracic reserve, (2) using pre-operative scapular dyskinesis to predict rTSA outcomes, or (3) a formal "scapula-sparing" implant selection framework. These specific contributions would be novel, but must cite and build on the existing work.</w:t>
      </w:r>
    </w:p>
    <w:p>
      <w:pPr>
        <w:jc w:val="center"/>
      </w:pPr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Concept 3: Unifying Framework (CSA + Posterior Acromion + Dyskinesis + Arthroplasty)</w:t>
      </w:r>
    </w:p>
    <w:p>
      <w:r>
        <w:rPr>
          <w:sz w:val="22"/>
        </w:rPr>
        <w:t>Novelty: HIGH — zero results connecting these streams</w:t>
      </w:r>
    </w:p>
    <w:p>
      <w:pPr>
        <w:pStyle w:val="Heading2"/>
      </w:pPr>
      <w:r>
        <w:t>Search Results</w:t>
      </w:r>
    </w:p>
    <w:p>
      <w:pPr>
        <w:pStyle w:val="ListBullet"/>
        <w:ind w:left="360"/>
      </w:pPr>
      <w:r>
        <w:rPr>
          <w:sz w:val="22"/>
        </w:rPr>
        <w:t>Scapula + "upstream" + shoulder + pathology → 0 results</w:t>
      </w:r>
    </w:p>
    <w:p>
      <w:pPr>
        <w:pStyle w:val="ListBullet"/>
        <w:ind w:left="360"/>
      </w:pPr>
      <w:r>
        <w:rPr>
          <w:sz w:val="22"/>
        </w:rPr>
        <w:t>"Critical shoulder angle" + scapular dyskinesis → 0 results</w:t>
      </w:r>
    </w:p>
    <w:p>
      <w:pPr>
        <w:pStyle w:val="ListBullet"/>
        <w:ind w:left="360"/>
      </w:pPr>
      <w:r>
        <w:rPr>
          <w:sz w:val="22"/>
        </w:rPr>
        <w:t>Scapular morphology + dyskinesis + review/framework/unifying → 0 results</w:t>
      </w:r>
    </w:p>
    <w:p>
      <w:pPr>
        <w:pStyle w:val="ListBullet"/>
        <w:ind w:left="360"/>
      </w:pPr>
      <w:r>
        <w:rPr>
          <w:sz w:val="22"/>
        </w:rPr>
        <w:t>"Posterior acromial" + "critical shoulder angle" → 10 results (individual studies, no synthesis)</w:t>
      </w:r>
    </w:p>
    <w:p>
      <w:pPr>
        <w:pStyle w:val="ListBullet"/>
        <w:ind w:left="360"/>
      </w:pPr>
      <w:r>
        <w:rPr>
          <w:sz w:val="22"/>
        </w:rPr>
        <w:t>Scapula + evolution + shoulder pathology → 55 results (paleoanthropology, not clinical synthesis)</w:t>
      </w:r>
    </w:p>
    <w:p>
      <w:pPr>
        <w:pStyle w:val="Heading2"/>
      </w:pPr>
      <w:r>
        <w:t>Key Adjacent Papers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Paper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Relevance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Passaplan et al. 2021 (JSES, 11 citations) — CSA does NOT change over 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Supports CSA as risk factor, not consequence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Verhaegen et al. 2021 (JSES, 15+17 citations) — Statistical shape model for scapular anatomy in RCA and OA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Independent group using same approach as Gerber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Ernstbrunner et al. 2020 (AJSM, 18 citations) — Scapular morphology + cuff tear pattern independently predict pseudoparalysis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Gerber group — connects shape to clinical outcome</w:t>
            </w:r>
          </w:p>
        </w:tc>
      </w:tr>
    </w:tbl>
    <w:p/>
    <w:p>
      <w:pPr>
        <w:pStyle w:val="Heading2"/>
      </w:pPr>
      <w:r>
        <w:t>Assessment</w:t>
      </w:r>
    </w:p>
    <w:p>
      <w:r>
        <w:rPr>
          <w:sz w:val="22"/>
        </w:rPr>
        <w:t>Nobody has written a paper connecting CSA, posterior acromial morphology, scapular dyskinesis, and arthroplasty outcomes into a single framework. The Zurich group (Meyer, Ernstbrunner, Verhaegen) has the individual pieces but published them as separate empirical studies. A Current Concepts review synthesizing these streams would be the first of its kind.</w:t>
      </w:r>
    </w:p>
    <w:p>
      <w:pPr>
        <w:jc w:val="center"/>
      </w:pPr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Papers to Download for Publication Preparation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Paper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DOI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Bryce 2010 — Glenoid version varies with scapular rotation (JBJS, 147 cites)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10.2106/JBJS.I.00177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for dynamic glenoid version concept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Moroder 2020 — Scapulothoracic orientation influences rTSA component choice (JSES, 48 cites)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10.1016/j.jse.2020.01.089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cite — closest to scapula-sparing concept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Shekhbihi 2025 — "The scapulothoracic conundrum in rTSA" (EFORT Open Rev)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10.1530/EOR-2024-0040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cite — frames the problem you're addressing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Akgun 2024 — Scapulothoracic orientation in posterior instability (AJSM, 9 cites)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10.1177/03635465241233706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Adjacent to dynamic glenoid version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Passaplan 2021 — CSA doesn't change over time (JSES, 11 cites)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10.1016/j.jse.2020.09.042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Supports CSA as risk factor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Bauer 2023 — rTSA optimization challenges incl. scapular posture (JCM, 16 cites)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10.3390/jcm12041616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cite for scapula-sparing concept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Ernstbrunner 2020 — Scapular morphology predicts pseudoparalysis (AJSM, 18 cites)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10.1177/0363546520929353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Supports unifying framework</w:t>
            </w:r>
          </w:p>
        </w:tc>
      </w:tr>
    </w:tbl>
    <w:p/>
    <w:p>
      <w:pPr>
        <w:jc w:val="center"/>
      </w:pPr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Concept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Novelty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Key Paper to Build 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Recommended Format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Dynamic Glenoid 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Bryce 2010 (JBJS, 147 cites)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Perspective / Commentary in JSES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Scapula-Sparing rTSA Selection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Moroder 2020 (JSES, 48 cites)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Commentary responding to Shekhbihi 2025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Unifying Framework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single paper — you create 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Concepts Review in JAAOS or JBJS Reviews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