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sz w:val="22"/>
        </w:rPr>
        <w:t>Email to Dr. Ben Kibler</w:t>
      </w:r>
    </w:p>
    <w:p>
      <w:r>
        <w:rPr>
          <w:rFonts w:ascii="Calibri" w:hAnsi="Calibri"/>
          <w:sz w:val="22"/>
        </w:rPr>
        <w:t>Subject: Building on your kinetic chain framework — scapulothoracic mechanics and shoulder pathology</w:t>
      </w:r>
    </w:p>
    <w:p>
      <w:r>
        <w:rPr>
          <w:rFonts w:ascii="Calibri" w:hAnsi="Calibri"/>
          <w:sz w:val="22"/>
        </w:rPr>
        <w:t>Dear Dr. Kibler,</w:t>
      </w:r>
    </w:p>
    <w:p>
      <w:r>
        <w:rPr>
          <w:rFonts w:ascii="Calibri" w:hAnsi="Calibri"/>
          <w:sz w:val="22"/>
        </w:rPr>
        <w:t>I am an orthopedic surgery resident at the University of Oklahoma, heading to the University of Colorado next year for a shoulder and elbow fellowship. Your work on the kinetic chain and the role of the scapula in athletic shoulder function has had a profound influence on how I think about the shoulder, and I am writing to seek your perspective on a manuscript that builds directly on the foundation you established.</w:t>
      </w:r>
    </w:p>
    <w:p>
      <w:r>
        <w:rPr>
          <w:rFonts w:ascii="Calibri" w:hAnsi="Calibri"/>
          <w:sz w:val="22"/>
        </w:rPr>
        <w:t>My interest in scapulothoracic mechanics grew out of a personal experience with scapular dysfunction. Over the course of working through that problem, I began to appreciate how deeply the scapula's position and function influenced everything downstream, not just kinematics, but force generation, motor control, and the subjective quality of muscle activation throughout the upper extremity. That experience led me into the literature, where I found that your kinetic chain work, Gerber's CSA and posterior acromial morphology data, Walker's scapulohumeral rhythm data after reverse shoulder arthroplasty, and recent kinematic studies by Mercurio and Akgun all appear to converge on the same conclusion: the scapulothoracic articulation is an upstream variable that influences which downstream pathology develops, depending on the specific alteration in scapulothoracic mechanics.</w:t>
      </w:r>
    </w:p>
    <w:p>
      <w:r>
        <w:rPr>
          <w:rFonts w:ascii="Calibri" w:hAnsi="Calibri"/>
          <w:sz w:val="22"/>
        </w:rPr>
        <w:t>The attached manuscript attempts to synthesize these findings into a single framework. Four clinical examples are presented: rotator cuff disease (through the CSA and shear-to-compression ratio), posterior glenohumeral instability (through posterior acromial morphology), posterior glenoid wear (a hypothesis about dynamic glenoid version from scapulothoracic positioning), and variable outcomes after reverse total shoulder arthroplasty (through scapulohumeral rhythm). The paper also discusses the structural principle of tensegrity as a potential biomechanical model for why the scapulothoracic articulation, as an unconstrained system stabilized entirely by muscular tension, is so sensitive to perturbation and so consequential when its mechanics are altered.</w:t>
      </w:r>
    </w:p>
    <w:p>
      <w:r>
        <w:rPr>
          <w:rFonts w:ascii="Calibri" w:hAnsi="Calibri"/>
          <w:sz w:val="22"/>
        </w:rPr>
        <w:t>I see this work as an extension of the kinetic chain framework you pioneered, integrating morphological and arthroplasty data that was not available when your foundational papers were published. I wanted to reach out because I deeply respect your thinking on these topics and because your perspective on whether this synthesis has merit would be invaluable. If you see value in the work and would be willing to contribute, I would welcome that. But I am primarily seeking your honest assessment, including where you think the framework overreaches or where the evidence is insufficient.</w:t>
      </w:r>
    </w:p>
    <w:p>
      <w:r>
        <w:rPr>
          <w:rFonts w:ascii="Calibri" w:hAnsi="Calibri"/>
          <w:sz w:val="22"/>
        </w:rPr>
        <w:t>Thank you for your time, and for the work that made this line of thinking possible.</w:t>
      </w:r>
    </w:p>
    <w:p>
      <w:r>
        <w:rPr>
          <w:rFonts w:ascii="Calibri" w:hAnsi="Calibri"/>
          <w:sz w:val="22"/>
        </w:rPr>
        <w:t>Respectfully,</w:t>
      </w:r>
    </w:p>
    <w:p>
      <w:r>
        <w:rPr>
          <w:rFonts w:ascii="Calibri" w:hAnsi="Calibri"/>
          <w:sz w:val="22"/>
        </w:rPr>
        <w:t>Brad Roepke, MD</w:t>
      </w:r>
    </w:p>
    <w:p>
      <w:r>
        <w:rPr>
          <w:rFonts w:ascii="Calibri" w:hAnsi="Calibri"/>
          <w:sz w:val="22"/>
        </w:rPr>
        <w:t>PGY-[X], Department of Orthopedic Surgery</w:t>
      </w:r>
    </w:p>
    <w:p>
      <w:r>
        <w:rPr>
          <w:rFonts w:ascii="Calibri" w:hAnsi="Calibri"/>
          <w:sz w:val="22"/>
        </w:rPr>
        <w:t>University of Oklahoma Health Sciences Center</w:t>
      </w:r>
    </w:p>
    <w:p>
      <w:r>
        <w:rPr>
          <w:rFonts w:ascii="Calibri" w:hAnsi="Calibri"/>
          <w:sz w:val="22"/>
        </w:rPr>
        <w:t>[Email] | [Phone]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