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22"/>
        </w:rPr>
        <w:t>Email to Aaron Sciascia</w:t>
      </w:r>
    </w:p>
    <w:p>
      <w:r>
        <w:rPr>
          <w:rFonts w:ascii="Calibri" w:hAnsi="Calibri"/>
          <w:b/>
          <w:sz w:val="22"/>
        </w:rPr>
        <w:t>To: ascia@lexclin.com</w:t>
      </w:r>
    </w:p>
    <w:p>
      <w:r>
        <w:rPr>
          <w:rFonts w:ascii="Calibri" w:hAnsi="Calibri"/>
          <w:b/>
          <w:sz w:val="22"/>
        </w:rPr>
        <w:t>Subject: Orthopedic surgery resident seeking your insights about how scapulothoracic mechanics contribute to various shoulder pathologies</w:t>
      </w:r>
    </w:p>
    <w:p>
      <w:r>
        <w:rPr>
          <w:rFonts w:ascii="Calibri" w:hAnsi="Calibri"/>
          <w:sz w:val="22"/>
        </w:rPr>
        <w:t>Dr. Sciascia,</w:t>
      </w:r>
    </w:p>
    <w:p>
      <w:r>
        <w:rPr>
          <w:rFonts w:ascii="Calibri" w:hAnsi="Calibri"/>
          <w:sz w:val="22"/>
        </w:rPr>
        <w:t>I am an orthopedic surgery resident at the University of Oklahoma, heading to the University of Colorado next year for a shoulder and elbow fellowship. I am reaching out because the body of work that you and Dr. Kibler have published on the kinetic chain, scapular dyskinesis, and the scapula's role in shoulder function has been foundational to how I think about the shoulder. I have been working through some ideas that build on your framework, and I would value your perspective on whether the direction I am heading makes sense.</w:t>
      </w:r>
    </w:p>
    <w:p>
      <w:r>
        <w:rPr>
          <w:rFonts w:ascii="Calibri" w:hAnsi="Calibri"/>
          <w:sz w:val="22"/>
        </w:rPr>
        <w:t>My interest in scapulothoracic mechanics has developed over the last 10 years or so through rigorously studying my own problems with the scapula. These personal insights, coupled with the work you and others have done, has really driven me to a high degree of conviction about the underappreciated importance of the scapula and its role in all aspects of shoulder function. Your work and Dr. Kibler's work on the kinetic chain, particularly the recognition that the scapula is a critical link in the biological force transmission mechanism that is the human body, became the lens through which I started examining the rest of the shoulder literature.</w:t>
      </w:r>
    </w:p>
    <w:p>
      <w:r>
        <w:rPr>
          <w:rFonts w:ascii="Calibri" w:hAnsi="Calibri"/>
          <w:sz w:val="22"/>
        </w:rPr>
        <w:t>What I have been noticing is that several independent lines of evidence from different research groups appear to converge on the same conclusion your kinetic chain framework predicted. Professor Gerber's group in Zurich has shown through the work of Moor (BJJ, 2013), Viehöfer (J Orthop Res, 2016), and Gerber himself (J Orthop Res, 2014) that the critical shoulder angle determines the shear-to-compression ratio at the glenohumeral joint. A high CSA forces the supraspinatus to function as a stabilizer against shear rather than as an agonist to the deltoid, chronically overloading it, while a low CSA directs more compressive force into the articular surface. The scapula's morphology essentially acts as a mechanical switch between cuff disease and osteoarthritis. Garcia et al. (JSES, 2017) extended this by showing that CSA above 38 degrees produces an odds ratio of 14.8 for retear after cuff repair, and Gerber (Arthroscopy, 2018) showed that lateral acromioplasty can safely correct this. Their posterior acromial morphology work, particularly Meyer et al. (JBJS, 2019) showing an odds ratio of 39 for posterior instability at a PAH above 23mm, and Hochreiter et al. (J Exp Orthop, 2023) demonstrating biomechanically that correcting the glenoid alone is insufficient without also correcting the acromial anatomy, shows a parallel relationship where the acromion functions as an active restraint whose geometry determines the direction of glenohumeral failure.</w:t>
      </w:r>
    </w:p>
    <w:p>
      <w:r>
        <w:rPr>
          <w:rFonts w:ascii="Calibri" w:hAnsi="Calibri"/>
          <w:sz w:val="22"/>
        </w:rPr>
        <w:t>On the arthroplasty side, Walker et al. (JSES, 2015) showed that scapulohumeral rhythm after reverse total shoulder arthroplasty drops to 1.3:1 from 3:1 in normal shoulders, meaning the scapulothoracic system bears dramatically increased demands. Kawashima et al. (JSES, 2025) found that patients with better SHR have significantly better outcomes (ASES 94.3 vs 82.1, P=0.007). And Mercurio et al. (JSES Int, 2026) prospectively showed that scapular dyskinesis persists after successful rotator cuff repair despite improved ROM and Constant scores, suggesting the dysfunction may be upstream of the cuff pathology rather than a consequence of it.</w:t>
      </w:r>
    </w:p>
    <w:p>
      <w:r>
        <w:rPr>
          <w:rFonts w:ascii="Calibri" w:hAnsi="Calibri"/>
          <w:sz w:val="22"/>
        </w:rPr>
        <w:t>One hypothesis I have been particularly drawn to concerns the Walch B0 glenoid. Bryce et al. (JBJS, 2010) showed that scapular rotation changes measured glenoid version by up to 22.5 degrees. This was framed as a CT measurement artifact, but it occurred to me that if scapular position dynamically changes effective glenoid version during functional movement, then a scapula that chronically sits in more internal rotation would present a functionally more retroverted glenoid during loading. Akgun et al. (AJSM, 2024) recently showed that patients with constitutional posterior decentering have significantly different scapulothoracic orientation compared to controls. If the B0 to B1 to B2 progression that Domos and Walch described is driven by cumulative asymmetric posterior loading over decades, could chronic scapulothoracic malposition be a contributing factor? This is admittedly speculative, but the geometric foundation seems sound, and to my knowledge nobody has explicitly asked this question.</w:t>
      </w:r>
    </w:p>
    <w:p>
      <w:r>
        <w:rPr>
          <w:rFonts w:ascii="Calibri" w:hAnsi="Calibri"/>
          <w:sz w:val="22"/>
        </w:rPr>
        <w:t>These topics have recently led me toward the structural principle of tensegrity, which has been validated at the cellular level by Ingber at Harvard (Annu Rev Physiol, 1997; J Cell Sci, 2003) and extended to the musculoskeletal system by Chen and Ingber (Osteoarthritis Cartilage, 1999). I have been wondering whether tensegrity might provide a useful biomechanical model for understanding why the scapulothoracic articulation, as a compression element with no bony constraint that is stabilized entirely by muscular tension, behaves the way it does clinically. While I realize that shoulder kinematics are more complex than an isolated tension-compression model, I am wondering whether tensegrity principles would be a useful framework for how the shoulder and kinetic chain fit together. For example, with the assumptions that muscles function optimally at certain length-tension curves, and in a tensegrity-based model where local disruptions lead to potential alterations at other nodes in the system, it appeared to me to be a logical framework for explaining some of these observations. And when viewed from an evolutionary perspective (Kuhn, Am J Orthopedics, 2016), it seems like a distributed tension network would be a metabolically efficient way to achieve the kind of variable, multi-directional force transmission that the shoulder requires.</w:t>
      </w:r>
    </w:p>
    <w:p>
      <w:r>
        <w:rPr>
          <w:rFonts w:ascii="Calibri" w:hAnsi="Calibri"/>
          <w:sz w:val="22"/>
        </w:rPr>
        <w:t>I realize this is a lot of territory, and I recognize that you and Dr. Kibler have been thinking about these questions far longer and more carefully than I have. I wanted to reach out because I don't have mentors at my institution who are deeply engaged with these topics, and I would genuinely value knowing whether the connections I am drawing make sense to someone who has spent years in this space. I am not looking for anything specific beyond an honest reaction: am I on to something worth pursuing, or am I connecting dots that don't actually connect?</w:t>
      </w:r>
    </w:p>
    <w:p>
      <w:r>
        <w:rPr>
          <w:rFonts w:ascii="Calibri" w:hAnsi="Calibri"/>
          <w:sz w:val="22"/>
        </w:rPr>
        <w:t>Thank you for your time! I would love to hear any thoughts you have, or if you just want to tell me that I'm off my rocker.</w:t>
      </w:r>
    </w:p>
    <w:p>
      <w:r>
        <w:rPr>
          <w:rFonts w:ascii="Calibri" w:hAnsi="Calibri"/>
          <w:sz w:val="22"/>
        </w:rPr>
        <w:t>Respectfully,</w:t>
      </w:r>
    </w:p>
    <w:p>
      <w:r>
        <w:rPr>
          <w:rFonts w:ascii="Calibri" w:hAnsi="Calibri"/>
          <w:sz w:val="22"/>
        </w:rPr>
        <w:t>Brad Roepke, MD</w:t>
      </w:r>
    </w:p>
    <w:p>
      <w:r>
        <w:rPr>
          <w:rFonts w:ascii="Calibri" w:hAnsi="Calibri"/>
          <w:sz w:val="22"/>
        </w:rPr>
        <w:t>PGY-5 Orthopedic Surgery Resident</w:t>
      </w:r>
    </w:p>
    <w:p>
      <w:r>
        <w:rPr>
          <w:rFonts w:ascii="Calibri" w:hAnsi="Calibri"/>
          <w:sz w:val="22"/>
        </w:rPr>
        <w:t>University of Oklahoma Health Sciences Center</w:t>
      </w:r>
    </w:p>
    <w:p>
      <w:r>
        <w:rPr>
          <w:rFonts w:ascii="Calibri" w:hAnsi="Calibri"/>
          <w:sz w:val="22"/>
        </w:rPr>
        <w:t>bradleyroepke@gmail.com</w:t>
      </w:r>
    </w:p>
    <w:p>
      <w:r>
        <w:rPr>
          <w:rFonts w:ascii="Calibri" w:hAnsi="Calibri"/>
          <w:sz w:val="22"/>
        </w:rPr>
        <w:t>931-581-1805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