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Kimberly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Github Repository: </w:t>
      </w:r>
      <w:hyperlink r:id="rId6">
        <w:r w:rsidDel="00000000" w:rsidR="00000000" w:rsidRPr="00000000">
          <w:rPr>
            <w:color w:val="1155cc"/>
            <w:sz w:val="24"/>
            <w:szCs w:val="24"/>
            <w:u w:val="single"/>
            <w:rtl w:val="0"/>
          </w:rPr>
          <w:t xml:space="preserve">https://github.com/bradosia/Validating-Protein-Structure-Models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implements a simplified method, originally devised by Koehl, for scoring the quality of a protein structure using an internal energy calculation that includes Van der Waals, electrostatic, and solvation energy. Two protein structures with accompanying pre-processed atom data files are compared using our method. Structure #2 is found to have a higher structure quality because of its lower internal energy score.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According to Benkert, drug design researchers need to be able to identify accurate protein foldings to be able to treat various diseases by targeting active sites. Scoring methods are developed to evaluate different protein structures to assess their quality. To score a protein, a proper analysis method must be chosen that takes into account the protein size, geometrical aspects, and external shielding effects of chaperones. However, computing power is finite and practically the most important factors determining the protein quality can be chosen. </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in a normal physiological environment. Also known as the thermodynamic hypothesis, Anfinsen’s dogma is the basis for many protein folding computations since the dogma states that the amino acid sequence dictates the most natural conformation the protein will form. Dill’s described funnel-shaped energy landscape, also known as the folding funnel hypothesis,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implementation of the internal energy score is a truncated force field equation without bond, angle, and tortional energy. Additionally, an implicit solvation energy is added. </w:t>
      </w:r>
    </w:p>
    <w:p w:rsidR="00000000" w:rsidDel="00000000" w:rsidP="00000000" w:rsidRDefault="00000000" w:rsidRPr="00000000" w14:paraId="00000014">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Decomposing the meaning of each of the energies in the equation:</w:t>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557338" cy="684627"/>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According to Chang, the Lennard-Jones potential is a simple mathematical model that approximates the interaction between a pair of neutral atoms or molecules.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Electrostatic potential energy is associated with the configuration of a particular set of point charges and results from conservative Coulomb forces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are electric constants with </w:t>
      </w:r>
      <w:r w:rsidDel="00000000" w:rsidR="00000000" w:rsidRPr="00000000">
        <w:rPr>
          <w:sz w:val="24"/>
          <w:szCs w:val="24"/>
          <w:rtl w:val="0"/>
        </w:rPr>
        <w:t xml:space="preserve">ε</w:t>
      </w:r>
      <w:r w:rsidDel="00000000" w:rsidR="00000000" w:rsidRPr="00000000">
        <w:rPr>
          <w:sz w:val="24"/>
          <w:szCs w:val="24"/>
          <w:vertAlign w:val="subscript"/>
          <w:rtl w:val="0"/>
        </w:rPr>
        <w:t xml:space="preserve">r</w:t>
      </w:r>
      <w:r w:rsidDel="00000000" w:rsidR="00000000" w:rsidRPr="00000000">
        <w:rPr>
          <w:sz w:val="24"/>
          <w:szCs w:val="24"/>
          <w:vertAlign w:val="subscript"/>
          <w:rtl w:val="0"/>
        </w:rPr>
        <w:t xml:space="preserve"> </w:t>
      </w:r>
      <w:r w:rsidDel="00000000" w:rsidR="00000000" w:rsidRPr="00000000">
        <w:rPr>
          <w:sz w:val="24"/>
          <w:szCs w:val="24"/>
          <w:rtl w:val="0"/>
        </w:rPr>
        <w:t xml:space="preserve">representing the dielectric constant of water with a value of 4. </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rPr>
                <w:sz w:val="24"/>
                <w:szCs w:val="24"/>
              </w:rPr>
            </w:pPr>
            <w:r w:rsidDel="00000000" w:rsidR="00000000" w:rsidRPr="00000000">
              <w:rPr>
                <w:sz w:val="16"/>
                <w:szCs w:val="16"/>
              </w:rPr>
              <w:drawing>
                <wp:inline distB="114300" distT="114300" distL="114300" distR="114300">
                  <wp:extent cx="1423988" cy="52509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Implicit solvation is a method to represent solvent as a continuous medium instead of individual “explicit” solvent molecules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2486025" cy="2000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right"/>
              <w:rPr>
                <w:sz w:val="24"/>
                <w:szCs w:val="24"/>
              </w:rPr>
            </w:pPr>
            <w:r w:rsidDel="00000000" w:rsidR="00000000" w:rsidRPr="00000000">
              <w:rPr>
                <w:sz w:val="24"/>
                <w:szCs w:val="24"/>
                <w:rtl w:val="0"/>
              </w:rPr>
              <w:t xml:space="preserve">Equation 1.5</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It is important to note that because the implicit solvation equation 1.4 is a poor estimation for actual solvation energy, the calculated solvation energy from this program is more of a metric or score to compare the relative total energy in a protein structure. Equation 1.5 only factors in the radius of water. </w:t>
      </w:r>
      <w:r w:rsidDel="00000000" w:rsidR="00000000" w:rsidRPr="00000000">
        <w:rPr>
          <w:sz w:val="24"/>
          <w:szCs w:val="24"/>
          <w:rtl w:val="0"/>
        </w:rPr>
        <w:t xml:space="preserve">In reality, physiological conditions include a variety of molecules besides water, which may interact with the protein differently. In addition, implicit solvation does not directly factor in which part of the protein is in contact with water. Hydrophobic parts of proteins conglomerate toward the center of the protein while the hydrophilic portions form the surface to interact with the hydrophilic solvent molecules such as water</w:t>
      </w:r>
      <w:r w:rsidDel="00000000" w:rsidR="00000000" w:rsidRPr="00000000">
        <w:rPr>
          <w:sz w:val="24"/>
          <w:szCs w:val="24"/>
          <w:rtl w:val="0"/>
        </w:rPr>
        <w:t xml:space="preserve">.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This project introduces three python scripts that are outlined in figure 2 and described as follows. </w:t>
      </w:r>
      <m:oMath>
        <m:r>
          <w:rPr>
            <w:sz w:val="24"/>
            <w:szCs w:val="24"/>
          </w:rPr>
          <m:t xml:space="preserve">1. mainEnergyScore.py</m:t>
        </m:r>
      </m:oMath>
      <w:r w:rsidDel="00000000" w:rsidR="00000000" w:rsidRPr="00000000">
        <w:rPr>
          <w:sz w:val="24"/>
          <w:szCs w:val="24"/>
          <w:rtl w:val="0"/>
        </w:rPr>
        <w:t xml:space="preserve">is a basic global comparison of two protein structures. Input proteins must have the same residue sequence and atom count. </w:t>
      </w:r>
      <m:oMath>
        <m:r>
          <w:rPr>
            <w:sz w:val="24"/>
            <w:szCs w:val="24"/>
          </w:rPr>
          <m:t xml:space="preserve">2. mainAtomScoreCompare.py</m:t>
        </m:r>
      </m:oMath>
      <w:r w:rsidDel="00000000" w:rsidR="00000000" w:rsidRPr="00000000">
        <w:rPr>
          <w:sz w:val="24"/>
          <w:szCs w:val="24"/>
          <w:rtl w:val="0"/>
        </w:rPr>
        <w:t xml:space="preserve">performs a local comparison of two structures using sequential atoms in a user-defined range. The range acts as a sliding window with internal energy score calculated at each frame. Output file and usage is outlined in the readme file distributed with the source code. </w:t>
      </w:r>
      <m:oMath>
        <m:r>
          <w:rPr>
            <w:sz w:val="24"/>
            <w:szCs w:val="24"/>
          </w:rPr>
          <m:t xml:space="preserve">3. mainResidueScoreCompare.py</m:t>
        </m:r>
      </m:oMath>
      <w:r w:rsidDel="00000000" w:rsidR="00000000" w:rsidRPr="00000000">
        <w:rPr>
          <w:sz w:val="24"/>
          <w:szCs w:val="24"/>
          <w:rtl w:val="0"/>
        </w:rPr>
        <w:t xml:space="preserve">is a local comparison with residues the same same principle as described previously. </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943600" cy="64516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Fig 2. Created with UMLet.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 Global structure comparison has results output to the console. Local Structure comparison is output to a comma-separated values (.csv) file.</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D">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Atom data columns: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Atom bonding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a significant difference exists in the energy scores between both protein conformations. The energy score of Structure #2 is lower and is more likely to be the native state using the lowest free energy noted by Anfinsen's dogma. </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To improve resolution and determine the local area of energy score difference, a local protein energy score comparison test was employed:</w:t>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Pr>
        <w:drawing>
          <wp:inline distB="114300" distT="114300" distL="114300" distR="114300">
            <wp:extent cx="5281645" cy="2976563"/>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8164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Pr>
        <w:drawing>
          <wp:inline distB="114300" distT="114300" distL="114300" distR="114300">
            <wp:extent cx="4186238" cy="2357116"/>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86238" cy="235711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0">
      <w:pPr>
        <w:ind w:left="0" w:firstLine="0"/>
        <w:jc w:val="center"/>
        <w:rPr>
          <w:sz w:val="16"/>
          <w:szCs w:val="16"/>
        </w:rPr>
      </w:pPr>
      <w:r w:rsidDel="00000000" w:rsidR="00000000" w:rsidRPr="00000000">
        <w:rPr>
          <w:sz w:val="16"/>
          <w:szCs w:val="16"/>
          <w:rtl w:val="0"/>
        </w:rPr>
        <w:t xml:space="preserve">Fig 3.1 (top) and 3.2 (bottom) were created with R Studio ggplot2 package. Data calculated from mainResidueScoreCompare.py script by methods outlined in Figure 2.</w:t>
      </w:r>
    </w:p>
    <w:p w:rsidR="00000000" w:rsidDel="00000000" w:rsidP="00000000" w:rsidRDefault="00000000" w:rsidRPr="00000000" w14:paraId="00000071">
      <w:pPr>
        <w:ind w:left="0" w:firstLine="0"/>
        <w:jc w:val="center"/>
        <w:rPr>
          <w:sz w:val="16"/>
          <w:szCs w:val="16"/>
        </w:rPr>
      </w:pPr>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3609975" cy="2728362"/>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09975" cy="272836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16"/>
          <w:szCs w:val="16"/>
        </w:rPr>
      </w:pPr>
      <w:r w:rsidDel="00000000" w:rsidR="00000000" w:rsidRPr="00000000">
        <w:rPr>
          <w:sz w:val="16"/>
          <w:szCs w:val="16"/>
          <w:rtl w:val="0"/>
        </w:rPr>
        <w:t xml:space="preserve">Fig 4. Green chain is structure #1. Orange chain is structure #2. Created using UCSF Chimera.</w:t>
      </w:r>
    </w:p>
    <w:p w:rsidR="00000000" w:rsidDel="00000000" w:rsidP="00000000" w:rsidRDefault="00000000" w:rsidRPr="00000000" w14:paraId="00000077">
      <w:pPr>
        <w:jc w:val="center"/>
        <w:rPr>
          <w:sz w:val="16"/>
          <w:szCs w:val="16"/>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Pr>
        <w:drawing>
          <wp:inline distB="114300" distT="114300" distL="114300" distR="114300">
            <wp:extent cx="5123334" cy="2881313"/>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23334"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According to Dill’s Funnel-Shaped Energy Landscapes a lower score is the more likely conformation.</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The protein structure local residue energy score comparison in Figure 3.1 revealed that the difference in structure energy is localized to two specific regions. The structural analysis done in Figure 4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83">
      <w:pPr>
        <w:ind w:firstLine="720"/>
        <w:rPr>
          <w:sz w:val="24"/>
          <w:szCs w:val="24"/>
        </w:rPr>
      </w:pP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sz w:val="24"/>
          <w:szCs w:val="24"/>
          <w:u w:val="single"/>
          <w:rtl w:val="0"/>
        </w:rPr>
        <w:t xml:space="preserve">Discussion</w:t>
      </w:r>
      <w:r w:rsidDel="00000000" w:rsidR="00000000" w:rsidRPr="00000000">
        <w:rPr>
          <w:rtl w:val="0"/>
        </w:rPr>
      </w:r>
    </w:p>
    <w:p w:rsidR="00000000" w:rsidDel="00000000" w:rsidP="00000000" w:rsidRDefault="00000000" w:rsidRPr="00000000" w14:paraId="00000085">
      <w:pPr>
        <w:rPr>
          <w:sz w:val="24"/>
          <w:szCs w:val="24"/>
          <w:u w:val="single"/>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On the subject of solvation energy, a</w:t>
      </w:r>
      <w:r w:rsidDel="00000000" w:rsidR="00000000" w:rsidRPr="00000000">
        <w:rPr>
          <w:sz w:val="24"/>
          <w:szCs w:val="24"/>
          <w:rtl w:val="0"/>
        </w:rPr>
        <w:t xml:space="preserve"> more accurate way to calculate the ASA is based on Gromiha’s method: </w:t>
      </w: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89">
      <w:pPr>
        <w:rPr>
          <w:sz w:val="24"/>
          <w:szCs w:val="24"/>
          <w:u w:val="single"/>
        </w:rPr>
      </w:pPr>
      <w:r w:rsidDel="00000000" w:rsidR="00000000" w:rsidRPr="00000000">
        <w:rPr>
          <w:sz w:val="24"/>
          <w:szCs w:val="24"/>
          <w:rtl w:val="0"/>
        </w:rPr>
        <w:t xml:space="preserve">R is the radius. Li is the length of the arc for the atom i, Zi is the distance</w:t>
      </w:r>
      <w:r w:rsidDel="00000000" w:rsidR="00000000" w:rsidRPr="00000000">
        <w:rPr>
          <w:sz w:val="24"/>
          <w:szCs w:val="24"/>
          <w:rtl w:val="0"/>
        </w:rPr>
        <w:t xml:space="preserve"> from the center of the sphere to the atom i, Z is the spacing between two different section</w:t>
      </w:r>
      <w:r w:rsidDel="00000000" w:rsidR="00000000" w:rsidRPr="00000000">
        <w:rPr>
          <w:rFonts w:ascii="Arial Unicode MS" w:cs="Arial Unicode MS" w:eastAsia="Arial Unicode MS" w:hAnsi="Arial Unicode MS"/>
          <w:sz w:val="24"/>
          <w:szCs w:val="24"/>
          <w:rtl w:val="0"/>
        </w:rPr>
        <w:t xml:space="preserve">s, and ′Z is ΔZ/2 or R − Zi, whichever is smaller.</w:t>
      </w:r>
      <w:r w:rsidDel="00000000" w:rsidR="00000000" w:rsidRPr="00000000">
        <w:rPr>
          <w:sz w:val="24"/>
          <w:szCs w:val="24"/>
          <w:rtl w:val="0"/>
        </w:rPr>
        <w:t xml:space="preserve"> This equation involves more careful calculation of the exact surface area that is in contact with the solvent than our employed equation.</w:t>
      </w:r>
      <w:r w:rsidDel="00000000" w:rsidR="00000000" w:rsidRPr="00000000">
        <w:rPr>
          <w:rtl w:val="0"/>
        </w:rPr>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Another group of researchers who have worked on a similar problem to our project is Maiorov, et al.. However, they used the interaction energy between a single amino acid and the entire molecule along with the solvent that the protein is in to be able to identify a stable protein. They also focused more on identifying the total strain found within an individual protein instead of comparing different sequences. </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Benkert et al. used statistical correlations with X-ray crystallography data to estimate the quality of a protein structure. They developed the QMEAN score. This score can be used on both short and long peptides. The QMEAN Z-score is a metric of nativeness within a specific solvent useful for structure comparison.</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Using the Qualitative Model Energy ANalysis (QMEAN) tool by Benkert et al., Structure #1 had a QMEAN4 value of -11.89 and Structure #2 has a QMEAN4 value of -10.94. The QMEAN4 value is transformed into a Z-score to relate it with what one would expect from high resolution X-ray structures. Both structures have scores far from zero meaning both structures #1 and #2 would be unlikely to be observed from a high resolution X-ray. However, the QMEAN4 score of structure #2 is closer to zero than structure #1, thus structure #2 is comparatively better. </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The local quality estimates of the structure were not analyzed because preprocessing of the QMEAN4 removed 209 atoms in structure #1 and 111 atoms in structure #2. Most of the atoms removed in structure #1 were from residues #35 to 67, which was identified in figure 3.1 as a region of a large score difference. This may indicate that the QMEAN tool also similarly identified incorrect structural arrangement at amino acid range that we determined had a high local energy score.</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Maiorov, et al. and our method are primarily used differently. Our tool is a relative indication of quality between two protein structures, while the QMEAN tool provides an absolute score of quality. Maiorov, et al. also had a more data driven approach, while our method was based on an estimation of energy and assuming thermodynamics prevailed.</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sz w:val="24"/>
          <w:szCs w:val="24"/>
          <w:u w:val="single"/>
          <w:rtl w:val="0"/>
        </w:rPr>
        <w:t xml:space="preserve">R</w:t>
      </w:r>
      <w:r w:rsidDel="00000000" w:rsidR="00000000" w:rsidRPr="00000000">
        <w:rPr>
          <w:sz w:val="24"/>
          <w:szCs w:val="24"/>
          <w:u w:val="single"/>
          <w:rtl w:val="0"/>
        </w:rPr>
        <w:t xml:space="preserve">eferences</w:t>
      </w:r>
      <w:r w:rsidDel="00000000" w:rsidR="00000000" w:rsidRPr="00000000">
        <w:rPr>
          <w:rtl w:val="0"/>
        </w:rPr>
      </w:r>
    </w:p>
    <w:p w:rsidR="00000000" w:rsidDel="00000000" w:rsidP="00000000" w:rsidRDefault="00000000" w:rsidRPr="00000000" w14:paraId="00000091">
      <w:pPr>
        <w:rPr>
          <w:sz w:val="24"/>
          <w:szCs w:val="24"/>
          <w:u w:val="single"/>
        </w:rPr>
      </w:pPr>
      <w:r w:rsidDel="00000000" w:rsidR="00000000" w:rsidRPr="00000000">
        <w:rPr>
          <w:rtl w:val="0"/>
        </w:rPr>
      </w:r>
    </w:p>
    <w:p w:rsidR="00000000" w:rsidDel="00000000" w:rsidP="00000000" w:rsidRDefault="00000000" w:rsidRPr="00000000" w14:paraId="00000092">
      <w:pPr>
        <w:ind w:left="720" w:hanging="720"/>
        <w:rPr/>
      </w:pPr>
      <w:r w:rsidDel="00000000" w:rsidR="00000000" w:rsidRPr="00000000">
        <w:rPr>
          <w:rtl w:val="0"/>
        </w:rPr>
        <w:t xml:space="preserve">Anfinsen, Christian B. “Principles That Govern the Folding of Protein Chains.” Science, vol. 181, no. 4096, July 1973, pp. 223–30. science.sciencemag.org, doi:10.1126/science.181.4096.223.</w:t>
      </w:r>
      <w:r w:rsidDel="00000000" w:rsidR="00000000" w:rsidRPr="00000000">
        <w:rPr>
          <w:rtl w:val="0"/>
        </w:rPr>
      </w:r>
    </w:p>
    <w:p w:rsidR="00000000" w:rsidDel="00000000" w:rsidP="00000000" w:rsidRDefault="00000000" w:rsidRPr="00000000" w14:paraId="00000093">
      <w:pPr>
        <w:ind w:left="720" w:hanging="720"/>
        <w:rPr/>
      </w:pPr>
      <w:r w:rsidDel="00000000" w:rsidR="00000000" w:rsidRPr="00000000">
        <w:rPr>
          <w:rtl w:val="0"/>
        </w:rPr>
      </w:r>
    </w:p>
    <w:p w:rsidR="00000000" w:rsidDel="00000000" w:rsidP="00000000" w:rsidRDefault="00000000" w:rsidRPr="00000000" w14:paraId="00000094">
      <w:pPr>
        <w:ind w:left="720" w:hanging="720"/>
        <w:rPr>
          <w:color w:val="333333"/>
          <w:highlight w:val="white"/>
        </w:rPr>
      </w:pPr>
      <w:r w:rsidDel="00000000" w:rsidR="00000000" w:rsidRPr="00000000">
        <w:rPr>
          <w:rtl w:val="0"/>
        </w:rPr>
        <w:t xml:space="preserve">Benkert, P., Biasini, M., Schwede, T. Toward the estimation of the absolute quality of individual protein structure models. Bioinformatics 27, 343-350 (2011). </w:t>
      </w:r>
      <w:hyperlink r:id="rId18">
        <w:r w:rsidDel="00000000" w:rsidR="00000000" w:rsidRPr="00000000">
          <w:rPr>
            <w:rtl w:val="0"/>
          </w:rPr>
          <w:t xml:space="preserve">https://doi.org/10.1093/bioinformatics/btq662</w:t>
        </w:r>
      </w:hyperlink>
      <w:r w:rsidDel="00000000" w:rsidR="00000000" w:rsidRPr="00000000">
        <w:rPr>
          <w:rtl w:val="0"/>
        </w:rPr>
      </w:r>
    </w:p>
    <w:p w:rsidR="00000000" w:rsidDel="00000000" w:rsidP="00000000" w:rsidRDefault="00000000" w:rsidRPr="00000000" w14:paraId="00000095">
      <w:pPr>
        <w:ind w:left="720" w:hanging="720"/>
        <w:rPr>
          <w:color w:val="333333"/>
          <w:highlight w:val="white"/>
        </w:rPr>
      </w:pPr>
      <w:r w:rsidDel="00000000" w:rsidR="00000000" w:rsidRPr="00000000">
        <w:rPr>
          <w:rtl w:val="0"/>
        </w:rPr>
      </w:r>
    </w:p>
    <w:p w:rsidR="00000000" w:rsidDel="00000000" w:rsidP="00000000" w:rsidRDefault="00000000" w:rsidRPr="00000000" w14:paraId="00000096">
      <w:pPr>
        <w:ind w:left="720" w:hanging="720"/>
        <w:rPr>
          <w:color w:val="333333"/>
          <w:highlight w:val="white"/>
        </w:rPr>
      </w:pPr>
      <w:r w:rsidDel="00000000" w:rsidR="00000000" w:rsidRPr="00000000">
        <w:rPr>
          <w:color w:val="333333"/>
          <w:highlight w:val="white"/>
          <w:rtl w:val="0"/>
        </w:rPr>
        <w:t xml:space="preserve">Chang, Raymond. Physical Chemistry for the Chemical and Biological Sciences. University Science Books, 2000.</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720" w:hanging="720"/>
        <w:rPr/>
      </w:pPr>
      <w:r w:rsidDel="00000000" w:rsidR="00000000" w:rsidRPr="00000000">
        <w:rPr>
          <w:rtl w:val="0"/>
        </w:rPr>
        <w:t xml:space="preserve">Dill, Ken A., et al. “The Protein Folding Problem.” Annual Review of Biophysics, vol. 37, June 2008, pp. 289–316. PubMed Central, doi:10.1146/annurev.biophys.37.092707.153558.</w:t>
      </w:r>
    </w:p>
    <w:p w:rsidR="00000000" w:rsidDel="00000000" w:rsidP="00000000" w:rsidRDefault="00000000" w:rsidRPr="00000000" w14:paraId="00000099">
      <w:pPr>
        <w:ind w:left="720" w:hanging="720"/>
        <w:rPr/>
      </w:pPr>
      <w:r w:rsidDel="00000000" w:rsidR="00000000" w:rsidRPr="00000000">
        <w:rPr>
          <w:rtl w:val="0"/>
        </w:rPr>
      </w:r>
    </w:p>
    <w:p w:rsidR="00000000" w:rsidDel="00000000" w:rsidP="00000000" w:rsidRDefault="00000000" w:rsidRPr="00000000" w14:paraId="0000009A">
      <w:pPr>
        <w:ind w:left="720" w:hanging="720"/>
        <w:rPr/>
      </w:pPr>
      <w:r w:rsidDel="00000000" w:rsidR="00000000" w:rsidRPr="00000000">
        <w:rPr>
          <w:rtl w:val="0"/>
        </w:rPr>
        <w:t xml:space="preserve">Gromiha, M. Michael. “Protein Bioinformatics” Chapter 3 - Protein Structure Analysis, Academic Press, 2010, pages 63-105</w:t>
      </w:r>
    </w:p>
    <w:p w:rsidR="00000000" w:rsidDel="00000000" w:rsidP="00000000" w:rsidRDefault="00000000" w:rsidRPr="00000000" w14:paraId="0000009B">
      <w:pPr>
        <w:ind w:left="720" w:hanging="720"/>
        <w:rPr/>
      </w:pPr>
      <w:r w:rsidDel="00000000" w:rsidR="00000000" w:rsidRPr="00000000">
        <w:rPr>
          <w:rtl w:val="0"/>
        </w:rPr>
      </w:r>
    </w:p>
    <w:p w:rsidR="00000000" w:rsidDel="00000000" w:rsidP="00000000" w:rsidRDefault="00000000" w:rsidRPr="00000000" w14:paraId="0000009C">
      <w:pPr>
        <w:ind w:left="720" w:hanging="720"/>
        <w:rPr/>
      </w:pPr>
      <w:r w:rsidDel="00000000" w:rsidR="00000000" w:rsidRPr="00000000">
        <w:rPr>
          <w:rtl w:val="0"/>
        </w:rPr>
        <w:t xml:space="preserve">Koehl, P.. ECS 129: Validating protein structure models. University of California, Davis. 2020.</w:t>
      </w:r>
    </w:p>
    <w:p w:rsidR="00000000" w:rsidDel="00000000" w:rsidP="00000000" w:rsidRDefault="00000000" w:rsidRPr="00000000" w14:paraId="0000009D">
      <w:pPr>
        <w:ind w:left="720" w:hanging="720"/>
        <w:rPr/>
      </w:pPr>
      <w:r w:rsidDel="00000000" w:rsidR="00000000" w:rsidRPr="00000000">
        <w:rPr>
          <w:rtl w:val="0"/>
        </w:rPr>
      </w:r>
    </w:p>
    <w:p w:rsidR="00000000" w:rsidDel="00000000" w:rsidP="00000000" w:rsidRDefault="00000000" w:rsidRPr="00000000" w14:paraId="0000009E">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9F">
      <w:pPr>
        <w:ind w:left="720" w:hanging="720"/>
        <w:rPr/>
      </w:pPr>
      <w:r w:rsidDel="00000000" w:rsidR="00000000" w:rsidRPr="00000000">
        <w:rPr>
          <w:rtl w:val="0"/>
        </w:rPr>
      </w:r>
    </w:p>
    <w:p w:rsidR="00000000" w:rsidDel="00000000" w:rsidP="00000000" w:rsidRDefault="00000000" w:rsidRPr="00000000" w14:paraId="000000A0">
      <w:pPr>
        <w:ind w:left="720" w:hanging="720"/>
        <w:rPr/>
      </w:pPr>
      <w:r w:rsidDel="00000000" w:rsidR="00000000" w:rsidRPr="00000000">
        <w:rPr>
          <w:rtl w:val="0"/>
        </w:rPr>
        <w:t xml:space="preserve">Maiorov, Vladimir, and Ruben Abagyan. “Energy Strain in Three-Dimensional Protein Structures.” Folding and Design, vol. 3, no. 4, Aug. 1998, pp. 259–69. ScienceDirect, doi:10.1016/S1359-0278(98)00037-6. </w:t>
      </w:r>
      <w:r w:rsidDel="00000000" w:rsidR="00000000" w:rsidRPr="00000000">
        <w:rPr>
          <w:rtl w:val="0"/>
        </w:rPr>
        <w:t xml:space="preserve">https://www.sciencedirect.com/science/article/pii/S1359027898000376</w:t>
      </w:r>
      <w:r w:rsidDel="00000000" w:rsidR="00000000" w:rsidRPr="00000000">
        <w:rPr>
          <w:rtl w:val="0"/>
        </w:rPr>
      </w:r>
    </w:p>
    <w:p w:rsidR="00000000" w:rsidDel="00000000" w:rsidP="00000000" w:rsidRDefault="00000000" w:rsidRPr="00000000" w14:paraId="000000A1">
      <w:pPr>
        <w:ind w:left="720" w:hanging="720"/>
        <w:rPr/>
      </w:pPr>
      <w:r w:rsidDel="00000000" w:rsidR="00000000" w:rsidRPr="00000000">
        <w:rPr>
          <w:rtl w:val="0"/>
        </w:rPr>
      </w:r>
    </w:p>
    <w:p w:rsidR="00000000" w:rsidDel="00000000" w:rsidP="00000000" w:rsidRDefault="00000000" w:rsidRPr="00000000" w14:paraId="000000A2">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A3">
      <w:pPr>
        <w:ind w:left="720" w:hanging="720"/>
        <w:rPr/>
      </w:pPr>
      <w:r w:rsidDel="00000000" w:rsidR="00000000" w:rsidRPr="00000000">
        <w:rPr>
          <w:rtl w:val="0"/>
        </w:rPr>
      </w:r>
    </w:p>
    <w:p w:rsidR="00000000" w:rsidDel="00000000" w:rsidP="00000000" w:rsidRDefault="00000000" w:rsidRPr="00000000" w14:paraId="000000A4">
      <w:pPr>
        <w:ind w:left="720" w:hanging="720"/>
        <w:rPr/>
      </w:pPr>
      <w:r w:rsidDel="00000000" w:rsidR="00000000" w:rsidRPr="00000000">
        <w:rPr>
          <w:rtl w:val="0"/>
        </w:rPr>
        <w:t xml:space="preserve">“Implicit Solvation.” Wikipedia, 5 Mar. 2020. Wikipedia, https://en.wikipedia.org/w/index.php?title=Implicit_solvation&amp;oldid=944132814.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bradosia/Validating-Protein-Structure-Models" TargetMode="External"/><Relationship Id="rId18" Type="http://schemas.openxmlformats.org/officeDocument/2006/relationships/hyperlink" Target="https://doi.org/10.1093/bioinformatics/btq662"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