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t xml:space="preserve">Research on the Rhino Plug-in Architecture</w:t>
      </w:r>
    </w:p>
    <w:p>
      <w:pPr>
        <w:pStyle w:val="Subtitle"/>
        <w:jc w:val="center"/>
      </w:pPr>
      <w:r>
        <w:t xml:space="preserve">Floor-Plan Generation Pipeline</w:t>
      </w:r>
    </w:p>
    <w:p>
      <w:r>
        <w:t xml:space="preserve">Research into the final software container has focused on converting the working Grasshopper prototype into a plug-in that operates directly inside Rhino 8. The conventional Rhino architecture is not a separate executable; it is an .rhp plug-in assembly that Rhino loads and manages. RhinoCommon, Rhino's .NET application programming interface, provides access to document geometry, units, layers, object attributes, commands, and display behavior. A C# RhinoCommon project therefore offers the clearest route to the requirement that the product compile cleanly for Rhino while remaining maintainable and distributable. The plug-in can expose a command and a dockable interface built with Eto.Forms, Rhino's cross-platform user-interface framework, so architects can run the workflow without opening Grasshopper or editing scripts.</w:t>
      </w:r>
    </w:p>
    <w:p>
      <w:r>
        <w:t xml:space="preserve">The existing Rhino 8/Grasshopper/CPython work serves as the researched and validated algorithmic core. It already reads a program spreadsheet, expands quantities into 151 room instances, constructs adjacency relationships, solves a non-overlapping bubble diagram, converts bubbles to exact-area rectangular rooms, organizes double-loaded corridors, varies corridor widths according to traffic, and places doors. These six components have been tested end-to-end on the school program across two floors. The plug-in should preserve these stages as separate services rather than reproduce the Grasshopper canvas internally. Separating program import, solving, floor assignment, tiling, circulation, scoring, and Rhino output will make each stage testable and will allow a designer to rerun only the portion affected by a changed input or setting.</w:t>
      </w:r>
    </w:p>
    <w:p>
      <w:r>
        <w:t xml:space="preserve">The proposed interface begins with an import page for Excel, CSV, or JSON data and a default program template. It should validate room names, areas, quantities, departments, floor preferences, shared access, and adjacency references before solving. A settings page can expose iteration count, random seed, floor envelope, corridor limits, and scoring weights. Generated alternatives should then appear in a results view with comparable evidence: adjacency satisfaction, weighted travel distance, net-to-gross efficiency, area deviation, grid alignment, egress distance, and unresolved constraints. This directly addresses the sponsor's requirement that layouts not be presented as unexplained answers. Deterministic seeds should allow an option to be reproduced, while background execution and progress reporting should keep Rhino responsive during multiple solver runs.</w:t>
      </w:r>
    </w:p>
    <w:p>
      <w:r>
        <w:t xml:space="preserve">For Rhino output, each accepted option should be written into the active document as organized Rhino geometry rather than only as a preview. Rooms, corridors, doors, cores, and floor envelopes can be placed on named layers and grouped by option and floor. RhinoCommon object user strings should store room identifiers, names, departments, programmed areas, assigned floors, and adjacency information so the geometry remains traceable and editable after generation. The same data model can support later 3D extrusion, aligned multi-floor envelopes, furniture-layout studies, and PDF reports. Temporary alternatives should use preview conduits or isolated option layers so users can compare results without polluting the final model.</w:t>
      </w:r>
    </w:p>
    <w:p>
      <w:r>
        <w:t xml:space="preserve">The next implementation step is a small C# plug-in shell containing one Rhino command, the Eto panel, a shared program data model, and an adapter that runs one validated pipeline stage. This proof of architecture should confirm spreadsheet access, Rhino unit conversion, metadata persistence, cancellation, error reporting, and document undo behavior before the remaining stages are migrated. Distribution can then use Rhino's Package Manager format, with versioned builds and sample templates. This incremental approach retains the evidence already produced by the prototype while moving the user experience and final geometry into the native Rhino environment that will house the completed program.</w:t>
      </w:r>
    </w:p>
    <w:sectPr>
      <w:pgSz w:w="12240" w:h="15840"/>
      <w:pgMar w:top="1080" w:right="1224" w:bottom="1080" w:left="1224" w:header="360" w:footer="360" w:gutter="0"/>
    </w:sectPr>
  </w:body>
</w:document>
</file>

<file path=word/styles.xml><?xml version="1.0" encoding="utf-8"?>
<w:styles xmlns:w="http://schemas.openxmlformats.org/wordprocessingml/2006/main">
  <w:docDefaults>
    <w:rPrDefault>
      <w:rPr>
        <w:rFonts w:ascii="Calibri" w:hAnsi="Calibri"/>
        <w:sz w:val="21"/>
        <w:szCs w:val="21"/>
      </w:rPr>
    </w:rPrDefault>
    <w:pPrDefault>
      <w:pPr>
        <w:spacing w:after="100" w:line="240" w:lineRule="auto"/>
      </w:pPr>
    </w:pPrDefault>
  </w:docDefaults>
  <w:style w:type="paragraph" w:default="1" w:styleId="Normal">
    <w:name w:val="Normal"/>
  </w:style>
  <w:style w:type="paragraph" w:styleId="Title">
    <w:name w:val="Title"/>
    <w:basedOn w:val="Normal"/>
    <w:pPr>
      <w:spacing w:after="80"/>
    </w:pPr>
    <w:rPr>
      <w:b/>
      <w:sz w:val="32"/>
      <w:szCs w:val="32"/>
    </w:rPr>
  </w:style>
  <w:style w:type="paragraph" w:styleId="Subtitle">
    <w:name w:val="Subtitle"/>
    <w:basedOn w:val="Normal"/>
    <w:pPr>
      <w:spacing w:after="160"/>
    </w:pPr>
    <w:rPr>
      <w:i/>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