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4A8B0" w14:textId="77777777" w:rsidR="00CD21A2" w:rsidRDefault="002656DE">
      <w:pPr>
        <w:spacing w:after="0" w:line="216" w:lineRule="auto"/>
        <w:ind w:left="361" w:right="227" w:hanging="10"/>
        <w:jc w:val="center"/>
      </w:pPr>
      <w:r>
        <w:rPr>
          <w:b/>
          <w:sz w:val="36"/>
        </w:rPr>
        <w:t>Application of computational fluid dynamics and process modelling to investigate low-load</w:t>
      </w:r>
    </w:p>
    <w:p w14:paraId="13D845E7" w14:textId="77777777" w:rsidR="00CD21A2" w:rsidRDefault="002656DE">
      <w:pPr>
        <w:spacing w:after="184" w:line="216" w:lineRule="auto"/>
        <w:ind w:left="361" w:right="227" w:hanging="10"/>
        <w:jc w:val="center"/>
      </w:pPr>
      <w:r>
        <w:rPr>
          <w:b/>
          <w:sz w:val="36"/>
        </w:rPr>
        <w:t>operation of a subcritical utility-scale boiler.</w:t>
      </w:r>
    </w:p>
    <w:tbl>
      <w:tblPr>
        <w:tblStyle w:val="TableGrid"/>
        <w:tblW w:w="7638" w:type="dxa"/>
        <w:tblInd w:w="569" w:type="dxa"/>
        <w:tblCellMar>
          <w:top w:w="25" w:type="dxa"/>
        </w:tblCellMar>
        <w:tblLook w:val="04A0" w:firstRow="1" w:lastRow="0" w:firstColumn="1" w:lastColumn="0" w:noHBand="0" w:noVBand="1"/>
      </w:tblPr>
      <w:tblGrid>
        <w:gridCol w:w="4780"/>
        <w:gridCol w:w="2858"/>
      </w:tblGrid>
      <w:tr w:rsidR="00CD21A2" w14:paraId="4CEB1CD2" w14:textId="77777777">
        <w:trPr>
          <w:trHeight w:val="1600"/>
        </w:trPr>
        <w:tc>
          <w:tcPr>
            <w:tcW w:w="4779" w:type="dxa"/>
            <w:tcBorders>
              <w:top w:val="nil"/>
              <w:left w:val="nil"/>
              <w:bottom w:val="nil"/>
              <w:right w:val="nil"/>
            </w:tcBorders>
          </w:tcPr>
          <w:p w14:paraId="6AFE59D9" w14:textId="77777777" w:rsidR="00CD21A2" w:rsidRDefault="002656DE">
            <w:pPr>
              <w:spacing w:after="0" w:line="259" w:lineRule="auto"/>
              <w:ind w:left="704" w:right="1688" w:hanging="50"/>
              <w:jc w:val="left"/>
            </w:pPr>
            <w:r>
              <w:rPr>
                <w:b/>
                <w:sz w:val="24"/>
              </w:rPr>
              <w:t>Brad T. Rawlins</w:t>
            </w:r>
            <w:r>
              <w:rPr>
                <w:rFonts w:ascii="Cambria" w:eastAsia="Cambria" w:hAnsi="Cambria" w:cs="Cambria"/>
                <w:sz w:val="24"/>
                <w:vertAlign w:val="superscript"/>
              </w:rPr>
              <w:footnoteReference w:id="1"/>
            </w:r>
            <w:r>
              <w:rPr>
                <w:sz w:val="24"/>
              </w:rPr>
              <w:t>Ph.D. Candidate</w:t>
            </w:r>
          </w:p>
          <w:p w14:paraId="3AC9DD1B" w14:textId="77777777" w:rsidR="00CD21A2" w:rsidRDefault="002656DE">
            <w:pPr>
              <w:spacing w:after="0" w:line="259" w:lineRule="auto"/>
              <w:ind w:left="262" w:firstLine="0"/>
              <w:jc w:val="left"/>
            </w:pPr>
            <w:r>
              <w:t>Department of Mechanical</w:t>
            </w:r>
          </w:p>
          <w:p w14:paraId="6D3437A3" w14:textId="77777777" w:rsidR="00CD21A2" w:rsidRDefault="002656DE">
            <w:pPr>
              <w:spacing w:after="0" w:line="259" w:lineRule="auto"/>
              <w:ind w:left="956" w:firstLine="0"/>
              <w:jc w:val="left"/>
            </w:pPr>
            <w:r>
              <w:t>Engineering</w:t>
            </w:r>
          </w:p>
          <w:p w14:paraId="07475876" w14:textId="77777777" w:rsidR="00CD21A2" w:rsidRDefault="002656DE">
            <w:pPr>
              <w:spacing w:after="0" w:line="259" w:lineRule="auto"/>
              <w:ind w:left="369" w:firstLine="0"/>
              <w:jc w:val="left"/>
            </w:pPr>
            <w:r>
              <w:t>University of Cape Town</w:t>
            </w:r>
          </w:p>
          <w:p w14:paraId="57195E3D" w14:textId="77777777" w:rsidR="00CD21A2" w:rsidRDefault="002656DE">
            <w:pPr>
              <w:spacing w:after="0" w:line="259" w:lineRule="auto"/>
              <w:ind w:left="0" w:firstLine="0"/>
              <w:jc w:val="left"/>
            </w:pPr>
            <w:r>
              <w:t>Email: rwlbra001@myuct.ac.za</w:t>
            </w:r>
          </w:p>
        </w:tc>
        <w:tc>
          <w:tcPr>
            <w:tcW w:w="2858" w:type="dxa"/>
            <w:tcBorders>
              <w:top w:val="nil"/>
              <w:left w:val="nil"/>
              <w:bottom w:val="nil"/>
              <w:right w:val="nil"/>
            </w:tcBorders>
          </w:tcPr>
          <w:p w14:paraId="03412CEB" w14:textId="77777777" w:rsidR="00CD21A2" w:rsidRDefault="002656DE">
            <w:pPr>
              <w:spacing w:after="0" w:line="259" w:lineRule="auto"/>
              <w:ind w:left="0" w:firstLine="0"/>
              <w:jc w:val="center"/>
            </w:pPr>
            <w:proofErr w:type="spellStart"/>
            <w:r>
              <w:rPr>
                <w:b/>
                <w:sz w:val="24"/>
              </w:rPr>
              <w:t>Ryno</w:t>
            </w:r>
            <w:proofErr w:type="spellEnd"/>
            <w:r>
              <w:rPr>
                <w:b/>
                <w:sz w:val="24"/>
              </w:rPr>
              <w:t xml:space="preserve"> Laubscher</w:t>
            </w:r>
          </w:p>
          <w:p w14:paraId="7664F647" w14:textId="77777777" w:rsidR="00CD21A2" w:rsidRDefault="002656DE">
            <w:pPr>
              <w:spacing w:after="0" w:line="259" w:lineRule="auto"/>
              <w:ind w:left="0" w:firstLine="0"/>
              <w:jc w:val="center"/>
            </w:pPr>
            <w:r>
              <w:rPr>
                <w:sz w:val="24"/>
              </w:rPr>
              <w:t>Associate Professor</w:t>
            </w:r>
          </w:p>
          <w:p w14:paraId="1A4909DE" w14:textId="77777777" w:rsidR="00CD21A2" w:rsidRDefault="002656DE">
            <w:pPr>
              <w:spacing w:after="0" w:line="259" w:lineRule="auto"/>
              <w:ind w:left="152" w:firstLine="0"/>
              <w:jc w:val="left"/>
            </w:pPr>
            <w:r>
              <w:t>Department of Mechanical</w:t>
            </w:r>
          </w:p>
          <w:p w14:paraId="7F0C4ECE" w14:textId="77777777" w:rsidR="00CD21A2" w:rsidRDefault="002656DE">
            <w:pPr>
              <w:spacing w:after="0" w:line="259" w:lineRule="auto"/>
              <w:ind w:left="0" w:firstLine="0"/>
              <w:jc w:val="center"/>
            </w:pPr>
            <w:r>
              <w:t>Engineering</w:t>
            </w:r>
          </w:p>
          <w:p w14:paraId="163827C7" w14:textId="77777777" w:rsidR="00CD21A2" w:rsidRDefault="002656DE">
            <w:pPr>
              <w:spacing w:after="0" w:line="259" w:lineRule="auto"/>
              <w:ind w:left="0" w:firstLine="0"/>
              <w:jc w:val="center"/>
            </w:pPr>
            <w:r>
              <w:t>Stellenbosch University</w:t>
            </w:r>
          </w:p>
          <w:p w14:paraId="035AC959" w14:textId="77777777" w:rsidR="00CD21A2" w:rsidRDefault="002656DE">
            <w:pPr>
              <w:spacing w:after="0" w:line="259" w:lineRule="auto"/>
              <w:ind w:left="0" w:firstLine="0"/>
            </w:pPr>
            <w:r>
              <w:t>Email: rlaubscher@sun.ac.za</w:t>
            </w:r>
          </w:p>
        </w:tc>
      </w:tr>
    </w:tbl>
    <w:p w14:paraId="72BD74AF" w14:textId="77777777" w:rsidR="00CD21A2" w:rsidRDefault="002656DE">
      <w:pPr>
        <w:spacing w:after="0" w:line="259" w:lineRule="auto"/>
        <w:ind w:left="134" w:hanging="10"/>
        <w:jc w:val="center"/>
      </w:pPr>
      <w:r>
        <w:rPr>
          <w:b/>
          <w:sz w:val="24"/>
        </w:rPr>
        <w:t>Pieter Rousseau</w:t>
      </w:r>
    </w:p>
    <w:p w14:paraId="693259F4" w14:textId="77777777" w:rsidR="00CD21A2" w:rsidRDefault="002656DE">
      <w:pPr>
        <w:spacing w:after="0" w:line="259" w:lineRule="auto"/>
        <w:ind w:firstLine="0"/>
        <w:jc w:val="center"/>
      </w:pPr>
      <w:r>
        <w:rPr>
          <w:sz w:val="24"/>
        </w:rPr>
        <w:t>Professor</w:t>
      </w:r>
    </w:p>
    <w:p w14:paraId="4BB1D38F" w14:textId="77777777" w:rsidR="00CD21A2" w:rsidRDefault="002656DE">
      <w:pPr>
        <w:spacing w:after="0" w:line="265" w:lineRule="auto"/>
        <w:ind w:left="134" w:hanging="10"/>
        <w:jc w:val="center"/>
      </w:pPr>
      <w:r>
        <w:t>Department of Mechanical</w:t>
      </w:r>
    </w:p>
    <w:p w14:paraId="000E00B3" w14:textId="77777777" w:rsidR="00CD21A2" w:rsidRDefault="002656DE">
      <w:pPr>
        <w:spacing w:after="0" w:line="265" w:lineRule="auto"/>
        <w:ind w:left="134" w:hanging="10"/>
        <w:jc w:val="center"/>
      </w:pPr>
      <w:r>
        <w:t>Engineering</w:t>
      </w:r>
    </w:p>
    <w:p w14:paraId="343D8E26" w14:textId="77777777" w:rsidR="00CD21A2" w:rsidRDefault="002656DE">
      <w:pPr>
        <w:spacing w:after="0" w:line="265" w:lineRule="auto"/>
        <w:ind w:left="134" w:hanging="10"/>
        <w:jc w:val="center"/>
      </w:pPr>
      <w:r>
        <w:t>University of Cape Town</w:t>
      </w:r>
    </w:p>
    <w:p w14:paraId="38830759" w14:textId="77777777" w:rsidR="00CD21A2" w:rsidRDefault="002656DE" w:rsidP="00FB3E4C">
      <w:pPr>
        <w:spacing w:after="0" w:line="240" w:lineRule="auto"/>
        <w:ind w:left="134" w:hanging="10"/>
        <w:jc w:val="center"/>
      </w:pPr>
      <w:r>
        <w:t>Email: pieter.rousseau@uct.ac.za</w:t>
      </w:r>
    </w:p>
    <w:p w14:paraId="4138FC7F" w14:textId="77777777" w:rsidR="00FB3E4C" w:rsidRDefault="00FB3E4C">
      <w:pPr>
        <w:spacing w:after="134" w:line="259" w:lineRule="auto"/>
        <w:ind w:left="134" w:hanging="10"/>
        <w:jc w:val="center"/>
        <w:rPr>
          <w:b/>
          <w:sz w:val="24"/>
        </w:rPr>
      </w:pPr>
    </w:p>
    <w:p w14:paraId="15BDA3A5" w14:textId="43E19C61" w:rsidR="00CD21A2" w:rsidRDefault="002656DE">
      <w:pPr>
        <w:spacing w:after="134" w:line="259" w:lineRule="auto"/>
        <w:ind w:left="134" w:hanging="10"/>
        <w:jc w:val="center"/>
      </w:pPr>
      <w:r>
        <w:rPr>
          <w:b/>
          <w:sz w:val="24"/>
        </w:rPr>
        <w:t>ABSTRACT</w:t>
      </w:r>
    </w:p>
    <w:p w14:paraId="46C5E3CA" w14:textId="7B7892B0" w:rsidR="00CD21A2" w:rsidRDefault="002656DE" w:rsidP="00FB3E4C">
      <w:pPr>
        <w:spacing w:after="156" w:line="401" w:lineRule="auto"/>
        <w:ind w:firstLine="327"/>
      </w:pPr>
      <w:r>
        <w:rPr>
          <w:i/>
        </w:rPr>
        <w:t xml:space="preserve">To enable the inclusion of intermittent renewable energy sources on existing power grids requires base-load coal-fired power plants to operate flexibly, including fast load changes and continuous low-load operation. Low-load operation of a 620 </w:t>
      </w:r>
      <w:r>
        <w:rPr>
          <w:rFonts w:ascii="Cambria" w:eastAsia="Cambria" w:hAnsi="Cambria" w:cs="Cambria"/>
          <w:i/>
        </w:rPr>
        <w:t xml:space="preserve">MWe </w:t>
      </w:r>
      <w:r>
        <w:rPr>
          <w:i/>
        </w:rPr>
        <w:t>subcritical boiler is analysed with the aid of a co-simulation methodology that incorporates a detail three dimensional computational fluid dynamics (CFD) model together with a one dimensional process model. A discretized one dimensional model of the water/steam circuit was developed for the furnace, the radiant superheaters and the convective/back pass heat exchangers. This is coupled with a detailed CFD model incorporating the furnace and radiant superheaters using a Eulerian-Eulerian reference frame. The coupled model is used to investigate the combustion stability, water/steam side effects, and the radiant heat exchanger operational limits for six different burner firing arrangements at a low boiler load of 32% of Maximum Continuous Rating. The results show that certain firing arrangements can lead to a high risk of fire-side corrosion and overheating of heat exchanger components. Based on analyses of combustion stability, boiler efficiency and the safe operation of heat exchanger components, a mixed firing arrangement with a higher secondary air mass</w:t>
      </w:r>
      <w:r w:rsidR="00FB3E4C">
        <w:rPr>
          <w:i/>
        </w:rPr>
        <w:t xml:space="preserve"> </w:t>
      </w:r>
      <w:r>
        <w:rPr>
          <w:i/>
        </w:rPr>
        <w:t>flowrate for non-firing burners was selected as the best operational strategy at this</w:t>
      </w:r>
      <w:r w:rsidR="00FB3E4C">
        <w:rPr>
          <w:i/>
        </w:rPr>
        <w:t xml:space="preserve"> </w:t>
      </w:r>
      <w:r>
        <w:rPr>
          <w:i/>
        </w:rPr>
        <w:t>low load for the boiler under investigation.</w:t>
      </w:r>
    </w:p>
    <w:p w14:paraId="6FEF9AE4" w14:textId="6BC9B69E" w:rsidR="00FB3E4C" w:rsidRDefault="002656DE" w:rsidP="00FB3E4C">
      <w:pPr>
        <w:pStyle w:val="Heading1"/>
        <w:numPr>
          <w:ilvl w:val="0"/>
          <w:numId w:val="0"/>
        </w:numPr>
        <w:spacing w:after="384"/>
        <w:ind w:left="-5"/>
      </w:pPr>
      <w:r>
        <w:lastRenderedPageBreak/>
        <w:t>NOMENCLATURE</w:t>
      </w:r>
    </w:p>
    <w:tbl>
      <w:tblPr>
        <w:tblStyle w:val="TableGrid"/>
        <w:tblW w:w="0" w:type="auto"/>
        <w:tblInd w:w="129" w:type="dxa"/>
        <w:tblLook w:val="04A0" w:firstRow="1" w:lastRow="0" w:firstColumn="1" w:lastColumn="0" w:noHBand="0" w:noVBand="1"/>
      </w:tblPr>
      <w:tblGrid>
        <w:gridCol w:w="864"/>
        <w:gridCol w:w="3543"/>
        <w:gridCol w:w="993"/>
        <w:gridCol w:w="4110"/>
      </w:tblGrid>
      <w:tr w:rsidR="005319DD" w14:paraId="78574E29" w14:textId="77777777" w:rsidTr="009226D9">
        <w:tc>
          <w:tcPr>
            <w:tcW w:w="4407" w:type="dxa"/>
            <w:gridSpan w:val="2"/>
          </w:tcPr>
          <w:p w14:paraId="2A3D2180" w14:textId="59702832" w:rsidR="005319DD" w:rsidRDefault="005319DD" w:rsidP="005319DD">
            <w:pPr>
              <w:ind w:left="0" w:firstLine="0"/>
            </w:pPr>
            <w:r>
              <w:rPr>
                <w:b/>
                <w:i/>
              </w:rPr>
              <w:t>Variables</w:t>
            </w:r>
          </w:p>
        </w:tc>
        <w:tc>
          <w:tcPr>
            <w:tcW w:w="993" w:type="dxa"/>
            <w:vAlign w:val="center"/>
          </w:tcPr>
          <w:p w14:paraId="063AFB14" w14:textId="756ADD0C" w:rsidR="005319DD" w:rsidRDefault="005319DD" w:rsidP="005319DD">
            <w:pPr>
              <w:ind w:left="0" w:firstLine="0"/>
            </w:pPr>
            <w:r>
              <w:rPr>
                <w:rFonts w:ascii="Cambria" w:eastAsia="Cambria" w:hAnsi="Cambria" w:cs="Cambria"/>
                <w:i/>
              </w:rPr>
              <w:t>P</w:t>
            </w:r>
          </w:p>
        </w:tc>
        <w:tc>
          <w:tcPr>
            <w:tcW w:w="4110" w:type="dxa"/>
            <w:vAlign w:val="center"/>
          </w:tcPr>
          <w:p w14:paraId="1FBEDDFF" w14:textId="1FAEFCB0" w:rsidR="005319DD" w:rsidRDefault="005319DD" w:rsidP="005319DD">
            <w:pPr>
              <w:ind w:left="0" w:firstLine="0"/>
            </w:pPr>
            <w:r>
              <w:t>Perimeter [</w:t>
            </w:r>
            <w:r>
              <w:rPr>
                <w:rFonts w:ascii="Cambria" w:eastAsia="Cambria" w:hAnsi="Cambria" w:cs="Cambria"/>
                <w:i/>
              </w:rPr>
              <w:t>m</w:t>
            </w:r>
            <w:r>
              <w:t>]</w:t>
            </w:r>
          </w:p>
        </w:tc>
      </w:tr>
      <w:tr w:rsidR="005319DD" w14:paraId="05D63C5C" w14:textId="77777777" w:rsidTr="009226D9">
        <w:tc>
          <w:tcPr>
            <w:tcW w:w="864" w:type="dxa"/>
          </w:tcPr>
          <w:p w14:paraId="485E6285" w14:textId="2A8909B3" w:rsidR="005319DD" w:rsidRDefault="005319DD" w:rsidP="005319DD">
            <w:pPr>
              <w:ind w:left="0" w:firstLine="0"/>
            </w:pPr>
            <w:r>
              <w:rPr>
                <w:rFonts w:ascii="Cambria" w:eastAsia="Cambria" w:hAnsi="Cambria" w:cs="Cambria"/>
                <w:i/>
              </w:rPr>
              <w:t>A</w:t>
            </w:r>
          </w:p>
        </w:tc>
        <w:tc>
          <w:tcPr>
            <w:tcW w:w="3543" w:type="dxa"/>
          </w:tcPr>
          <w:p w14:paraId="67F66A3F" w14:textId="6645E20E" w:rsidR="005319DD" w:rsidRDefault="005319DD" w:rsidP="005319DD">
            <w:pPr>
              <w:ind w:left="0" w:firstLine="0"/>
            </w:pPr>
            <w:r>
              <w:t>Area [</w:t>
            </w:r>
            <w:r>
              <w:rPr>
                <w:rFonts w:ascii="Cambria" w:eastAsia="Cambria" w:hAnsi="Cambria" w:cs="Cambria"/>
                <w:i/>
              </w:rPr>
              <w:t>m</w:t>
            </w:r>
            <w:r>
              <w:rPr>
                <w:rFonts w:ascii="Cambria" w:eastAsia="Cambria" w:hAnsi="Cambria" w:cs="Cambria"/>
                <w:vertAlign w:val="superscript"/>
              </w:rPr>
              <w:t>2</w:t>
            </w:r>
            <w:r>
              <w:t>]</w:t>
            </w:r>
          </w:p>
        </w:tc>
        <w:tc>
          <w:tcPr>
            <w:tcW w:w="993" w:type="dxa"/>
            <w:vAlign w:val="center"/>
          </w:tcPr>
          <w:p w14:paraId="7356DC3C" w14:textId="0CB2097D" w:rsidR="005319DD" w:rsidRDefault="005319DD" w:rsidP="005319DD">
            <w:pPr>
              <w:ind w:left="0" w:firstLine="0"/>
            </w:pPr>
            <w:r>
              <w:rPr>
                <w:rFonts w:ascii="Cambria" w:eastAsia="Cambria" w:hAnsi="Cambria" w:cs="Cambria"/>
                <w:i/>
              </w:rPr>
              <w:t>p</w:t>
            </w:r>
          </w:p>
        </w:tc>
        <w:tc>
          <w:tcPr>
            <w:tcW w:w="4110" w:type="dxa"/>
            <w:vAlign w:val="center"/>
          </w:tcPr>
          <w:p w14:paraId="664BD278" w14:textId="2522B383" w:rsidR="005319DD" w:rsidRDefault="005319DD" w:rsidP="005319DD">
            <w:pPr>
              <w:ind w:left="0" w:firstLine="0"/>
            </w:pPr>
            <w:r>
              <w:t>Pressure [</w:t>
            </w:r>
            <w:r>
              <w:rPr>
                <w:rFonts w:ascii="Cambria" w:eastAsia="Cambria" w:hAnsi="Cambria" w:cs="Cambria"/>
                <w:i/>
              </w:rPr>
              <w:t>Pa</w:t>
            </w:r>
            <w:r>
              <w:t>]</w:t>
            </w:r>
          </w:p>
        </w:tc>
      </w:tr>
      <w:tr w:rsidR="005319DD" w14:paraId="3A4F74A7" w14:textId="77777777" w:rsidTr="009226D9">
        <w:tc>
          <w:tcPr>
            <w:tcW w:w="864" w:type="dxa"/>
            <w:vAlign w:val="center"/>
          </w:tcPr>
          <w:p w14:paraId="06D64515" w14:textId="21FE1E9C" w:rsidR="005319DD" w:rsidRDefault="005319DD" w:rsidP="005319DD">
            <w:pPr>
              <w:ind w:left="0" w:firstLine="0"/>
            </w:pPr>
            <w:r>
              <w:rPr>
                <w:rFonts w:ascii="Cambria" w:eastAsia="Cambria" w:hAnsi="Cambria" w:cs="Cambria"/>
                <w:i/>
              </w:rPr>
              <w:t>A</w:t>
            </w:r>
            <w:r>
              <w:rPr>
                <w:rFonts w:ascii="Cambria" w:eastAsia="Cambria" w:hAnsi="Cambria" w:cs="Cambria"/>
                <w:i/>
                <w:vertAlign w:val="subscript"/>
              </w:rPr>
              <w:t>p</w:t>
            </w:r>
          </w:p>
        </w:tc>
        <w:tc>
          <w:tcPr>
            <w:tcW w:w="3543" w:type="dxa"/>
            <w:vAlign w:val="center"/>
          </w:tcPr>
          <w:p w14:paraId="6524D7D2" w14:textId="2CE91340" w:rsidR="005319DD" w:rsidRDefault="005319DD" w:rsidP="005319DD">
            <w:pPr>
              <w:ind w:left="0" w:firstLine="0"/>
            </w:pPr>
            <w:r>
              <w:t>Particle surface area [</w:t>
            </w:r>
            <w:r>
              <w:rPr>
                <w:rFonts w:ascii="Cambria" w:eastAsia="Cambria" w:hAnsi="Cambria" w:cs="Cambria"/>
                <w:i/>
              </w:rPr>
              <w:t>m</w:t>
            </w:r>
            <w:r>
              <w:rPr>
                <w:rFonts w:ascii="Cambria" w:eastAsia="Cambria" w:hAnsi="Cambria" w:cs="Cambria"/>
                <w:vertAlign w:val="superscript"/>
              </w:rPr>
              <w:t>2</w:t>
            </w:r>
            <w:r>
              <w:t>]</w:t>
            </w:r>
          </w:p>
        </w:tc>
        <w:tc>
          <w:tcPr>
            <w:tcW w:w="993" w:type="dxa"/>
          </w:tcPr>
          <w:p w14:paraId="51787F09" w14:textId="3F4D7DC9" w:rsidR="005319DD" w:rsidRDefault="005319DD" w:rsidP="005319DD">
            <w:pPr>
              <w:ind w:left="0" w:firstLine="0"/>
            </w:pPr>
            <w:r>
              <w:rPr>
                <w:rFonts w:ascii="Cambria" w:eastAsia="Cambria" w:hAnsi="Cambria" w:cs="Cambria"/>
                <w:i/>
              </w:rPr>
              <w:t>p</w:t>
            </w:r>
            <w:r>
              <w:rPr>
                <w:rFonts w:ascii="Cambria" w:eastAsia="Cambria" w:hAnsi="Cambria" w:cs="Cambria"/>
                <w:i/>
                <w:sz w:val="16"/>
              </w:rPr>
              <w:t>O</w:t>
            </w:r>
            <w:r>
              <w:rPr>
                <w:rFonts w:ascii="Cambria" w:eastAsia="Cambria" w:hAnsi="Cambria" w:cs="Cambria"/>
                <w:sz w:val="16"/>
                <w:vertAlign w:val="subscript"/>
              </w:rPr>
              <w:t>2</w:t>
            </w:r>
          </w:p>
        </w:tc>
        <w:tc>
          <w:tcPr>
            <w:tcW w:w="4110" w:type="dxa"/>
            <w:vAlign w:val="center"/>
          </w:tcPr>
          <w:p w14:paraId="16AE5DC1" w14:textId="1ADF4FA7" w:rsidR="005319DD" w:rsidRDefault="005319DD" w:rsidP="005319DD">
            <w:pPr>
              <w:ind w:left="0" w:firstLine="0"/>
            </w:pPr>
            <w:r>
              <w:t xml:space="preserve">Partial pressure of </w:t>
            </w:r>
            <w:r>
              <w:rPr>
                <w:rFonts w:ascii="Cambria" w:eastAsia="Cambria" w:hAnsi="Cambria" w:cs="Cambria"/>
                <w:i/>
              </w:rPr>
              <w:t>O</w:t>
            </w:r>
            <w:r>
              <w:rPr>
                <w:rFonts w:ascii="Cambria" w:eastAsia="Cambria" w:hAnsi="Cambria" w:cs="Cambria"/>
                <w:vertAlign w:val="subscript"/>
              </w:rPr>
              <w:t xml:space="preserve">2 </w:t>
            </w:r>
            <w:r>
              <w:t>[</w:t>
            </w:r>
            <w:r>
              <w:rPr>
                <w:rFonts w:ascii="Cambria" w:eastAsia="Cambria" w:hAnsi="Cambria" w:cs="Cambria"/>
                <w:i/>
              </w:rPr>
              <w:t>Pa</w:t>
            </w:r>
            <w:r>
              <w:t>]</w:t>
            </w:r>
          </w:p>
        </w:tc>
      </w:tr>
      <w:tr w:rsidR="005319DD" w14:paraId="1FA0C0BD" w14:textId="77777777" w:rsidTr="009226D9">
        <w:tc>
          <w:tcPr>
            <w:tcW w:w="864" w:type="dxa"/>
            <w:vAlign w:val="center"/>
          </w:tcPr>
          <w:p w14:paraId="153B05B5" w14:textId="04944A28" w:rsidR="005319DD" w:rsidRDefault="005319DD" w:rsidP="005319DD">
            <w:pPr>
              <w:ind w:left="0" w:firstLine="0"/>
            </w:pPr>
            <w:proofErr w:type="spellStart"/>
            <w:r>
              <w:rPr>
                <w:rFonts w:ascii="Cambria" w:eastAsia="Cambria" w:hAnsi="Cambria" w:cs="Cambria"/>
                <w:i/>
              </w:rPr>
              <w:t>A</w:t>
            </w:r>
            <w:r>
              <w:rPr>
                <w:rFonts w:ascii="Cambria" w:eastAsia="Cambria" w:hAnsi="Cambria" w:cs="Cambria"/>
                <w:i/>
                <w:sz w:val="16"/>
              </w:rPr>
              <w:t>pn</w:t>
            </w:r>
            <w:proofErr w:type="spellEnd"/>
          </w:p>
        </w:tc>
        <w:tc>
          <w:tcPr>
            <w:tcW w:w="3543" w:type="dxa"/>
            <w:vAlign w:val="center"/>
          </w:tcPr>
          <w:p w14:paraId="1456BED5" w14:textId="47ED9415" w:rsidR="005319DD" w:rsidRDefault="005319DD" w:rsidP="005319DD">
            <w:pPr>
              <w:ind w:left="0" w:firstLine="0"/>
            </w:pPr>
            <w:r>
              <w:t>Projected particle surface area [</w:t>
            </w:r>
            <w:r>
              <w:rPr>
                <w:rFonts w:ascii="Cambria" w:eastAsia="Cambria" w:hAnsi="Cambria" w:cs="Cambria"/>
                <w:i/>
              </w:rPr>
              <w:t>m</w:t>
            </w:r>
            <w:r>
              <w:rPr>
                <w:rFonts w:ascii="Cambria" w:eastAsia="Cambria" w:hAnsi="Cambria" w:cs="Cambria"/>
                <w:vertAlign w:val="superscript"/>
              </w:rPr>
              <w:t>2</w:t>
            </w:r>
            <w:r>
              <w:t>]</w:t>
            </w:r>
          </w:p>
        </w:tc>
        <w:tc>
          <w:tcPr>
            <w:tcW w:w="993" w:type="dxa"/>
            <w:vAlign w:val="center"/>
          </w:tcPr>
          <w:p w14:paraId="5EE3AF31" w14:textId="0A7E8DEC" w:rsidR="005319DD" w:rsidRDefault="005319DD" w:rsidP="005319DD">
            <w:pPr>
              <w:ind w:left="0" w:firstLine="0"/>
            </w:pPr>
            <w:r>
              <w:rPr>
                <w:rFonts w:ascii="Cambria" w:eastAsia="Cambria" w:hAnsi="Cambria" w:cs="Cambria"/>
                <w:i/>
                <w:sz w:val="34"/>
                <w:vertAlign w:val="superscript"/>
              </w:rPr>
              <w:t>Q</w:t>
            </w:r>
            <w:r>
              <w:rPr>
                <w:rFonts w:ascii="Cambria" w:eastAsia="Cambria" w:hAnsi="Cambria" w:cs="Cambria"/>
              </w:rPr>
              <w:t xml:space="preserve">˙ </w:t>
            </w:r>
            <w:r>
              <w:rPr>
                <w:rFonts w:ascii="Cambria" w:eastAsia="Cambria" w:hAnsi="Cambria" w:cs="Cambria"/>
                <w:i/>
                <w:sz w:val="16"/>
              </w:rPr>
              <w:t>conv</w:t>
            </w:r>
          </w:p>
        </w:tc>
        <w:tc>
          <w:tcPr>
            <w:tcW w:w="4110" w:type="dxa"/>
            <w:vAlign w:val="center"/>
          </w:tcPr>
          <w:p w14:paraId="5FC4E562" w14:textId="34174411" w:rsidR="005319DD" w:rsidRDefault="005319DD" w:rsidP="005319DD">
            <w:pPr>
              <w:ind w:left="0" w:firstLine="0"/>
            </w:pPr>
            <w:r>
              <w:t>Convective heat transfer rate [</w:t>
            </w:r>
            <w:r>
              <w:rPr>
                <w:rFonts w:ascii="Cambria" w:eastAsia="Cambria" w:hAnsi="Cambria" w:cs="Cambria"/>
                <w:i/>
              </w:rPr>
              <w:t>W</w:t>
            </w:r>
            <w:r>
              <w:t>]</w:t>
            </w:r>
          </w:p>
        </w:tc>
      </w:tr>
      <w:tr w:rsidR="005319DD" w14:paraId="47B5E9A6" w14:textId="77777777" w:rsidTr="009226D9">
        <w:tc>
          <w:tcPr>
            <w:tcW w:w="864" w:type="dxa"/>
            <w:vAlign w:val="center"/>
          </w:tcPr>
          <w:p w14:paraId="750EC7DB" w14:textId="0056C246" w:rsidR="005319DD" w:rsidRDefault="005319DD" w:rsidP="005319DD">
            <w:pPr>
              <w:ind w:left="0" w:firstLine="0"/>
            </w:pPr>
            <w:r>
              <w:rPr>
                <w:rFonts w:ascii="Cambria" w:eastAsia="Cambria" w:hAnsi="Cambria" w:cs="Cambria"/>
                <w:i/>
              </w:rPr>
              <w:t>A</w:t>
            </w:r>
            <w:r>
              <w:rPr>
                <w:rFonts w:ascii="Cambria" w:eastAsia="Cambria" w:hAnsi="Cambria" w:cs="Cambria"/>
                <w:i/>
                <w:vertAlign w:val="subscript"/>
              </w:rPr>
              <w:t>c</w:t>
            </w:r>
          </w:p>
        </w:tc>
        <w:tc>
          <w:tcPr>
            <w:tcW w:w="3543" w:type="dxa"/>
            <w:vAlign w:val="center"/>
          </w:tcPr>
          <w:p w14:paraId="53161B69" w14:textId="1B67A656" w:rsidR="005319DD" w:rsidRDefault="005319DD" w:rsidP="005319DD">
            <w:pPr>
              <w:ind w:left="0" w:firstLine="0"/>
            </w:pPr>
            <w:r>
              <w:t>Carbon pre-exponential factor [</w:t>
            </w:r>
            <w:r>
              <w:rPr>
                <w:rFonts w:ascii="Cambria" w:eastAsia="Cambria" w:hAnsi="Cambria" w:cs="Cambria"/>
                <w:i/>
              </w:rPr>
              <w:t>s</w:t>
            </w:r>
            <w:r>
              <w:rPr>
                <w:rFonts w:ascii="Cambria" w:eastAsia="Cambria" w:hAnsi="Cambria" w:cs="Cambria"/>
                <w:vertAlign w:val="superscript"/>
              </w:rPr>
              <w:t>−1</w:t>
            </w:r>
            <w:r>
              <w:t>]</w:t>
            </w:r>
          </w:p>
        </w:tc>
        <w:tc>
          <w:tcPr>
            <w:tcW w:w="993" w:type="dxa"/>
            <w:vAlign w:val="center"/>
          </w:tcPr>
          <w:p w14:paraId="122678EB" w14:textId="7B9B15E4" w:rsidR="005319DD" w:rsidRDefault="005319DD" w:rsidP="005319DD">
            <w:pPr>
              <w:ind w:left="0" w:firstLine="0"/>
            </w:pPr>
            <w:r>
              <w:rPr>
                <w:rFonts w:ascii="Cambria" w:eastAsia="Cambria" w:hAnsi="Cambria" w:cs="Cambria"/>
                <w:i/>
              </w:rPr>
              <w:t>Q</w:t>
            </w:r>
            <w:r>
              <w:rPr>
                <w:rFonts w:ascii="Cambria" w:eastAsia="Cambria" w:hAnsi="Cambria" w:cs="Cambria"/>
              </w:rPr>
              <w:t xml:space="preserve">˙ </w:t>
            </w:r>
            <w:r>
              <w:rPr>
                <w:rFonts w:ascii="Cambria" w:eastAsia="Cambria" w:hAnsi="Cambria" w:cs="Cambria"/>
                <w:i/>
                <w:sz w:val="16"/>
              </w:rPr>
              <w:t>rad</w:t>
            </w:r>
          </w:p>
        </w:tc>
        <w:tc>
          <w:tcPr>
            <w:tcW w:w="4110" w:type="dxa"/>
            <w:vAlign w:val="center"/>
          </w:tcPr>
          <w:p w14:paraId="68F986D1" w14:textId="07A3C43E" w:rsidR="005319DD" w:rsidRDefault="005319DD" w:rsidP="005319DD">
            <w:pPr>
              <w:ind w:left="0" w:firstLine="0"/>
            </w:pPr>
            <w:r>
              <w:t>Radiative heat transfer rate [</w:t>
            </w:r>
            <w:r>
              <w:rPr>
                <w:rFonts w:ascii="Cambria" w:eastAsia="Cambria" w:hAnsi="Cambria" w:cs="Cambria"/>
                <w:i/>
              </w:rPr>
              <w:t>W</w:t>
            </w:r>
            <w:r>
              <w:t>]</w:t>
            </w:r>
          </w:p>
        </w:tc>
      </w:tr>
      <w:tr w:rsidR="005319DD" w14:paraId="0889E7A0" w14:textId="77777777" w:rsidTr="009226D9">
        <w:tc>
          <w:tcPr>
            <w:tcW w:w="864" w:type="dxa"/>
            <w:vAlign w:val="center"/>
          </w:tcPr>
          <w:p w14:paraId="28D16A76" w14:textId="7264FFD7" w:rsidR="005319DD" w:rsidRDefault="005319DD" w:rsidP="005319DD">
            <w:pPr>
              <w:ind w:left="0" w:firstLine="0"/>
            </w:pPr>
            <w:proofErr w:type="spellStart"/>
            <w:r>
              <w:rPr>
                <w:rFonts w:ascii="Cambria" w:eastAsia="Cambria" w:hAnsi="Cambria" w:cs="Cambria"/>
                <w:i/>
              </w:rPr>
              <w:t>A</w:t>
            </w:r>
            <w:r>
              <w:rPr>
                <w:rFonts w:ascii="Cambria" w:eastAsia="Cambria" w:hAnsi="Cambria" w:cs="Cambria"/>
                <w:i/>
                <w:sz w:val="16"/>
              </w:rPr>
              <w:t>vol</w:t>
            </w:r>
            <w:proofErr w:type="spellEnd"/>
          </w:p>
        </w:tc>
        <w:tc>
          <w:tcPr>
            <w:tcW w:w="3543" w:type="dxa"/>
            <w:vAlign w:val="center"/>
          </w:tcPr>
          <w:p w14:paraId="04EDEC97" w14:textId="27B7D816" w:rsidR="005319DD" w:rsidRDefault="005319DD" w:rsidP="005319DD">
            <w:pPr>
              <w:ind w:left="0" w:firstLine="0"/>
            </w:pPr>
            <w:r>
              <w:t>Volatile pre-exponential factor [</w:t>
            </w:r>
            <w:r>
              <w:rPr>
                <w:rFonts w:ascii="Cambria" w:eastAsia="Cambria" w:hAnsi="Cambria" w:cs="Cambria"/>
                <w:i/>
              </w:rPr>
              <w:t>s</w:t>
            </w:r>
            <w:r>
              <w:rPr>
                <w:rFonts w:ascii="Cambria" w:eastAsia="Cambria" w:hAnsi="Cambria" w:cs="Cambria"/>
                <w:vertAlign w:val="superscript"/>
              </w:rPr>
              <w:t>−1</w:t>
            </w:r>
            <w:r>
              <w:t>]</w:t>
            </w:r>
          </w:p>
        </w:tc>
        <w:tc>
          <w:tcPr>
            <w:tcW w:w="993" w:type="dxa"/>
            <w:vAlign w:val="center"/>
          </w:tcPr>
          <w:p w14:paraId="369A076A" w14:textId="30AC2E1B" w:rsidR="005319DD" w:rsidRDefault="005319DD" w:rsidP="005319DD">
            <w:pPr>
              <w:ind w:left="0" w:firstLine="0"/>
            </w:pPr>
            <w:r>
              <w:rPr>
                <w:rFonts w:ascii="Cambria" w:eastAsia="Cambria" w:hAnsi="Cambria" w:cs="Cambria"/>
                <w:i/>
                <w:sz w:val="34"/>
                <w:vertAlign w:val="subscript"/>
              </w:rPr>
              <w:t>Q</w:t>
            </w:r>
            <w:r>
              <w:rPr>
                <w:rFonts w:ascii="Cambria" w:eastAsia="Cambria" w:hAnsi="Cambria" w:cs="Cambria"/>
              </w:rPr>
              <w:t xml:space="preserve">˙ </w:t>
            </w:r>
            <w:r>
              <w:rPr>
                <w:rFonts w:ascii="Cambria" w:eastAsia="Cambria" w:hAnsi="Cambria" w:cs="Cambria"/>
                <w:i/>
                <w:sz w:val="16"/>
              </w:rPr>
              <w:t>w</w:t>
            </w:r>
          </w:p>
        </w:tc>
        <w:tc>
          <w:tcPr>
            <w:tcW w:w="4110" w:type="dxa"/>
            <w:vAlign w:val="center"/>
          </w:tcPr>
          <w:p w14:paraId="4E1B4DF1" w14:textId="58718265" w:rsidR="005319DD" w:rsidRDefault="005319DD" w:rsidP="005319DD">
            <w:pPr>
              <w:ind w:left="0" w:firstLine="0"/>
            </w:pPr>
            <w:r>
              <w:t>Wall heat transfer rate [</w:t>
            </w:r>
            <w:r>
              <w:rPr>
                <w:rFonts w:ascii="Cambria" w:eastAsia="Cambria" w:hAnsi="Cambria" w:cs="Cambria"/>
                <w:i/>
              </w:rPr>
              <w:t>W</w:t>
            </w:r>
            <w:r>
              <w:t>]</w:t>
            </w:r>
          </w:p>
        </w:tc>
      </w:tr>
      <w:tr w:rsidR="005319DD" w14:paraId="42D45D88" w14:textId="77777777" w:rsidTr="009226D9">
        <w:tc>
          <w:tcPr>
            <w:tcW w:w="864" w:type="dxa"/>
            <w:vAlign w:val="center"/>
          </w:tcPr>
          <w:p w14:paraId="2D87AD22" w14:textId="52E99CEE" w:rsidR="005319DD" w:rsidRDefault="005319DD" w:rsidP="005319DD">
            <w:pPr>
              <w:ind w:left="0" w:firstLine="0"/>
            </w:pPr>
            <w:proofErr w:type="spellStart"/>
            <w:r>
              <w:rPr>
                <w:rFonts w:ascii="Cambria" w:eastAsia="Cambria" w:hAnsi="Cambria" w:cs="Cambria"/>
                <w:i/>
              </w:rPr>
              <w:t>d</w:t>
            </w:r>
            <w:r>
              <w:rPr>
                <w:rFonts w:ascii="Cambria" w:eastAsia="Cambria" w:hAnsi="Cambria" w:cs="Cambria"/>
                <w:i/>
                <w:vertAlign w:val="subscript"/>
              </w:rPr>
              <w:t>p</w:t>
            </w:r>
            <w:proofErr w:type="spellEnd"/>
          </w:p>
        </w:tc>
        <w:tc>
          <w:tcPr>
            <w:tcW w:w="3543" w:type="dxa"/>
            <w:vAlign w:val="center"/>
          </w:tcPr>
          <w:p w14:paraId="4909BA2E" w14:textId="6736479A" w:rsidR="005319DD" w:rsidRDefault="005319DD" w:rsidP="005319DD">
            <w:pPr>
              <w:ind w:left="0" w:firstLine="0"/>
            </w:pPr>
            <w:r>
              <w:t>Particle diameter [</w:t>
            </w:r>
            <w:r>
              <w:rPr>
                <w:rFonts w:ascii="Cambria" w:eastAsia="Cambria" w:hAnsi="Cambria" w:cs="Cambria"/>
                <w:i/>
              </w:rPr>
              <w:t>m</w:t>
            </w:r>
            <w:r>
              <w:t>]</w:t>
            </w:r>
          </w:p>
        </w:tc>
        <w:tc>
          <w:tcPr>
            <w:tcW w:w="993" w:type="dxa"/>
            <w:vAlign w:val="center"/>
          </w:tcPr>
          <w:p w14:paraId="153865D5" w14:textId="28E61B5F" w:rsidR="005319DD" w:rsidRDefault="005319DD" w:rsidP="005319DD">
            <w:pPr>
              <w:ind w:left="0" w:firstLine="0"/>
            </w:pPr>
            <w:proofErr w:type="spellStart"/>
            <w:r>
              <w:rPr>
                <w:rFonts w:ascii="Cambria" w:eastAsia="Cambria" w:hAnsi="Cambria" w:cs="Cambria"/>
                <w:i/>
              </w:rPr>
              <w:t>q</w:t>
            </w:r>
            <w:r>
              <w:rPr>
                <w:rFonts w:ascii="Cambria" w:eastAsia="Cambria" w:hAnsi="Cambria" w:cs="Cambria"/>
                <w:i/>
                <w:sz w:val="16"/>
              </w:rPr>
              <w:t>wall</w:t>
            </w:r>
            <w:proofErr w:type="spellEnd"/>
          </w:p>
        </w:tc>
        <w:tc>
          <w:tcPr>
            <w:tcW w:w="4110" w:type="dxa"/>
            <w:vAlign w:val="center"/>
          </w:tcPr>
          <w:p w14:paraId="2FA75E2B" w14:textId="1EB4C549" w:rsidR="005319DD" w:rsidRDefault="005319DD" w:rsidP="005319DD">
            <w:pPr>
              <w:ind w:left="0" w:firstLine="0"/>
            </w:pPr>
            <w:r>
              <w:t>Wall heat flux [</w:t>
            </w:r>
            <w:r>
              <w:rPr>
                <w:rFonts w:ascii="Cambria" w:eastAsia="Cambria" w:hAnsi="Cambria" w:cs="Cambria"/>
                <w:i/>
              </w:rPr>
              <w:t>W/m</w:t>
            </w:r>
            <w:r>
              <w:rPr>
                <w:rFonts w:ascii="Cambria" w:eastAsia="Cambria" w:hAnsi="Cambria" w:cs="Cambria"/>
                <w:vertAlign w:val="superscript"/>
              </w:rPr>
              <w:t>2</w:t>
            </w:r>
            <w:r>
              <w:t>]</w:t>
            </w:r>
          </w:p>
        </w:tc>
      </w:tr>
      <w:tr w:rsidR="005319DD" w14:paraId="194E2223" w14:textId="77777777" w:rsidTr="009226D9">
        <w:tc>
          <w:tcPr>
            <w:tcW w:w="864" w:type="dxa"/>
            <w:vAlign w:val="center"/>
          </w:tcPr>
          <w:p w14:paraId="6814EFF0" w14:textId="2865C36D" w:rsidR="005319DD" w:rsidRDefault="005319DD" w:rsidP="005319DD">
            <w:pPr>
              <w:ind w:left="0" w:firstLine="0"/>
            </w:pPr>
            <w:r>
              <w:rPr>
                <w:rFonts w:ascii="Cambria" w:eastAsia="Cambria" w:hAnsi="Cambria" w:cs="Cambria"/>
                <w:i/>
              </w:rPr>
              <w:t>E</w:t>
            </w:r>
          </w:p>
        </w:tc>
        <w:tc>
          <w:tcPr>
            <w:tcW w:w="3543" w:type="dxa"/>
            <w:vAlign w:val="center"/>
          </w:tcPr>
          <w:p w14:paraId="0645B99C" w14:textId="6306F653" w:rsidR="005319DD" w:rsidRDefault="005319DD" w:rsidP="005319DD">
            <w:pPr>
              <w:ind w:left="0" w:firstLine="0"/>
            </w:pPr>
            <w:r>
              <w:t>Fluid total energy [</w:t>
            </w:r>
            <w:r>
              <w:rPr>
                <w:rFonts w:ascii="Cambria" w:eastAsia="Cambria" w:hAnsi="Cambria" w:cs="Cambria"/>
                <w:i/>
              </w:rPr>
              <w:t>J/kg</w:t>
            </w:r>
            <w:r>
              <w:t>]</w:t>
            </w:r>
          </w:p>
        </w:tc>
        <w:tc>
          <w:tcPr>
            <w:tcW w:w="993" w:type="dxa"/>
            <w:vAlign w:val="center"/>
          </w:tcPr>
          <w:p w14:paraId="3BEE4CF8" w14:textId="180136B9" w:rsidR="005319DD" w:rsidRDefault="005319DD" w:rsidP="005319DD">
            <w:pPr>
              <w:ind w:left="0" w:firstLine="0"/>
            </w:pPr>
            <w:r>
              <w:rPr>
                <w:rFonts w:ascii="Cambria" w:eastAsia="Cambria" w:hAnsi="Cambria" w:cs="Cambria"/>
                <w:i/>
              </w:rPr>
              <w:t>R</w:t>
            </w:r>
          </w:p>
        </w:tc>
        <w:tc>
          <w:tcPr>
            <w:tcW w:w="4110" w:type="dxa"/>
            <w:vAlign w:val="center"/>
          </w:tcPr>
          <w:p w14:paraId="400BA1E2" w14:textId="019D0957" w:rsidR="005319DD" w:rsidRDefault="005319DD" w:rsidP="005319DD">
            <w:pPr>
              <w:ind w:left="0" w:firstLine="0"/>
            </w:pPr>
            <w:r>
              <w:t>Universal gas constant [</w:t>
            </w:r>
            <w:r>
              <w:rPr>
                <w:rFonts w:ascii="Cambria" w:eastAsia="Cambria" w:hAnsi="Cambria" w:cs="Cambria"/>
                <w:i/>
              </w:rPr>
              <w:t>J/</w:t>
            </w:r>
            <w:proofErr w:type="spellStart"/>
            <w:r>
              <w:rPr>
                <w:rFonts w:ascii="Cambria" w:eastAsia="Cambria" w:hAnsi="Cambria" w:cs="Cambria"/>
                <w:i/>
              </w:rPr>
              <w:t>molK</w:t>
            </w:r>
            <w:proofErr w:type="spellEnd"/>
            <w:r>
              <w:t>]</w:t>
            </w:r>
          </w:p>
        </w:tc>
      </w:tr>
      <w:tr w:rsidR="005319DD" w14:paraId="2AC05DF0" w14:textId="77777777" w:rsidTr="009226D9">
        <w:tc>
          <w:tcPr>
            <w:tcW w:w="864" w:type="dxa"/>
            <w:vAlign w:val="center"/>
          </w:tcPr>
          <w:p w14:paraId="5062CAB1" w14:textId="1D24C42B" w:rsidR="005319DD" w:rsidRDefault="005319DD" w:rsidP="005319DD">
            <w:pPr>
              <w:ind w:left="0" w:firstLine="0"/>
              <w:rPr>
                <w:rFonts w:ascii="Cambria" w:eastAsia="Cambria" w:hAnsi="Cambria" w:cs="Cambria"/>
                <w:i/>
              </w:rPr>
            </w:pPr>
            <w:proofErr w:type="spellStart"/>
            <w:r>
              <w:rPr>
                <w:rFonts w:ascii="Cambria" w:eastAsia="Cambria" w:hAnsi="Cambria" w:cs="Cambria"/>
                <w:i/>
              </w:rPr>
              <w:t>E</w:t>
            </w:r>
            <w:r>
              <w:rPr>
                <w:rFonts w:ascii="Cambria" w:eastAsia="Cambria" w:hAnsi="Cambria" w:cs="Cambria"/>
                <w:i/>
                <w:sz w:val="16"/>
              </w:rPr>
              <w:t>a,c</w:t>
            </w:r>
            <w:proofErr w:type="spellEnd"/>
          </w:p>
        </w:tc>
        <w:tc>
          <w:tcPr>
            <w:tcW w:w="3543" w:type="dxa"/>
            <w:vAlign w:val="center"/>
          </w:tcPr>
          <w:p w14:paraId="7906BF24" w14:textId="26865C52" w:rsidR="005319DD" w:rsidRDefault="005319DD" w:rsidP="005319DD">
            <w:pPr>
              <w:ind w:left="0" w:firstLine="0"/>
            </w:pPr>
            <w:r>
              <w:t>Carbon activation energy [</w:t>
            </w:r>
            <w:r>
              <w:rPr>
                <w:rFonts w:ascii="Cambria" w:eastAsia="Cambria" w:hAnsi="Cambria" w:cs="Cambria"/>
                <w:i/>
              </w:rPr>
              <w:t>J/</w:t>
            </w:r>
            <w:proofErr w:type="spellStart"/>
            <w:r>
              <w:rPr>
                <w:rFonts w:ascii="Cambria" w:eastAsia="Cambria" w:hAnsi="Cambria" w:cs="Cambria"/>
                <w:i/>
              </w:rPr>
              <w:t>kmol</w:t>
            </w:r>
            <w:proofErr w:type="spellEnd"/>
            <w:r>
              <w:t>]</w:t>
            </w:r>
          </w:p>
        </w:tc>
        <w:tc>
          <w:tcPr>
            <w:tcW w:w="993" w:type="dxa"/>
            <w:vAlign w:val="center"/>
          </w:tcPr>
          <w:p w14:paraId="12DFB5ED" w14:textId="007BEF94" w:rsidR="005319DD" w:rsidRDefault="005319DD" w:rsidP="005319DD">
            <w:pPr>
              <w:ind w:left="0" w:firstLine="0"/>
            </w:pPr>
            <w:proofErr w:type="spellStart"/>
            <w:r>
              <w:rPr>
                <w:rFonts w:ascii="Cambria" w:eastAsia="Cambria" w:hAnsi="Cambria" w:cs="Cambria"/>
                <w:i/>
              </w:rPr>
              <w:t>R</w:t>
            </w:r>
            <w:r>
              <w:rPr>
                <w:rFonts w:ascii="Cambria" w:eastAsia="Cambria" w:hAnsi="Cambria" w:cs="Cambria"/>
                <w:i/>
                <w:vertAlign w:val="subscript"/>
              </w:rPr>
              <w:t>c</w:t>
            </w:r>
            <w:proofErr w:type="spellEnd"/>
          </w:p>
        </w:tc>
        <w:tc>
          <w:tcPr>
            <w:tcW w:w="4110" w:type="dxa"/>
            <w:vAlign w:val="center"/>
          </w:tcPr>
          <w:p w14:paraId="2B5303AA" w14:textId="2DA2B13F" w:rsidR="005319DD" w:rsidRDefault="005319DD" w:rsidP="005319DD">
            <w:pPr>
              <w:ind w:left="0" w:firstLine="0"/>
            </w:pPr>
            <w:r>
              <w:t>Carbon reaction rate [</w:t>
            </w:r>
            <w:r>
              <w:rPr>
                <w:rFonts w:ascii="Cambria" w:eastAsia="Cambria" w:hAnsi="Cambria" w:cs="Cambria"/>
                <w:i/>
              </w:rPr>
              <w:t>s</w:t>
            </w:r>
            <w:r>
              <w:rPr>
                <w:rFonts w:ascii="Cambria" w:eastAsia="Cambria" w:hAnsi="Cambria" w:cs="Cambria"/>
                <w:vertAlign w:val="superscript"/>
              </w:rPr>
              <w:t>−1</w:t>
            </w:r>
            <w:r>
              <w:t>]</w:t>
            </w:r>
          </w:p>
        </w:tc>
      </w:tr>
      <w:tr w:rsidR="005319DD" w14:paraId="1133EBA1" w14:textId="77777777" w:rsidTr="009226D9">
        <w:tc>
          <w:tcPr>
            <w:tcW w:w="864" w:type="dxa"/>
            <w:vAlign w:val="center"/>
          </w:tcPr>
          <w:p w14:paraId="7CC4FAF3" w14:textId="0B908032" w:rsidR="005319DD" w:rsidRDefault="005319DD" w:rsidP="005319DD">
            <w:pPr>
              <w:ind w:left="0" w:firstLine="0"/>
              <w:rPr>
                <w:rFonts w:ascii="Cambria" w:eastAsia="Cambria" w:hAnsi="Cambria" w:cs="Cambria"/>
                <w:i/>
              </w:rPr>
            </w:pPr>
            <w:proofErr w:type="spellStart"/>
            <w:r>
              <w:rPr>
                <w:rFonts w:ascii="Cambria" w:eastAsia="Cambria" w:hAnsi="Cambria" w:cs="Cambria"/>
                <w:i/>
              </w:rPr>
              <w:t>E</w:t>
            </w:r>
            <w:r>
              <w:rPr>
                <w:rFonts w:ascii="Cambria" w:eastAsia="Cambria" w:hAnsi="Cambria" w:cs="Cambria"/>
                <w:i/>
                <w:sz w:val="16"/>
              </w:rPr>
              <w:t>a,vol</w:t>
            </w:r>
            <w:proofErr w:type="spellEnd"/>
          </w:p>
        </w:tc>
        <w:tc>
          <w:tcPr>
            <w:tcW w:w="3543" w:type="dxa"/>
            <w:vAlign w:val="center"/>
          </w:tcPr>
          <w:p w14:paraId="2BDC32D1" w14:textId="4192BFCD" w:rsidR="005319DD" w:rsidRDefault="005319DD" w:rsidP="005319DD">
            <w:pPr>
              <w:ind w:left="0" w:firstLine="0"/>
            </w:pPr>
            <w:r>
              <w:t>Volatile activation energy [</w:t>
            </w:r>
            <w:r>
              <w:rPr>
                <w:rFonts w:ascii="Cambria" w:eastAsia="Cambria" w:hAnsi="Cambria" w:cs="Cambria"/>
                <w:i/>
              </w:rPr>
              <w:t>J/</w:t>
            </w:r>
            <w:proofErr w:type="spellStart"/>
            <w:r>
              <w:rPr>
                <w:rFonts w:ascii="Cambria" w:eastAsia="Cambria" w:hAnsi="Cambria" w:cs="Cambria"/>
                <w:i/>
              </w:rPr>
              <w:t>kmol</w:t>
            </w:r>
            <w:proofErr w:type="spellEnd"/>
            <w:r>
              <w:t>]</w:t>
            </w:r>
          </w:p>
        </w:tc>
        <w:tc>
          <w:tcPr>
            <w:tcW w:w="993" w:type="dxa"/>
          </w:tcPr>
          <w:p w14:paraId="39963D30" w14:textId="557690DE" w:rsidR="005319DD" w:rsidRDefault="005319DD" w:rsidP="005319DD">
            <w:pPr>
              <w:ind w:left="0" w:firstLine="0"/>
            </w:pPr>
            <w:proofErr w:type="spellStart"/>
            <w:r>
              <w:rPr>
                <w:rFonts w:ascii="Cambria" w:eastAsia="Cambria" w:hAnsi="Cambria" w:cs="Cambria"/>
                <w:i/>
              </w:rPr>
              <w:t>R</w:t>
            </w:r>
            <w:r>
              <w:rPr>
                <w:rFonts w:ascii="Cambria" w:eastAsia="Cambria" w:hAnsi="Cambria" w:cs="Cambria"/>
                <w:i/>
                <w:sz w:val="16"/>
              </w:rPr>
              <w:t>diff</w:t>
            </w:r>
            <w:proofErr w:type="spellEnd"/>
          </w:p>
        </w:tc>
        <w:tc>
          <w:tcPr>
            <w:tcW w:w="4110" w:type="dxa"/>
            <w:vAlign w:val="center"/>
          </w:tcPr>
          <w:p w14:paraId="53B63C4B" w14:textId="40A07113" w:rsidR="005319DD" w:rsidRDefault="005319DD" w:rsidP="005319DD">
            <w:pPr>
              <w:ind w:left="0" w:firstLine="0"/>
            </w:pPr>
            <w:r>
              <w:t>Diffusion reaction rate [</w:t>
            </w:r>
            <w:r>
              <w:rPr>
                <w:rFonts w:ascii="Cambria" w:eastAsia="Cambria" w:hAnsi="Cambria" w:cs="Cambria"/>
                <w:i/>
              </w:rPr>
              <w:t>s</w:t>
            </w:r>
            <w:r>
              <w:rPr>
                <w:rFonts w:ascii="Cambria" w:eastAsia="Cambria" w:hAnsi="Cambria" w:cs="Cambria"/>
                <w:vertAlign w:val="superscript"/>
              </w:rPr>
              <w:t>−1</w:t>
            </w:r>
            <w:r>
              <w:t>]</w:t>
            </w:r>
          </w:p>
        </w:tc>
      </w:tr>
      <w:tr w:rsidR="005319DD" w14:paraId="59DFF655" w14:textId="77777777" w:rsidTr="009226D9">
        <w:tc>
          <w:tcPr>
            <w:tcW w:w="864" w:type="dxa"/>
            <w:vAlign w:val="center"/>
          </w:tcPr>
          <w:p w14:paraId="45993FEB" w14:textId="35D4F9CF" w:rsidR="005319DD" w:rsidRDefault="005319DD" w:rsidP="005319DD">
            <w:pPr>
              <w:ind w:left="0" w:firstLine="0"/>
              <w:rPr>
                <w:rFonts w:ascii="Cambria" w:eastAsia="Cambria" w:hAnsi="Cambria" w:cs="Cambria"/>
                <w:i/>
              </w:rPr>
            </w:pPr>
            <w:r>
              <w:rPr>
                <w:rFonts w:ascii="Cambria" w:eastAsia="Cambria" w:hAnsi="Cambria" w:cs="Cambria"/>
                <w:i/>
              </w:rPr>
              <w:t>E</w:t>
            </w:r>
            <w:r>
              <w:rPr>
                <w:rFonts w:ascii="Cambria" w:eastAsia="Cambria" w:hAnsi="Cambria" w:cs="Cambria"/>
                <w:i/>
                <w:vertAlign w:val="subscript"/>
              </w:rPr>
              <w:t>p</w:t>
            </w:r>
          </w:p>
        </w:tc>
        <w:tc>
          <w:tcPr>
            <w:tcW w:w="3543" w:type="dxa"/>
            <w:vAlign w:val="center"/>
          </w:tcPr>
          <w:p w14:paraId="2335F64F" w14:textId="468047FA" w:rsidR="005319DD" w:rsidRDefault="005319DD" w:rsidP="005319DD">
            <w:pPr>
              <w:ind w:left="0" w:firstLine="0"/>
            </w:pPr>
            <w:r>
              <w:t>Particle emission power [</w:t>
            </w:r>
            <w:r>
              <w:rPr>
                <w:rFonts w:ascii="Cambria" w:eastAsia="Cambria" w:hAnsi="Cambria" w:cs="Cambria"/>
                <w:i/>
              </w:rPr>
              <w:t>W/m</w:t>
            </w:r>
            <w:r>
              <w:rPr>
                <w:rFonts w:ascii="Cambria" w:eastAsia="Cambria" w:hAnsi="Cambria" w:cs="Cambria"/>
                <w:vertAlign w:val="superscript"/>
              </w:rPr>
              <w:t>3</w:t>
            </w:r>
            <w:r>
              <w:t>]</w:t>
            </w:r>
          </w:p>
        </w:tc>
        <w:tc>
          <w:tcPr>
            <w:tcW w:w="993" w:type="dxa"/>
            <w:vAlign w:val="center"/>
          </w:tcPr>
          <w:p w14:paraId="683709AA" w14:textId="661EAE95" w:rsidR="005319DD" w:rsidRDefault="005319DD" w:rsidP="005319DD">
            <w:pPr>
              <w:ind w:left="0" w:firstLine="0"/>
            </w:pPr>
            <w:proofErr w:type="spellStart"/>
            <w:r>
              <w:rPr>
                <w:rFonts w:ascii="Cambria" w:eastAsia="Cambria" w:hAnsi="Cambria" w:cs="Cambria"/>
                <w:i/>
              </w:rPr>
              <w:t>R</w:t>
            </w:r>
            <w:r>
              <w:rPr>
                <w:rFonts w:ascii="Cambria" w:eastAsia="Cambria" w:hAnsi="Cambria" w:cs="Cambria"/>
                <w:i/>
                <w:sz w:val="16"/>
              </w:rPr>
              <w:t>vol</w:t>
            </w:r>
            <w:proofErr w:type="spellEnd"/>
          </w:p>
        </w:tc>
        <w:tc>
          <w:tcPr>
            <w:tcW w:w="4110" w:type="dxa"/>
            <w:vAlign w:val="center"/>
          </w:tcPr>
          <w:p w14:paraId="227ABE37" w14:textId="421C6B50" w:rsidR="005319DD" w:rsidRDefault="005319DD" w:rsidP="005319DD">
            <w:pPr>
              <w:ind w:left="0" w:firstLine="0"/>
            </w:pPr>
            <w:r>
              <w:t>Volatile reaction rate [</w:t>
            </w:r>
            <w:r>
              <w:rPr>
                <w:rFonts w:ascii="Cambria" w:eastAsia="Cambria" w:hAnsi="Cambria" w:cs="Cambria"/>
                <w:i/>
              </w:rPr>
              <w:t>s</w:t>
            </w:r>
            <w:r>
              <w:rPr>
                <w:rFonts w:ascii="Cambria" w:eastAsia="Cambria" w:hAnsi="Cambria" w:cs="Cambria"/>
                <w:vertAlign w:val="superscript"/>
              </w:rPr>
              <w:t>−1</w:t>
            </w:r>
            <w:r>
              <w:t>]</w:t>
            </w:r>
          </w:p>
        </w:tc>
      </w:tr>
      <w:tr w:rsidR="005319DD" w14:paraId="12E70E35" w14:textId="77777777" w:rsidTr="009226D9">
        <w:tc>
          <w:tcPr>
            <w:tcW w:w="864" w:type="dxa"/>
            <w:vAlign w:val="center"/>
          </w:tcPr>
          <w:p w14:paraId="15D48EC1" w14:textId="42560A20" w:rsidR="005319DD" w:rsidRDefault="005319DD" w:rsidP="005319DD">
            <w:pPr>
              <w:ind w:left="0" w:firstLine="0"/>
              <w:rPr>
                <w:rFonts w:ascii="Cambria" w:eastAsia="Cambria" w:hAnsi="Cambria" w:cs="Cambria"/>
                <w:i/>
              </w:rPr>
            </w:pPr>
            <w:proofErr w:type="spellStart"/>
            <w:r>
              <w:rPr>
                <w:rFonts w:ascii="Cambria" w:eastAsia="Cambria" w:hAnsi="Cambria" w:cs="Cambria"/>
                <w:i/>
              </w:rPr>
              <w:t>f</w:t>
            </w:r>
            <w:r>
              <w:rPr>
                <w:rFonts w:ascii="Cambria" w:eastAsia="Cambria" w:hAnsi="Cambria" w:cs="Cambria"/>
                <w:i/>
                <w:sz w:val="16"/>
              </w:rPr>
              <w:t>heat</w:t>
            </w:r>
            <w:proofErr w:type="spellEnd"/>
          </w:p>
        </w:tc>
        <w:tc>
          <w:tcPr>
            <w:tcW w:w="3543" w:type="dxa"/>
            <w:vAlign w:val="center"/>
          </w:tcPr>
          <w:p w14:paraId="16754CBF" w14:textId="79CF5253" w:rsidR="005319DD" w:rsidRDefault="005319DD" w:rsidP="005319DD">
            <w:pPr>
              <w:ind w:left="0" w:firstLine="0"/>
            </w:pPr>
            <w:r>
              <w:t>Surface char oxidation fraction [-]</w:t>
            </w:r>
          </w:p>
        </w:tc>
        <w:tc>
          <w:tcPr>
            <w:tcW w:w="993" w:type="dxa"/>
            <w:vAlign w:val="center"/>
          </w:tcPr>
          <w:p w14:paraId="2D0DEB91" w14:textId="587B513B" w:rsidR="005319DD" w:rsidRDefault="005319DD" w:rsidP="005319DD">
            <w:pPr>
              <w:ind w:left="0" w:firstLine="0"/>
            </w:pPr>
            <w:r>
              <w:rPr>
                <w:rFonts w:ascii="Cambria" w:eastAsia="Cambria" w:hAnsi="Cambria" w:cs="Cambria"/>
                <w:i/>
              </w:rPr>
              <w:t>S</w:t>
            </w:r>
          </w:p>
        </w:tc>
        <w:tc>
          <w:tcPr>
            <w:tcW w:w="4110" w:type="dxa"/>
            <w:vAlign w:val="center"/>
          </w:tcPr>
          <w:p w14:paraId="0A12EBA7" w14:textId="0DE82B63" w:rsidR="005319DD" w:rsidRDefault="005319DD" w:rsidP="005319DD">
            <w:pPr>
              <w:ind w:left="0" w:firstLine="0"/>
            </w:pPr>
            <w:r>
              <w:t>Mass source term[</w:t>
            </w:r>
            <w:r>
              <w:rPr>
                <w:rFonts w:ascii="Cambria" w:eastAsia="Cambria" w:hAnsi="Cambria" w:cs="Cambria"/>
                <w:i/>
              </w:rPr>
              <w:t>kg/m</w:t>
            </w:r>
            <w:r>
              <w:rPr>
                <w:rFonts w:ascii="Cambria" w:eastAsia="Cambria" w:hAnsi="Cambria" w:cs="Cambria"/>
                <w:vertAlign w:val="superscript"/>
              </w:rPr>
              <w:t>3</w:t>
            </w:r>
            <w:r>
              <w:t>]</w:t>
            </w:r>
          </w:p>
        </w:tc>
      </w:tr>
      <w:tr w:rsidR="005319DD" w14:paraId="185639BC" w14:textId="77777777" w:rsidTr="009226D9">
        <w:tc>
          <w:tcPr>
            <w:tcW w:w="864" w:type="dxa"/>
            <w:vAlign w:val="center"/>
          </w:tcPr>
          <w:p w14:paraId="40A40C3F" w14:textId="21963F27" w:rsidR="005319DD" w:rsidRDefault="005319DD" w:rsidP="005319DD">
            <w:pPr>
              <w:ind w:left="0" w:firstLine="0"/>
              <w:rPr>
                <w:rFonts w:ascii="Cambria" w:eastAsia="Cambria" w:hAnsi="Cambria" w:cs="Cambria"/>
                <w:i/>
              </w:rPr>
            </w:pPr>
            <w:proofErr w:type="spellStart"/>
            <w:r>
              <w:rPr>
                <w:rFonts w:ascii="Cambria" w:eastAsia="Cambria" w:hAnsi="Cambria" w:cs="Cambria"/>
                <w:i/>
              </w:rPr>
              <w:t>f</w:t>
            </w:r>
            <w:r>
              <w:rPr>
                <w:rFonts w:ascii="Cambria" w:eastAsia="Cambria" w:hAnsi="Cambria" w:cs="Cambria"/>
                <w:i/>
                <w:vertAlign w:val="subscript"/>
              </w:rPr>
              <w:t>p</w:t>
            </w:r>
            <w:proofErr w:type="spellEnd"/>
          </w:p>
        </w:tc>
        <w:tc>
          <w:tcPr>
            <w:tcW w:w="3543" w:type="dxa"/>
            <w:vAlign w:val="center"/>
          </w:tcPr>
          <w:p w14:paraId="707693B1" w14:textId="1C017E88" w:rsidR="005319DD" w:rsidRDefault="005319DD" w:rsidP="005319DD">
            <w:pPr>
              <w:ind w:left="0" w:firstLine="0"/>
            </w:pPr>
            <w:r>
              <w:t>Forward scattering factor [-]</w:t>
            </w:r>
          </w:p>
        </w:tc>
        <w:tc>
          <w:tcPr>
            <w:tcW w:w="993" w:type="dxa"/>
            <w:vAlign w:val="center"/>
          </w:tcPr>
          <w:p w14:paraId="100CE018" w14:textId="1ED53E79" w:rsidR="005319DD" w:rsidRDefault="005319DD" w:rsidP="005319DD">
            <w:pPr>
              <w:ind w:left="0" w:firstLine="0"/>
            </w:pPr>
            <w:proofErr w:type="spellStart"/>
            <w:r>
              <w:rPr>
                <w:rFonts w:ascii="Cambria" w:eastAsia="Cambria" w:hAnsi="Cambria" w:cs="Cambria"/>
                <w:i/>
              </w:rPr>
              <w:t>S</w:t>
            </w:r>
            <w:r>
              <w:rPr>
                <w:rFonts w:ascii="Cambria" w:eastAsia="Cambria" w:hAnsi="Cambria" w:cs="Cambria"/>
                <w:i/>
                <w:sz w:val="16"/>
              </w:rPr>
              <w:t>m</w:t>
            </w:r>
            <w:proofErr w:type="spellEnd"/>
          </w:p>
        </w:tc>
        <w:tc>
          <w:tcPr>
            <w:tcW w:w="4110" w:type="dxa"/>
            <w:vAlign w:val="center"/>
          </w:tcPr>
          <w:p w14:paraId="58FDB6AF" w14:textId="75CA62B3" w:rsidR="005319DD" w:rsidRDefault="005319DD" w:rsidP="005319DD">
            <w:pPr>
              <w:ind w:left="0" w:firstLine="0"/>
            </w:pPr>
            <w:r>
              <w:t>Momentum source term [</w:t>
            </w:r>
            <w:r>
              <w:rPr>
                <w:rFonts w:ascii="Cambria" w:eastAsia="Cambria" w:hAnsi="Cambria" w:cs="Cambria"/>
                <w:i/>
              </w:rPr>
              <w:t>N/m</w:t>
            </w:r>
            <w:r>
              <w:rPr>
                <w:rFonts w:ascii="Cambria" w:eastAsia="Cambria" w:hAnsi="Cambria" w:cs="Cambria"/>
                <w:vertAlign w:val="superscript"/>
              </w:rPr>
              <w:t>3</w:t>
            </w:r>
            <w:r>
              <w:t>]</w:t>
            </w:r>
          </w:p>
        </w:tc>
      </w:tr>
      <w:tr w:rsidR="005319DD" w14:paraId="6AB6D959" w14:textId="77777777" w:rsidTr="009226D9">
        <w:tc>
          <w:tcPr>
            <w:tcW w:w="864" w:type="dxa"/>
            <w:vAlign w:val="center"/>
          </w:tcPr>
          <w:p w14:paraId="0ADA804A" w14:textId="005FE633" w:rsidR="005319DD" w:rsidRDefault="005319DD" w:rsidP="005319DD">
            <w:pPr>
              <w:ind w:left="0" w:firstLine="0"/>
              <w:rPr>
                <w:rFonts w:ascii="Cambria" w:eastAsia="Cambria" w:hAnsi="Cambria" w:cs="Cambria"/>
                <w:i/>
              </w:rPr>
            </w:pPr>
            <w:r>
              <w:rPr>
                <w:rFonts w:ascii="Cambria" w:eastAsia="Cambria" w:hAnsi="Cambria" w:cs="Cambria"/>
                <w:i/>
              </w:rPr>
              <w:t>G</w:t>
            </w:r>
          </w:p>
        </w:tc>
        <w:tc>
          <w:tcPr>
            <w:tcW w:w="3543" w:type="dxa"/>
            <w:vAlign w:val="center"/>
          </w:tcPr>
          <w:p w14:paraId="7B783C58" w14:textId="7A0EEE3E" w:rsidR="005319DD" w:rsidRDefault="005319DD" w:rsidP="005319DD">
            <w:pPr>
              <w:ind w:left="0" w:firstLine="0"/>
            </w:pPr>
            <w:r>
              <w:t>Incident radiation [</w:t>
            </w:r>
            <w:r>
              <w:rPr>
                <w:rFonts w:ascii="Cambria" w:eastAsia="Cambria" w:hAnsi="Cambria" w:cs="Cambria"/>
                <w:i/>
              </w:rPr>
              <w:t>W/m</w:t>
            </w:r>
            <w:r>
              <w:rPr>
                <w:rFonts w:ascii="Cambria" w:eastAsia="Cambria" w:hAnsi="Cambria" w:cs="Cambria"/>
                <w:vertAlign w:val="superscript"/>
              </w:rPr>
              <w:t>2</w:t>
            </w:r>
            <w:r>
              <w:t>]</w:t>
            </w:r>
          </w:p>
        </w:tc>
        <w:tc>
          <w:tcPr>
            <w:tcW w:w="993" w:type="dxa"/>
            <w:vAlign w:val="bottom"/>
          </w:tcPr>
          <w:p w14:paraId="4EAFF547" w14:textId="70395673" w:rsidR="005319DD" w:rsidRDefault="005319DD" w:rsidP="005319DD">
            <w:pPr>
              <w:ind w:left="0" w:firstLine="0"/>
            </w:pPr>
            <w:proofErr w:type="spellStart"/>
            <w:r>
              <w:rPr>
                <w:rFonts w:ascii="Cambria" w:eastAsia="Cambria" w:hAnsi="Cambria" w:cs="Cambria"/>
                <w:i/>
              </w:rPr>
              <w:t>S</w:t>
            </w:r>
            <w:r>
              <w:rPr>
                <w:rFonts w:ascii="Cambria" w:eastAsia="Cambria" w:hAnsi="Cambria" w:cs="Cambria"/>
                <w:i/>
                <w:vertAlign w:val="subscript"/>
              </w:rPr>
              <w:t>h</w:t>
            </w:r>
            <w:proofErr w:type="spellEnd"/>
          </w:p>
        </w:tc>
        <w:tc>
          <w:tcPr>
            <w:tcW w:w="4110" w:type="dxa"/>
            <w:vAlign w:val="bottom"/>
          </w:tcPr>
          <w:p w14:paraId="4F6181A1" w14:textId="62B6697E" w:rsidR="005319DD" w:rsidRDefault="005319DD" w:rsidP="005319DD">
            <w:pPr>
              <w:ind w:left="0" w:firstLine="0"/>
            </w:pPr>
            <w:r>
              <w:t>Energy source term [</w:t>
            </w:r>
            <w:r>
              <w:rPr>
                <w:rFonts w:ascii="Cambria" w:eastAsia="Cambria" w:hAnsi="Cambria" w:cs="Cambria"/>
                <w:i/>
              </w:rPr>
              <w:t>W/m</w:t>
            </w:r>
            <w:r>
              <w:rPr>
                <w:rFonts w:ascii="Cambria" w:eastAsia="Cambria" w:hAnsi="Cambria" w:cs="Cambria"/>
                <w:vertAlign w:val="superscript"/>
              </w:rPr>
              <w:t>3</w:t>
            </w:r>
            <w:r>
              <w:t>]</w:t>
            </w:r>
          </w:p>
        </w:tc>
      </w:tr>
      <w:tr w:rsidR="005319DD" w14:paraId="2171F06B" w14:textId="77777777" w:rsidTr="009226D9">
        <w:tc>
          <w:tcPr>
            <w:tcW w:w="864" w:type="dxa"/>
            <w:vAlign w:val="center"/>
          </w:tcPr>
          <w:p w14:paraId="3B456B61" w14:textId="29D6B7D0" w:rsidR="005319DD" w:rsidRDefault="005319DD" w:rsidP="005319DD">
            <w:pPr>
              <w:ind w:left="0" w:firstLine="0"/>
              <w:rPr>
                <w:rFonts w:ascii="Cambria" w:eastAsia="Cambria" w:hAnsi="Cambria" w:cs="Cambria"/>
                <w:i/>
              </w:rPr>
            </w:pPr>
            <w:r>
              <w:rPr>
                <w:rFonts w:ascii="Cambria" w:eastAsia="Cambria" w:hAnsi="Cambria" w:cs="Cambria"/>
                <w:i/>
              </w:rPr>
              <w:t>g</w:t>
            </w:r>
          </w:p>
        </w:tc>
        <w:tc>
          <w:tcPr>
            <w:tcW w:w="3543" w:type="dxa"/>
            <w:vAlign w:val="center"/>
          </w:tcPr>
          <w:p w14:paraId="71352FA5" w14:textId="2D566F05" w:rsidR="005319DD" w:rsidRDefault="005319DD" w:rsidP="005319DD">
            <w:pPr>
              <w:ind w:left="0" w:firstLine="0"/>
            </w:pPr>
            <w:r>
              <w:t>Gravitational constant [</w:t>
            </w:r>
            <w:r>
              <w:rPr>
                <w:rFonts w:ascii="Cambria" w:eastAsia="Cambria" w:hAnsi="Cambria" w:cs="Cambria"/>
                <w:i/>
              </w:rPr>
              <w:t>m/s</w:t>
            </w:r>
            <w:r>
              <w:rPr>
                <w:rFonts w:ascii="Cambria" w:eastAsia="Cambria" w:hAnsi="Cambria" w:cs="Cambria"/>
                <w:vertAlign w:val="superscript"/>
              </w:rPr>
              <w:t>2</w:t>
            </w:r>
            <w:r>
              <w:t>]</w:t>
            </w:r>
          </w:p>
        </w:tc>
        <w:tc>
          <w:tcPr>
            <w:tcW w:w="993" w:type="dxa"/>
          </w:tcPr>
          <w:p w14:paraId="2071C1C2" w14:textId="6F51CDBF" w:rsidR="005319DD" w:rsidRDefault="005319DD" w:rsidP="005319DD">
            <w:pPr>
              <w:ind w:left="0" w:firstLine="0"/>
            </w:pPr>
            <w:proofErr w:type="spellStart"/>
            <w:r>
              <w:rPr>
                <w:rFonts w:ascii="Cambria" w:eastAsia="Cambria" w:hAnsi="Cambria" w:cs="Cambria"/>
                <w:i/>
              </w:rPr>
              <w:t>S</w:t>
            </w:r>
            <w:r>
              <w:rPr>
                <w:rFonts w:ascii="Cambria" w:eastAsia="Cambria" w:hAnsi="Cambria" w:cs="Cambria"/>
                <w:i/>
                <w:vertAlign w:val="subscript"/>
              </w:rPr>
              <w:t>k</w:t>
            </w:r>
            <w:proofErr w:type="spellEnd"/>
          </w:p>
        </w:tc>
        <w:tc>
          <w:tcPr>
            <w:tcW w:w="4110" w:type="dxa"/>
          </w:tcPr>
          <w:p w14:paraId="4722E9D8" w14:textId="304F1D03" w:rsidR="005319DD" w:rsidRDefault="005319DD" w:rsidP="005319DD">
            <w:pPr>
              <w:ind w:left="0" w:firstLine="0"/>
            </w:pPr>
            <w:r>
              <w:t>Species source term [</w:t>
            </w:r>
            <w:r>
              <w:rPr>
                <w:rFonts w:ascii="Cambria" w:eastAsia="Cambria" w:hAnsi="Cambria" w:cs="Cambria"/>
                <w:i/>
              </w:rPr>
              <w:t>kg/m</w:t>
            </w:r>
            <w:r>
              <w:rPr>
                <w:rFonts w:ascii="Cambria" w:eastAsia="Cambria" w:hAnsi="Cambria" w:cs="Cambria"/>
                <w:vertAlign w:val="superscript"/>
              </w:rPr>
              <w:t>3</w:t>
            </w:r>
            <w:r>
              <w:t>]</w:t>
            </w:r>
          </w:p>
        </w:tc>
      </w:tr>
      <w:tr w:rsidR="005319DD" w14:paraId="38367148" w14:textId="77777777" w:rsidTr="009226D9">
        <w:tc>
          <w:tcPr>
            <w:tcW w:w="864" w:type="dxa"/>
            <w:vAlign w:val="center"/>
          </w:tcPr>
          <w:p w14:paraId="7106D328" w14:textId="67EDDF17" w:rsidR="005319DD" w:rsidRDefault="005319DD" w:rsidP="005319DD">
            <w:pPr>
              <w:ind w:left="0" w:firstLine="0"/>
              <w:rPr>
                <w:rFonts w:ascii="Cambria" w:eastAsia="Cambria" w:hAnsi="Cambria" w:cs="Cambria"/>
                <w:i/>
              </w:rPr>
            </w:pPr>
            <w:proofErr w:type="spellStart"/>
            <w:r>
              <w:rPr>
                <w:rFonts w:ascii="Cambria" w:eastAsia="Cambria" w:hAnsi="Cambria" w:cs="Cambria"/>
                <w:i/>
              </w:rPr>
              <w:t>h</w:t>
            </w:r>
            <w:r>
              <w:rPr>
                <w:rFonts w:ascii="Cambria" w:eastAsia="Cambria" w:hAnsi="Cambria" w:cs="Cambria"/>
                <w:i/>
                <w:sz w:val="16"/>
              </w:rPr>
              <w:t>fg</w:t>
            </w:r>
            <w:proofErr w:type="spellEnd"/>
          </w:p>
        </w:tc>
        <w:tc>
          <w:tcPr>
            <w:tcW w:w="3543" w:type="dxa"/>
            <w:vAlign w:val="center"/>
          </w:tcPr>
          <w:p w14:paraId="2DDF9F71" w14:textId="2B94721D" w:rsidR="005319DD" w:rsidRDefault="005319DD" w:rsidP="005319DD">
            <w:pPr>
              <w:ind w:left="0" w:firstLine="0"/>
            </w:pPr>
            <w:r>
              <w:t>Enthalpy of evaporation [</w:t>
            </w:r>
            <w:r>
              <w:rPr>
                <w:rFonts w:ascii="Cambria" w:eastAsia="Cambria" w:hAnsi="Cambria" w:cs="Cambria"/>
                <w:i/>
              </w:rPr>
              <w:t>J/kg</w:t>
            </w:r>
            <w:r>
              <w:t>]</w:t>
            </w:r>
          </w:p>
        </w:tc>
        <w:tc>
          <w:tcPr>
            <w:tcW w:w="993" w:type="dxa"/>
            <w:vAlign w:val="center"/>
          </w:tcPr>
          <w:p w14:paraId="76F479E7" w14:textId="6618C30C" w:rsidR="005319DD" w:rsidRDefault="005319DD" w:rsidP="005319DD">
            <w:pPr>
              <w:ind w:left="0" w:firstLine="0"/>
            </w:pPr>
            <w:proofErr w:type="spellStart"/>
            <w:r>
              <w:rPr>
                <w:rFonts w:ascii="Cambria" w:eastAsia="Cambria" w:hAnsi="Cambria" w:cs="Cambria"/>
                <w:i/>
              </w:rPr>
              <w:t>T</w:t>
            </w:r>
            <w:r>
              <w:rPr>
                <w:rFonts w:ascii="Cambria" w:eastAsia="Cambria" w:hAnsi="Cambria" w:cs="Cambria"/>
                <w:i/>
                <w:vertAlign w:val="subscript"/>
              </w:rPr>
              <w:t>g</w:t>
            </w:r>
            <w:proofErr w:type="spellEnd"/>
          </w:p>
        </w:tc>
        <w:tc>
          <w:tcPr>
            <w:tcW w:w="4110" w:type="dxa"/>
            <w:vAlign w:val="center"/>
          </w:tcPr>
          <w:p w14:paraId="1BF59A8A" w14:textId="5EFF7DB9" w:rsidR="005319DD" w:rsidRDefault="005319DD" w:rsidP="005319DD">
            <w:pPr>
              <w:ind w:left="0" w:firstLine="0"/>
            </w:pPr>
            <w:r>
              <w:t>Gas temperature [</w:t>
            </w:r>
            <w:r>
              <w:rPr>
                <w:rFonts w:ascii="Cambria" w:eastAsia="Cambria" w:hAnsi="Cambria" w:cs="Cambria"/>
                <w:i/>
              </w:rPr>
              <w:t>K</w:t>
            </w:r>
            <w:r>
              <w:t>]</w:t>
            </w:r>
          </w:p>
        </w:tc>
      </w:tr>
      <w:tr w:rsidR="005319DD" w14:paraId="66E5E90B" w14:textId="77777777" w:rsidTr="009226D9">
        <w:tc>
          <w:tcPr>
            <w:tcW w:w="864" w:type="dxa"/>
            <w:vAlign w:val="center"/>
          </w:tcPr>
          <w:p w14:paraId="1C20F27C" w14:textId="78EA8691" w:rsidR="005319DD" w:rsidRDefault="005319DD" w:rsidP="005319DD">
            <w:pPr>
              <w:ind w:left="0" w:firstLine="0"/>
              <w:rPr>
                <w:rFonts w:ascii="Cambria" w:eastAsia="Cambria" w:hAnsi="Cambria" w:cs="Cambria"/>
                <w:i/>
              </w:rPr>
            </w:pPr>
            <w:proofErr w:type="spellStart"/>
            <w:r>
              <w:rPr>
                <w:rFonts w:ascii="Cambria" w:eastAsia="Cambria" w:hAnsi="Cambria" w:cs="Cambria"/>
                <w:i/>
              </w:rPr>
              <w:t>h</w:t>
            </w:r>
            <w:r>
              <w:rPr>
                <w:rFonts w:ascii="Cambria" w:eastAsia="Cambria" w:hAnsi="Cambria" w:cs="Cambria"/>
                <w:i/>
                <w:sz w:val="16"/>
              </w:rPr>
              <w:t>M</w:t>
            </w:r>
            <w:proofErr w:type="spellEnd"/>
          </w:p>
        </w:tc>
        <w:tc>
          <w:tcPr>
            <w:tcW w:w="3543" w:type="dxa"/>
            <w:vAlign w:val="center"/>
          </w:tcPr>
          <w:p w14:paraId="370338BE" w14:textId="5839662E" w:rsidR="005319DD" w:rsidRDefault="005319DD" w:rsidP="005319DD">
            <w:pPr>
              <w:ind w:left="0" w:firstLine="0"/>
            </w:pPr>
            <w:r>
              <w:t>Mixture enthalpy [</w:t>
            </w:r>
            <w:r>
              <w:rPr>
                <w:rFonts w:ascii="Cambria" w:eastAsia="Cambria" w:hAnsi="Cambria" w:cs="Cambria"/>
                <w:i/>
              </w:rPr>
              <w:t>J/kg</w:t>
            </w:r>
            <w:r>
              <w:t>]</w:t>
            </w:r>
          </w:p>
        </w:tc>
        <w:tc>
          <w:tcPr>
            <w:tcW w:w="993" w:type="dxa"/>
            <w:vAlign w:val="center"/>
          </w:tcPr>
          <w:p w14:paraId="11A4A59F" w14:textId="0A86FE4C" w:rsidR="005319DD" w:rsidRDefault="005319DD" w:rsidP="005319DD">
            <w:pPr>
              <w:ind w:left="0" w:firstLine="0"/>
            </w:pPr>
            <w:proofErr w:type="spellStart"/>
            <w:r>
              <w:rPr>
                <w:rFonts w:ascii="Cambria" w:eastAsia="Cambria" w:hAnsi="Cambria" w:cs="Cambria"/>
                <w:i/>
              </w:rPr>
              <w:t>T</w:t>
            </w:r>
            <w:r>
              <w:rPr>
                <w:rFonts w:ascii="Cambria" w:eastAsia="Cambria" w:hAnsi="Cambria" w:cs="Cambria"/>
                <w:i/>
                <w:vertAlign w:val="subscript"/>
              </w:rPr>
              <w:t>p</w:t>
            </w:r>
            <w:proofErr w:type="spellEnd"/>
          </w:p>
        </w:tc>
        <w:tc>
          <w:tcPr>
            <w:tcW w:w="4110" w:type="dxa"/>
            <w:vAlign w:val="center"/>
          </w:tcPr>
          <w:p w14:paraId="74727B02" w14:textId="77D66626" w:rsidR="005319DD" w:rsidRDefault="005319DD" w:rsidP="005319DD">
            <w:pPr>
              <w:ind w:left="0" w:firstLine="0"/>
            </w:pPr>
            <w:r>
              <w:t>Particle temperature [</w:t>
            </w:r>
            <w:r>
              <w:rPr>
                <w:rFonts w:ascii="Cambria" w:eastAsia="Cambria" w:hAnsi="Cambria" w:cs="Cambria"/>
                <w:i/>
              </w:rPr>
              <w:t>K</w:t>
            </w:r>
            <w:r>
              <w:t>]</w:t>
            </w:r>
          </w:p>
        </w:tc>
      </w:tr>
      <w:tr w:rsidR="005319DD" w14:paraId="5D4868F4" w14:textId="77777777" w:rsidTr="009226D9">
        <w:tc>
          <w:tcPr>
            <w:tcW w:w="864" w:type="dxa"/>
            <w:vAlign w:val="center"/>
          </w:tcPr>
          <w:p w14:paraId="4D926F0D" w14:textId="2D11D624" w:rsidR="005319DD" w:rsidRDefault="005319DD" w:rsidP="005319DD">
            <w:pPr>
              <w:ind w:left="0" w:firstLine="0"/>
              <w:rPr>
                <w:rFonts w:ascii="Cambria" w:eastAsia="Cambria" w:hAnsi="Cambria" w:cs="Cambria"/>
                <w:i/>
              </w:rPr>
            </w:pPr>
            <w:proofErr w:type="spellStart"/>
            <w:r>
              <w:rPr>
                <w:rFonts w:ascii="Cambria" w:eastAsia="Cambria" w:hAnsi="Cambria" w:cs="Cambria"/>
                <w:i/>
              </w:rPr>
              <w:t>h</w:t>
            </w:r>
            <w:r>
              <w:rPr>
                <w:rFonts w:ascii="Cambria" w:eastAsia="Cambria" w:hAnsi="Cambria" w:cs="Cambria"/>
                <w:i/>
                <w:sz w:val="16"/>
              </w:rPr>
              <w:t>rxn</w:t>
            </w:r>
            <w:proofErr w:type="spellEnd"/>
          </w:p>
        </w:tc>
        <w:tc>
          <w:tcPr>
            <w:tcW w:w="3543" w:type="dxa"/>
            <w:vAlign w:val="center"/>
          </w:tcPr>
          <w:p w14:paraId="05BB1F57" w14:textId="2050FE58" w:rsidR="005319DD" w:rsidRDefault="005319DD" w:rsidP="005319DD">
            <w:pPr>
              <w:ind w:left="0" w:firstLine="0"/>
            </w:pPr>
            <w:r>
              <w:t>Enthalpy of reaction [</w:t>
            </w:r>
            <w:r>
              <w:rPr>
                <w:rFonts w:ascii="Cambria" w:eastAsia="Cambria" w:hAnsi="Cambria" w:cs="Cambria"/>
                <w:i/>
              </w:rPr>
              <w:t>J/kg</w:t>
            </w:r>
            <w:r>
              <w:t>]</w:t>
            </w:r>
          </w:p>
        </w:tc>
        <w:tc>
          <w:tcPr>
            <w:tcW w:w="993" w:type="dxa"/>
            <w:vAlign w:val="center"/>
          </w:tcPr>
          <w:p w14:paraId="76AE095F" w14:textId="7719B703" w:rsidR="005319DD" w:rsidRDefault="005319DD" w:rsidP="005319DD">
            <w:pPr>
              <w:ind w:left="0" w:firstLine="0"/>
            </w:pPr>
            <w:proofErr w:type="spellStart"/>
            <w:r>
              <w:rPr>
                <w:rFonts w:ascii="Cambria" w:eastAsia="Cambria" w:hAnsi="Cambria" w:cs="Cambria"/>
                <w:i/>
              </w:rPr>
              <w:t>T</w:t>
            </w:r>
            <w:r>
              <w:rPr>
                <w:rFonts w:ascii="Cambria" w:eastAsia="Cambria" w:hAnsi="Cambria" w:cs="Cambria"/>
                <w:i/>
                <w:sz w:val="16"/>
              </w:rPr>
              <w:t>wall,i</w:t>
            </w:r>
            <w:proofErr w:type="spellEnd"/>
          </w:p>
        </w:tc>
        <w:tc>
          <w:tcPr>
            <w:tcW w:w="4110" w:type="dxa"/>
            <w:vAlign w:val="center"/>
          </w:tcPr>
          <w:p w14:paraId="0DAA6745" w14:textId="308EEDFE" w:rsidR="005319DD" w:rsidRDefault="005319DD" w:rsidP="005319DD">
            <w:pPr>
              <w:ind w:left="0" w:firstLine="0"/>
            </w:pPr>
            <w:r>
              <w:t>Wall temperature [</w:t>
            </w:r>
            <w:r>
              <w:rPr>
                <w:rFonts w:ascii="Cambria" w:eastAsia="Cambria" w:hAnsi="Cambria" w:cs="Cambria"/>
                <w:i/>
              </w:rPr>
              <w:t>K</w:t>
            </w:r>
            <w:r>
              <w:t>]</w:t>
            </w:r>
          </w:p>
        </w:tc>
      </w:tr>
      <w:tr w:rsidR="005319DD" w14:paraId="7AB29F78" w14:textId="77777777" w:rsidTr="009226D9">
        <w:tc>
          <w:tcPr>
            <w:tcW w:w="864" w:type="dxa"/>
            <w:vAlign w:val="bottom"/>
          </w:tcPr>
          <w:p w14:paraId="1F9E3977" w14:textId="5E3A3296" w:rsidR="005319DD" w:rsidRDefault="005319DD" w:rsidP="005319DD">
            <w:pPr>
              <w:ind w:left="0" w:firstLine="0"/>
              <w:rPr>
                <w:rFonts w:ascii="Cambria" w:eastAsia="Cambria" w:hAnsi="Cambria" w:cs="Cambria"/>
                <w:i/>
              </w:rPr>
            </w:pPr>
            <w:proofErr w:type="spellStart"/>
            <w:r>
              <w:rPr>
                <w:rFonts w:ascii="Cambria" w:eastAsia="Cambria" w:hAnsi="Cambria" w:cs="Cambria"/>
                <w:i/>
              </w:rPr>
              <w:t>J</w:t>
            </w:r>
            <w:r>
              <w:rPr>
                <w:rFonts w:ascii="Cambria" w:eastAsia="Cambria" w:hAnsi="Cambria" w:cs="Cambria"/>
                <w:i/>
                <w:vertAlign w:val="subscript"/>
              </w:rPr>
              <w:t>k</w:t>
            </w:r>
            <w:proofErr w:type="spellEnd"/>
          </w:p>
        </w:tc>
        <w:tc>
          <w:tcPr>
            <w:tcW w:w="3543" w:type="dxa"/>
            <w:vAlign w:val="bottom"/>
          </w:tcPr>
          <w:p w14:paraId="140F4C3F" w14:textId="79B37C4E" w:rsidR="005319DD" w:rsidRDefault="005319DD" w:rsidP="005319DD">
            <w:pPr>
              <w:ind w:left="0" w:firstLine="0"/>
            </w:pPr>
            <w:r>
              <w:t>Species diffusion flux [</w:t>
            </w:r>
            <w:r>
              <w:rPr>
                <w:rFonts w:ascii="Cambria" w:eastAsia="Cambria" w:hAnsi="Cambria" w:cs="Cambria"/>
                <w:i/>
              </w:rPr>
              <w:t>m</w:t>
            </w:r>
            <w:r>
              <w:rPr>
                <w:rFonts w:ascii="Cambria" w:eastAsia="Cambria" w:hAnsi="Cambria" w:cs="Cambria"/>
                <w:vertAlign w:val="superscript"/>
              </w:rPr>
              <w:t>2</w:t>
            </w:r>
            <w:r>
              <w:rPr>
                <w:rFonts w:ascii="Cambria" w:eastAsia="Cambria" w:hAnsi="Cambria" w:cs="Cambria"/>
                <w:i/>
              </w:rPr>
              <w:t>/s</w:t>
            </w:r>
            <w:r>
              <w:t>]</w:t>
            </w:r>
          </w:p>
        </w:tc>
        <w:tc>
          <w:tcPr>
            <w:tcW w:w="993" w:type="dxa"/>
            <w:vAlign w:val="center"/>
          </w:tcPr>
          <w:p w14:paraId="29ECC157" w14:textId="764D0582" w:rsidR="005319DD" w:rsidRDefault="005319DD" w:rsidP="005319DD">
            <w:pPr>
              <w:ind w:left="0" w:firstLine="0"/>
            </w:pPr>
            <w:proofErr w:type="spellStart"/>
            <w:r>
              <w:rPr>
                <w:rFonts w:ascii="Cambria" w:eastAsia="Cambria" w:hAnsi="Cambria" w:cs="Cambria"/>
                <w:i/>
              </w:rPr>
              <w:t>T</w:t>
            </w:r>
            <w:r>
              <w:rPr>
                <w:rFonts w:ascii="Cambria" w:eastAsia="Cambria" w:hAnsi="Cambria" w:cs="Cambria"/>
                <w:i/>
                <w:sz w:val="16"/>
              </w:rPr>
              <w:t>water</w:t>
            </w:r>
            <w:proofErr w:type="spellEnd"/>
          </w:p>
        </w:tc>
        <w:tc>
          <w:tcPr>
            <w:tcW w:w="4110" w:type="dxa"/>
            <w:vAlign w:val="center"/>
          </w:tcPr>
          <w:p w14:paraId="7AC1DFC6" w14:textId="03D93D13" w:rsidR="005319DD" w:rsidRDefault="005319DD" w:rsidP="005319DD">
            <w:pPr>
              <w:ind w:left="0" w:firstLine="0"/>
            </w:pPr>
            <w:r>
              <w:t>Water temperature [</w:t>
            </w:r>
            <w:r>
              <w:rPr>
                <w:rFonts w:ascii="Cambria" w:eastAsia="Cambria" w:hAnsi="Cambria" w:cs="Cambria"/>
                <w:i/>
              </w:rPr>
              <w:t>K</w:t>
            </w:r>
            <w:r>
              <w:t>]</w:t>
            </w:r>
          </w:p>
        </w:tc>
      </w:tr>
      <w:tr w:rsidR="005319DD" w14:paraId="3A18D6D6" w14:textId="77777777" w:rsidTr="009226D9">
        <w:tc>
          <w:tcPr>
            <w:tcW w:w="864" w:type="dxa"/>
          </w:tcPr>
          <w:p w14:paraId="38F9B78D" w14:textId="2A3339FD" w:rsidR="005319DD" w:rsidRDefault="005319DD" w:rsidP="005319DD">
            <w:pPr>
              <w:ind w:left="0" w:firstLine="0"/>
              <w:rPr>
                <w:rFonts w:ascii="Cambria" w:eastAsia="Cambria" w:hAnsi="Cambria" w:cs="Cambria"/>
                <w:i/>
              </w:rPr>
            </w:pPr>
            <w:r>
              <w:rPr>
                <w:rFonts w:ascii="Cambria" w:eastAsia="Cambria" w:hAnsi="Cambria" w:cs="Cambria"/>
                <w:i/>
              </w:rPr>
              <w:t>m</w:t>
            </w:r>
            <w:r>
              <w:rPr>
                <w:rFonts w:ascii="Cambria" w:eastAsia="Cambria" w:hAnsi="Cambria" w:cs="Cambria"/>
                <w:sz w:val="16"/>
              </w:rPr>
              <w:t>0</w:t>
            </w:r>
            <w:r>
              <w:rPr>
                <w:rFonts w:ascii="Cambria" w:eastAsia="Cambria" w:hAnsi="Cambria" w:cs="Cambria"/>
                <w:i/>
                <w:sz w:val="16"/>
              </w:rPr>
              <w:t>,vol</w:t>
            </w:r>
          </w:p>
        </w:tc>
        <w:tc>
          <w:tcPr>
            <w:tcW w:w="3543" w:type="dxa"/>
          </w:tcPr>
          <w:p w14:paraId="5F036919" w14:textId="0A446858" w:rsidR="005319DD" w:rsidRDefault="005319DD" w:rsidP="005319DD">
            <w:pPr>
              <w:ind w:left="0" w:firstLine="0"/>
            </w:pPr>
            <w:r>
              <w:t>Original mass of volatiles [</w:t>
            </w:r>
            <w:r>
              <w:rPr>
                <w:rFonts w:ascii="Cambria" w:eastAsia="Cambria" w:hAnsi="Cambria" w:cs="Cambria"/>
                <w:i/>
              </w:rPr>
              <w:t>kg</w:t>
            </w:r>
            <w:r>
              <w:t>]</w:t>
            </w:r>
          </w:p>
        </w:tc>
        <w:tc>
          <w:tcPr>
            <w:tcW w:w="993" w:type="dxa"/>
            <w:vAlign w:val="center"/>
          </w:tcPr>
          <w:p w14:paraId="20E3CBDC" w14:textId="5B5D6779" w:rsidR="005319DD" w:rsidRDefault="005319DD" w:rsidP="005319DD">
            <w:pPr>
              <w:ind w:left="0" w:firstLine="0"/>
            </w:pPr>
            <w:r>
              <w:rPr>
                <w:rFonts w:ascii="Cambria" w:eastAsia="Cambria" w:hAnsi="Cambria" w:cs="Cambria"/>
                <w:i/>
              </w:rPr>
              <w:t>t</w:t>
            </w:r>
          </w:p>
        </w:tc>
        <w:tc>
          <w:tcPr>
            <w:tcW w:w="4110" w:type="dxa"/>
            <w:vAlign w:val="center"/>
          </w:tcPr>
          <w:p w14:paraId="5E10805A" w14:textId="295776AF" w:rsidR="005319DD" w:rsidRDefault="005319DD" w:rsidP="005319DD">
            <w:pPr>
              <w:ind w:left="0" w:firstLine="0"/>
            </w:pPr>
            <w:r>
              <w:t>Time [</w:t>
            </w:r>
            <w:r>
              <w:rPr>
                <w:rFonts w:ascii="Cambria" w:eastAsia="Cambria" w:hAnsi="Cambria" w:cs="Cambria"/>
                <w:i/>
              </w:rPr>
              <w:t>s</w:t>
            </w:r>
            <w:r>
              <w:t>]</w:t>
            </w:r>
          </w:p>
        </w:tc>
      </w:tr>
      <w:tr w:rsidR="005319DD" w14:paraId="0B7FAFF4" w14:textId="77777777" w:rsidTr="009226D9">
        <w:tc>
          <w:tcPr>
            <w:tcW w:w="864" w:type="dxa"/>
            <w:vAlign w:val="center"/>
          </w:tcPr>
          <w:p w14:paraId="7350A6F6" w14:textId="7D63ABBE" w:rsidR="005319DD" w:rsidRDefault="005319DD" w:rsidP="005319DD">
            <w:pPr>
              <w:ind w:left="0" w:firstLine="0"/>
              <w:rPr>
                <w:rFonts w:ascii="Cambria" w:eastAsia="Cambria" w:hAnsi="Cambria" w:cs="Cambria"/>
                <w:i/>
              </w:rPr>
            </w:pPr>
            <w:proofErr w:type="spellStart"/>
            <w:r>
              <w:rPr>
                <w:rFonts w:ascii="Cambria" w:eastAsia="Cambria" w:hAnsi="Cambria" w:cs="Cambria"/>
                <w:i/>
              </w:rPr>
              <w:t>m</w:t>
            </w:r>
            <w:r>
              <w:rPr>
                <w:rFonts w:ascii="Cambria" w:eastAsia="Cambria" w:hAnsi="Cambria" w:cs="Cambria"/>
                <w:i/>
                <w:sz w:val="16"/>
              </w:rPr>
              <w:t>char</w:t>
            </w:r>
            <w:proofErr w:type="spellEnd"/>
          </w:p>
        </w:tc>
        <w:tc>
          <w:tcPr>
            <w:tcW w:w="3543" w:type="dxa"/>
            <w:vAlign w:val="center"/>
          </w:tcPr>
          <w:p w14:paraId="78221430" w14:textId="73C08591" w:rsidR="005319DD" w:rsidRDefault="005319DD" w:rsidP="005319DD">
            <w:pPr>
              <w:ind w:left="0" w:firstLine="0"/>
            </w:pPr>
            <w:r>
              <w:t>Mass of carbon [</w:t>
            </w:r>
            <w:r>
              <w:rPr>
                <w:rFonts w:ascii="Cambria" w:eastAsia="Cambria" w:hAnsi="Cambria" w:cs="Cambria"/>
                <w:i/>
              </w:rPr>
              <w:t>kg</w:t>
            </w:r>
            <w:r>
              <w:t>]</w:t>
            </w:r>
          </w:p>
        </w:tc>
        <w:tc>
          <w:tcPr>
            <w:tcW w:w="993" w:type="dxa"/>
          </w:tcPr>
          <w:p w14:paraId="4E6D7A23" w14:textId="1B70D65E" w:rsidR="005319DD" w:rsidRDefault="005319DD" w:rsidP="005319DD">
            <w:pPr>
              <w:ind w:left="0" w:firstLine="0"/>
            </w:pPr>
            <w:r>
              <w:rPr>
                <w:rFonts w:ascii="Cambria" w:eastAsia="Cambria" w:hAnsi="Cambria" w:cs="Cambria"/>
                <w:i/>
              </w:rPr>
              <w:t>U</w:t>
            </w:r>
            <w:r>
              <w:rPr>
                <w:rFonts w:ascii="Cambria" w:eastAsia="Cambria" w:hAnsi="Cambria" w:cs="Cambria"/>
                <w:i/>
                <w:vertAlign w:val="subscript"/>
              </w:rPr>
              <w:t>i</w:t>
            </w:r>
          </w:p>
        </w:tc>
        <w:tc>
          <w:tcPr>
            <w:tcW w:w="4110" w:type="dxa"/>
            <w:vAlign w:val="center"/>
          </w:tcPr>
          <w:p w14:paraId="52DC8FDE" w14:textId="77777777" w:rsidR="005319DD" w:rsidRDefault="005319DD" w:rsidP="005319DD">
            <w:pPr>
              <w:spacing w:after="169" w:line="259" w:lineRule="auto"/>
              <w:ind w:left="0" w:firstLine="0"/>
            </w:pPr>
            <w:r>
              <w:t>Overall heat transfer coefficient</w:t>
            </w:r>
          </w:p>
          <w:p w14:paraId="58F35E90" w14:textId="72880891" w:rsidR="005319DD" w:rsidRDefault="005319DD" w:rsidP="005319DD">
            <w:pPr>
              <w:ind w:left="0" w:firstLine="0"/>
            </w:pPr>
            <w:r>
              <w:t>[</w:t>
            </w:r>
            <w:r>
              <w:rPr>
                <w:rFonts w:ascii="Cambria" w:eastAsia="Cambria" w:hAnsi="Cambria" w:cs="Cambria"/>
                <w:i/>
              </w:rPr>
              <w:t>W/m</w:t>
            </w:r>
            <w:r>
              <w:rPr>
                <w:rFonts w:ascii="Cambria" w:eastAsia="Cambria" w:hAnsi="Cambria" w:cs="Cambria"/>
                <w:vertAlign w:val="superscript"/>
              </w:rPr>
              <w:t>2</w:t>
            </w:r>
            <w:r>
              <w:rPr>
                <w:rFonts w:ascii="Cambria" w:eastAsia="Cambria" w:hAnsi="Cambria" w:cs="Cambria"/>
                <w:i/>
              </w:rPr>
              <w:t>K</w:t>
            </w:r>
            <w:r>
              <w:t>]</w:t>
            </w:r>
          </w:p>
        </w:tc>
      </w:tr>
      <w:tr w:rsidR="005319DD" w14:paraId="0983A877" w14:textId="77777777" w:rsidTr="009226D9">
        <w:tc>
          <w:tcPr>
            <w:tcW w:w="864" w:type="dxa"/>
            <w:vAlign w:val="center"/>
          </w:tcPr>
          <w:p w14:paraId="55E86602" w14:textId="3BD0FB18" w:rsidR="005319DD" w:rsidRDefault="005319DD" w:rsidP="005319DD">
            <w:pPr>
              <w:ind w:left="0" w:firstLine="0"/>
              <w:rPr>
                <w:rFonts w:ascii="Cambria" w:eastAsia="Cambria" w:hAnsi="Cambria" w:cs="Cambria"/>
                <w:i/>
              </w:rPr>
            </w:pPr>
            <w:proofErr w:type="spellStart"/>
            <w:r>
              <w:rPr>
                <w:rFonts w:ascii="Cambria" w:eastAsia="Cambria" w:hAnsi="Cambria" w:cs="Cambria"/>
                <w:i/>
              </w:rPr>
              <w:t>m</w:t>
            </w:r>
            <w:r>
              <w:rPr>
                <w:rFonts w:ascii="Cambria" w:eastAsia="Cambria" w:hAnsi="Cambria" w:cs="Cambria"/>
                <w:i/>
                <w:sz w:val="16"/>
              </w:rPr>
              <w:t>evap</w:t>
            </w:r>
            <w:proofErr w:type="spellEnd"/>
          </w:p>
        </w:tc>
        <w:tc>
          <w:tcPr>
            <w:tcW w:w="3543" w:type="dxa"/>
            <w:vAlign w:val="center"/>
          </w:tcPr>
          <w:p w14:paraId="4F9E4593" w14:textId="5B3DA574" w:rsidR="005319DD" w:rsidRDefault="005319DD" w:rsidP="005319DD">
            <w:pPr>
              <w:ind w:left="0" w:firstLine="0"/>
            </w:pPr>
            <w:r>
              <w:t>Mass of moisture [</w:t>
            </w:r>
            <w:r>
              <w:rPr>
                <w:rFonts w:ascii="Cambria" w:eastAsia="Cambria" w:hAnsi="Cambria" w:cs="Cambria"/>
                <w:i/>
              </w:rPr>
              <w:t>kg</w:t>
            </w:r>
            <w:r>
              <w:t>]</w:t>
            </w:r>
          </w:p>
        </w:tc>
        <w:tc>
          <w:tcPr>
            <w:tcW w:w="993" w:type="dxa"/>
            <w:vAlign w:val="center"/>
          </w:tcPr>
          <w:p w14:paraId="05DFF2FF" w14:textId="67BDA978" w:rsidR="005319DD" w:rsidRDefault="005319DD" w:rsidP="005319DD">
            <w:pPr>
              <w:ind w:left="0" w:firstLine="0"/>
            </w:pPr>
            <w:r>
              <w:rPr>
                <w:rFonts w:ascii="Cambria" w:eastAsia="Cambria" w:hAnsi="Cambria" w:cs="Cambria"/>
                <w:i/>
              </w:rPr>
              <w:t>u</w:t>
            </w:r>
          </w:p>
        </w:tc>
        <w:tc>
          <w:tcPr>
            <w:tcW w:w="4110" w:type="dxa"/>
            <w:vAlign w:val="center"/>
          </w:tcPr>
          <w:p w14:paraId="7B79C4E6" w14:textId="721B581A" w:rsidR="005319DD" w:rsidRDefault="005319DD" w:rsidP="005319DD">
            <w:pPr>
              <w:ind w:left="0" w:firstLine="0"/>
            </w:pPr>
            <w:r>
              <w:t>Velocity [</w:t>
            </w:r>
            <w:r>
              <w:rPr>
                <w:rFonts w:ascii="Cambria" w:eastAsia="Cambria" w:hAnsi="Cambria" w:cs="Cambria"/>
                <w:i/>
              </w:rPr>
              <w:t>m/s</w:t>
            </w:r>
            <w:r>
              <w:t>]</w:t>
            </w:r>
          </w:p>
        </w:tc>
      </w:tr>
      <w:tr w:rsidR="005319DD" w14:paraId="2EBE2AA1" w14:textId="77777777" w:rsidTr="009226D9">
        <w:tc>
          <w:tcPr>
            <w:tcW w:w="864" w:type="dxa"/>
            <w:vAlign w:val="center"/>
          </w:tcPr>
          <w:p w14:paraId="3D730917" w14:textId="670135E5" w:rsidR="005319DD" w:rsidRDefault="005319DD" w:rsidP="005319DD">
            <w:pPr>
              <w:ind w:left="0" w:firstLine="0"/>
              <w:rPr>
                <w:rFonts w:ascii="Cambria" w:eastAsia="Cambria" w:hAnsi="Cambria" w:cs="Cambria"/>
                <w:i/>
              </w:rPr>
            </w:pPr>
            <w:proofErr w:type="spellStart"/>
            <w:r>
              <w:rPr>
                <w:rFonts w:ascii="Cambria" w:eastAsia="Cambria" w:hAnsi="Cambria" w:cs="Cambria"/>
                <w:i/>
              </w:rPr>
              <w:t>m</w:t>
            </w:r>
            <w:r>
              <w:rPr>
                <w:rFonts w:ascii="Cambria" w:eastAsia="Cambria" w:hAnsi="Cambria" w:cs="Cambria"/>
                <w:i/>
                <w:sz w:val="16"/>
              </w:rPr>
              <w:t>vol</w:t>
            </w:r>
            <w:proofErr w:type="spellEnd"/>
          </w:p>
        </w:tc>
        <w:tc>
          <w:tcPr>
            <w:tcW w:w="3543" w:type="dxa"/>
            <w:vAlign w:val="center"/>
          </w:tcPr>
          <w:p w14:paraId="01309638" w14:textId="347D7B77" w:rsidR="005319DD" w:rsidRDefault="005319DD" w:rsidP="005319DD">
            <w:pPr>
              <w:ind w:left="0" w:firstLine="0"/>
            </w:pPr>
            <w:r>
              <w:t>Mass of volatiles [</w:t>
            </w:r>
            <w:r>
              <w:rPr>
                <w:rFonts w:ascii="Cambria" w:eastAsia="Cambria" w:hAnsi="Cambria" w:cs="Cambria"/>
                <w:i/>
              </w:rPr>
              <w:t>kg</w:t>
            </w:r>
            <w:r>
              <w:t>]</w:t>
            </w:r>
          </w:p>
        </w:tc>
        <w:tc>
          <w:tcPr>
            <w:tcW w:w="993" w:type="dxa"/>
            <w:vAlign w:val="center"/>
          </w:tcPr>
          <w:p w14:paraId="3FFF942C" w14:textId="1E0FD2C9" w:rsidR="005319DD" w:rsidRDefault="005319DD" w:rsidP="005319DD">
            <w:pPr>
              <w:ind w:left="0" w:firstLine="0"/>
            </w:pPr>
            <w:r>
              <w:rPr>
                <w:rFonts w:ascii="Cambria" w:eastAsia="Cambria" w:hAnsi="Cambria" w:cs="Cambria"/>
                <w:i/>
              </w:rPr>
              <w:t>V</w:t>
            </w:r>
          </w:p>
        </w:tc>
        <w:tc>
          <w:tcPr>
            <w:tcW w:w="4110" w:type="dxa"/>
            <w:vAlign w:val="center"/>
          </w:tcPr>
          <w:p w14:paraId="4AE42DCF" w14:textId="60162DE1" w:rsidR="005319DD" w:rsidRDefault="005319DD" w:rsidP="005319DD">
            <w:pPr>
              <w:ind w:left="0" w:firstLine="0"/>
            </w:pPr>
            <w:r>
              <w:t>Volume [</w:t>
            </w:r>
            <w:r>
              <w:rPr>
                <w:rFonts w:ascii="Cambria" w:eastAsia="Cambria" w:hAnsi="Cambria" w:cs="Cambria"/>
                <w:i/>
              </w:rPr>
              <w:t>m</w:t>
            </w:r>
            <w:r>
              <w:rPr>
                <w:rFonts w:ascii="Cambria" w:eastAsia="Cambria" w:hAnsi="Cambria" w:cs="Cambria"/>
                <w:vertAlign w:val="superscript"/>
              </w:rPr>
              <w:t>3</w:t>
            </w:r>
            <w:r>
              <w:t>]</w:t>
            </w:r>
          </w:p>
        </w:tc>
      </w:tr>
      <w:tr w:rsidR="009226D9" w14:paraId="3AF90B4F" w14:textId="77777777" w:rsidTr="000E5138">
        <w:tc>
          <w:tcPr>
            <w:tcW w:w="864" w:type="dxa"/>
            <w:vAlign w:val="center"/>
          </w:tcPr>
          <w:p w14:paraId="4978E2BF" w14:textId="37D80660" w:rsidR="009226D9" w:rsidRDefault="009226D9" w:rsidP="005319DD">
            <w:pPr>
              <w:ind w:left="0" w:firstLine="0"/>
              <w:rPr>
                <w:rFonts w:ascii="Cambria" w:eastAsia="Cambria" w:hAnsi="Cambria" w:cs="Cambria"/>
                <w:i/>
              </w:rPr>
            </w:pPr>
            <w:r>
              <w:rPr>
                <w:rFonts w:ascii="Cambria" w:eastAsia="Cambria" w:hAnsi="Cambria" w:cs="Cambria"/>
                <w:i/>
              </w:rPr>
              <w:lastRenderedPageBreak/>
              <w:t>N</w:t>
            </w:r>
            <w:r>
              <w:rPr>
                <w:rFonts w:ascii="Cambria" w:eastAsia="Cambria" w:hAnsi="Cambria" w:cs="Cambria"/>
                <w:i/>
                <w:vertAlign w:val="subscript"/>
              </w:rPr>
              <w:t>p</w:t>
            </w:r>
          </w:p>
        </w:tc>
        <w:tc>
          <w:tcPr>
            <w:tcW w:w="3543" w:type="dxa"/>
            <w:vAlign w:val="center"/>
          </w:tcPr>
          <w:p w14:paraId="3D9F8D28" w14:textId="757960AC" w:rsidR="009226D9" w:rsidRDefault="009226D9" w:rsidP="005319DD">
            <w:pPr>
              <w:ind w:left="0" w:firstLine="0"/>
            </w:pPr>
            <w:r>
              <w:t>Number of particles [-]</w:t>
            </w:r>
          </w:p>
        </w:tc>
        <w:tc>
          <w:tcPr>
            <w:tcW w:w="5103" w:type="dxa"/>
            <w:gridSpan w:val="2"/>
          </w:tcPr>
          <w:p w14:paraId="1DCF7646" w14:textId="460018A4" w:rsidR="009226D9" w:rsidRDefault="009226D9" w:rsidP="009226D9">
            <w:pPr>
              <w:spacing w:after="3" w:line="265" w:lineRule="auto"/>
              <w:ind w:left="49" w:right="208" w:hanging="10"/>
              <w:jc w:val="left"/>
            </w:pPr>
            <w:r>
              <w:rPr>
                <w:b/>
                <w:i/>
              </w:rPr>
              <w:t>Abbreviations</w:t>
            </w:r>
          </w:p>
        </w:tc>
      </w:tr>
      <w:tr w:rsidR="009226D9" w14:paraId="37839D28" w14:textId="77777777" w:rsidTr="009226D9">
        <w:tc>
          <w:tcPr>
            <w:tcW w:w="864" w:type="dxa"/>
            <w:vAlign w:val="center"/>
          </w:tcPr>
          <w:p w14:paraId="281F9F3F" w14:textId="2FEC3E86" w:rsidR="009226D9" w:rsidRDefault="009226D9" w:rsidP="009226D9">
            <w:pPr>
              <w:ind w:left="0" w:firstLine="0"/>
              <w:rPr>
                <w:rFonts w:ascii="Cambria" w:eastAsia="Cambria" w:hAnsi="Cambria" w:cs="Cambria"/>
                <w:i/>
              </w:rPr>
            </w:pPr>
            <w:proofErr w:type="spellStart"/>
            <w:r>
              <w:rPr>
                <w:rFonts w:ascii="Cambria" w:eastAsia="Cambria" w:hAnsi="Cambria" w:cs="Cambria"/>
                <w:i/>
              </w:rPr>
              <w:t>Y</w:t>
            </w:r>
            <w:r>
              <w:rPr>
                <w:rFonts w:ascii="Cambria" w:eastAsia="Cambria" w:hAnsi="Cambria" w:cs="Cambria"/>
                <w:i/>
                <w:vertAlign w:val="subscript"/>
              </w:rPr>
              <w:t>k</w:t>
            </w:r>
            <w:proofErr w:type="spellEnd"/>
          </w:p>
        </w:tc>
        <w:tc>
          <w:tcPr>
            <w:tcW w:w="3543" w:type="dxa"/>
            <w:vAlign w:val="center"/>
          </w:tcPr>
          <w:p w14:paraId="602D00C3" w14:textId="15275F2B" w:rsidR="009226D9" w:rsidRDefault="009226D9" w:rsidP="009226D9">
            <w:pPr>
              <w:ind w:left="0" w:firstLine="0"/>
            </w:pPr>
            <w:r>
              <w:t>Species mass fraction [</w:t>
            </w:r>
            <w:r>
              <w:rPr>
                <w:rFonts w:ascii="Cambria" w:eastAsia="Cambria" w:hAnsi="Cambria" w:cs="Cambria"/>
                <w:i/>
              </w:rPr>
              <w:t>kg/kg</w:t>
            </w:r>
            <w:r>
              <w:t>]</w:t>
            </w:r>
          </w:p>
        </w:tc>
        <w:tc>
          <w:tcPr>
            <w:tcW w:w="993" w:type="dxa"/>
          </w:tcPr>
          <w:p w14:paraId="3983209E" w14:textId="6B4BCA7D" w:rsidR="009226D9" w:rsidRDefault="009226D9" w:rsidP="009226D9">
            <w:pPr>
              <w:ind w:left="0" w:firstLine="0"/>
            </w:pPr>
            <w:r>
              <w:rPr>
                <w:rFonts w:ascii="Cambria" w:eastAsia="Cambria" w:hAnsi="Cambria" w:cs="Cambria"/>
                <w:i/>
              </w:rPr>
              <w:t>MCR</w:t>
            </w:r>
          </w:p>
        </w:tc>
        <w:tc>
          <w:tcPr>
            <w:tcW w:w="4110" w:type="dxa"/>
          </w:tcPr>
          <w:p w14:paraId="768716D3" w14:textId="55A3FF91" w:rsidR="009226D9" w:rsidRDefault="009226D9" w:rsidP="009226D9">
            <w:pPr>
              <w:ind w:left="0" w:firstLine="0"/>
            </w:pPr>
            <w:r>
              <w:t>Maximum continuous rating</w:t>
            </w:r>
          </w:p>
        </w:tc>
      </w:tr>
      <w:tr w:rsidR="009226D9" w14:paraId="3D1452F4" w14:textId="77777777" w:rsidTr="00372DEC">
        <w:tc>
          <w:tcPr>
            <w:tcW w:w="864" w:type="dxa"/>
            <w:vAlign w:val="bottom"/>
          </w:tcPr>
          <w:p w14:paraId="12967C8F" w14:textId="227AA8D9" w:rsidR="009226D9" w:rsidRDefault="009226D9" w:rsidP="009226D9">
            <w:pPr>
              <w:ind w:left="0" w:firstLine="0"/>
              <w:rPr>
                <w:rFonts w:ascii="Cambria" w:eastAsia="Cambria" w:hAnsi="Cambria" w:cs="Cambria"/>
                <w:i/>
              </w:rPr>
            </w:pPr>
            <w:r>
              <w:rPr>
                <w:rFonts w:ascii="Cambria" w:eastAsia="Cambria" w:hAnsi="Cambria" w:cs="Cambria"/>
                <w:i/>
              </w:rPr>
              <w:t>x</w:t>
            </w:r>
          </w:p>
        </w:tc>
        <w:tc>
          <w:tcPr>
            <w:tcW w:w="3543" w:type="dxa"/>
            <w:vAlign w:val="bottom"/>
          </w:tcPr>
          <w:p w14:paraId="323543AE" w14:textId="56AC5776" w:rsidR="009226D9" w:rsidRDefault="009226D9" w:rsidP="009226D9">
            <w:pPr>
              <w:ind w:left="0" w:firstLine="0"/>
            </w:pPr>
            <w:r>
              <w:t>Quality [-]</w:t>
            </w:r>
          </w:p>
        </w:tc>
        <w:tc>
          <w:tcPr>
            <w:tcW w:w="993" w:type="dxa"/>
            <w:vAlign w:val="center"/>
          </w:tcPr>
          <w:p w14:paraId="407239DC" w14:textId="0F9035B8" w:rsidR="009226D9" w:rsidRDefault="009226D9" w:rsidP="009226D9">
            <w:pPr>
              <w:ind w:left="0" w:firstLine="0"/>
            </w:pPr>
            <w:r>
              <w:rPr>
                <w:rFonts w:ascii="Cambria" w:eastAsia="Cambria" w:hAnsi="Cambria" w:cs="Cambria"/>
                <w:i/>
              </w:rPr>
              <w:t>CFPP</w:t>
            </w:r>
          </w:p>
        </w:tc>
        <w:tc>
          <w:tcPr>
            <w:tcW w:w="4110" w:type="dxa"/>
            <w:vAlign w:val="center"/>
          </w:tcPr>
          <w:p w14:paraId="792289FB" w14:textId="2A6997BB" w:rsidR="009226D9" w:rsidRDefault="009226D9" w:rsidP="009226D9">
            <w:pPr>
              <w:ind w:left="0" w:firstLine="0"/>
            </w:pPr>
            <w:r>
              <w:t>Coal fired power plant</w:t>
            </w:r>
          </w:p>
        </w:tc>
      </w:tr>
      <w:tr w:rsidR="009226D9" w14:paraId="7EDA721F" w14:textId="77777777" w:rsidTr="000E7C30">
        <w:tc>
          <w:tcPr>
            <w:tcW w:w="4407" w:type="dxa"/>
            <w:gridSpan w:val="2"/>
            <w:vAlign w:val="bottom"/>
          </w:tcPr>
          <w:p w14:paraId="12661284" w14:textId="282FB3BF" w:rsidR="009226D9" w:rsidRDefault="009226D9" w:rsidP="009226D9">
            <w:pPr>
              <w:spacing w:after="3" w:line="265" w:lineRule="auto"/>
              <w:ind w:left="49" w:right="208" w:hanging="10"/>
              <w:jc w:val="left"/>
            </w:pPr>
            <w:r>
              <w:rPr>
                <w:b/>
                <w:i/>
              </w:rPr>
              <w:t>Greek Variables</w:t>
            </w:r>
          </w:p>
        </w:tc>
        <w:tc>
          <w:tcPr>
            <w:tcW w:w="993" w:type="dxa"/>
            <w:vAlign w:val="center"/>
          </w:tcPr>
          <w:p w14:paraId="70E11FBA" w14:textId="117246BD" w:rsidR="009226D9" w:rsidRDefault="009226D9" w:rsidP="009226D9">
            <w:pPr>
              <w:ind w:left="0" w:firstLine="0"/>
            </w:pPr>
            <w:r>
              <w:rPr>
                <w:rFonts w:ascii="Cambria" w:eastAsia="Cambria" w:hAnsi="Cambria" w:cs="Cambria"/>
                <w:i/>
              </w:rPr>
              <w:t>CFD</w:t>
            </w:r>
          </w:p>
        </w:tc>
        <w:tc>
          <w:tcPr>
            <w:tcW w:w="4110" w:type="dxa"/>
            <w:vAlign w:val="center"/>
          </w:tcPr>
          <w:p w14:paraId="078B1CBF" w14:textId="6810861E" w:rsidR="009226D9" w:rsidRDefault="009226D9" w:rsidP="009226D9">
            <w:pPr>
              <w:ind w:left="0" w:firstLine="0"/>
            </w:pPr>
            <w:r>
              <w:t>Computational fluid dynamics</w:t>
            </w:r>
          </w:p>
        </w:tc>
      </w:tr>
      <w:tr w:rsidR="009226D9" w14:paraId="7B1E0EF6" w14:textId="77777777" w:rsidTr="005236A6">
        <w:tc>
          <w:tcPr>
            <w:tcW w:w="864" w:type="dxa"/>
          </w:tcPr>
          <w:p w14:paraId="26B4A087" w14:textId="0D031633" w:rsidR="009226D9" w:rsidRDefault="009226D9" w:rsidP="009226D9">
            <w:pPr>
              <w:ind w:left="0" w:firstLine="0"/>
              <w:rPr>
                <w:rFonts w:ascii="Cambria" w:eastAsia="Cambria" w:hAnsi="Cambria" w:cs="Cambria"/>
                <w:i/>
              </w:rPr>
            </w:pPr>
            <w:r>
              <w:rPr>
                <w:rFonts w:ascii="Cambria" w:eastAsia="Cambria" w:hAnsi="Cambria" w:cs="Cambria"/>
                <w:i/>
              </w:rPr>
              <w:t>α</w:t>
            </w:r>
            <w:r>
              <w:rPr>
                <w:rFonts w:ascii="Cambria" w:eastAsia="Cambria" w:hAnsi="Cambria" w:cs="Cambria"/>
                <w:i/>
                <w:vertAlign w:val="subscript"/>
              </w:rPr>
              <w:t>g</w:t>
            </w:r>
          </w:p>
        </w:tc>
        <w:tc>
          <w:tcPr>
            <w:tcW w:w="3543" w:type="dxa"/>
          </w:tcPr>
          <w:p w14:paraId="7A7F3315" w14:textId="4A775FE5" w:rsidR="009226D9" w:rsidRDefault="009226D9" w:rsidP="009226D9">
            <w:pPr>
              <w:ind w:left="0" w:firstLine="0"/>
            </w:pPr>
            <w:r>
              <w:t>Gas absorption coefficient [</w:t>
            </w:r>
            <w:r>
              <w:rPr>
                <w:rFonts w:ascii="Cambria" w:eastAsia="Cambria" w:hAnsi="Cambria" w:cs="Cambria"/>
                <w:i/>
              </w:rPr>
              <w:t>m</w:t>
            </w:r>
            <w:r>
              <w:rPr>
                <w:rFonts w:ascii="Cambria" w:eastAsia="Cambria" w:hAnsi="Cambria" w:cs="Cambria"/>
                <w:vertAlign w:val="superscript"/>
              </w:rPr>
              <w:t>−1</w:t>
            </w:r>
            <w:r>
              <w:t>]</w:t>
            </w:r>
          </w:p>
        </w:tc>
        <w:tc>
          <w:tcPr>
            <w:tcW w:w="993" w:type="dxa"/>
            <w:vAlign w:val="center"/>
          </w:tcPr>
          <w:p w14:paraId="7CD796E0" w14:textId="3232EDC2" w:rsidR="009226D9" w:rsidRDefault="009226D9" w:rsidP="009226D9">
            <w:pPr>
              <w:ind w:left="0" w:firstLine="0"/>
            </w:pPr>
            <w:r>
              <w:rPr>
                <w:rFonts w:ascii="Cambria" w:eastAsia="Cambria" w:hAnsi="Cambria" w:cs="Cambria"/>
                <w:i/>
              </w:rPr>
              <w:t>SH</w:t>
            </w:r>
          </w:p>
        </w:tc>
        <w:tc>
          <w:tcPr>
            <w:tcW w:w="4110" w:type="dxa"/>
            <w:vAlign w:val="center"/>
          </w:tcPr>
          <w:p w14:paraId="75C3FF17" w14:textId="66D7FEDF" w:rsidR="009226D9" w:rsidRDefault="009226D9" w:rsidP="009226D9">
            <w:pPr>
              <w:ind w:left="0" w:firstLine="0"/>
            </w:pPr>
            <w:r>
              <w:t>Superheater</w:t>
            </w:r>
          </w:p>
        </w:tc>
      </w:tr>
      <w:tr w:rsidR="009226D9" w14:paraId="26608B4A" w14:textId="77777777" w:rsidTr="00BB06BD">
        <w:tc>
          <w:tcPr>
            <w:tcW w:w="864" w:type="dxa"/>
            <w:tcBorders>
              <w:top w:val="nil"/>
              <w:left w:val="nil"/>
              <w:bottom w:val="nil"/>
              <w:right w:val="nil"/>
            </w:tcBorders>
          </w:tcPr>
          <w:p w14:paraId="03B9676D" w14:textId="23B605E5" w:rsidR="009226D9" w:rsidRDefault="009226D9" w:rsidP="009226D9">
            <w:pPr>
              <w:ind w:left="0" w:firstLine="0"/>
              <w:rPr>
                <w:rFonts w:ascii="Cambria" w:eastAsia="Cambria" w:hAnsi="Cambria" w:cs="Cambria"/>
                <w:i/>
              </w:rPr>
            </w:pPr>
            <w:r>
              <w:rPr>
                <w:rFonts w:ascii="Cambria" w:eastAsia="Cambria" w:hAnsi="Cambria" w:cs="Cambria"/>
                <w:i/>
              </w:rPr>
              <w:t>α</w:t>
            </w:r>
            <w:r>
              <w:rPr>
                <w:rFonts w:ascii="Cambria" w:eastAsia="Cambria" w:hAnsi="Cambria" w:cs="Cambria"/>
                <w:i/>
                <w:sz w:val="16"/>
              </w:rPr>
              <w:t>H</w:t>
            </w:r>
          </w:p>
        </w:tc>
        <w:tc>
          <w:tcPr>
            <w:tcW w:w="3543" w:type="dxa"/>
            <w:tcBorders>
              <w:top w:val="nil"/>
              <w:left w:val="nil"/>
              <w:bottom w:val="nil"/>
              <w:right w:val="nil"/>
            </w:tcBorders>
            <w:vAlign w:val="center"/>
          </w:tcPr>
          <w:p w14:paraId="7AC17558" w14:textId="190CD5E5" w:rsidR="009226D9" w:rsidRDefault="009226D9" w:rsidP="009226D9">
            <w:pPr>
              <w:ind w:left="0" w:firstLine="0"/>
            </w:pPr>
            <w:r>
              <w:t>Mixture void fraction [-]</w:t>
            </w:r>
          </w:p>
        </w:tc>
        <w:tc>
          <w:tcPr>
            <w:tcW w:w="993" w:type="dxa"/>
            <w:vAlign w:val="center"/>
          </w:tcPr>
          <w:p w14:paraId="6ABFAC60" w14:textId="319AAB77" w:rsidR="009226D9" w:rsidRDefault="009226D9" w:rsidP="009226D9">
            <w:pPr>
              <w:ind w:left="0" w:firstLine="0"/>
            </w:pPr>
            <w:r>
              <w:rPr>
                <w:rFonts w:ascii="Cambria" w:eastAsia="Cambria" w:hAnsi="Cambria" w:cs="Cambria"/>
                <w:i/>
              </w:rPr>
              <w:t>EE</w:t>
            </w:r>
          </w:p>
        </w:tc>
        <w:tc>
          <w:tcPr>
            <w:tcW w:w="4110" w:type="dxa"/>
            <w:vAlign w:val="center"/>
          </w:tcPr>
          <w:p w14:paraId="5644BF02" w14:textId="15B0BAAA" w:rsidR="009226D9" w:rsidRDefault="009226D9" w:rsidP="009226D9">
            <w:pPr>
              <w:ind w:left="0" w:firstLine="0"/>
            </w:pPr>
            <w:r>
              <w:t>Eulerian-Eulerian</w:t>
            </w:r>
          </w:p>
        </w:tc>
      </w:tr>
      <w:tr w:rsidR="009226D9" w14:paraId="498F9114" w14:textId="77777777" w:rsidTr="00BB06BD">
        <w:tc>
          <w:tcPr>
            <w:tcW w:w="864" w:type="dxa"/>
            <w:tcBorders>
              <w:top w:val="nil"/>
              <w:left w:val="nil"/>
              <w:bottom w:val="nil"/>
              <w:right w:val="nil"/>
            </w:tcBorders>
            <w:vAlign w:val="center"/>
          </w:tcPr>
          <w:p w14:paraId="26B33FA2" w14:textId="1C767268" w:rsidR="009226D9" w:rsidRDefault="009226D9" w:rsidP="009226D9">
            <w:pPr>
              <w:ind w:left="0" w:firstLine="0"/>
              <w:rPr>
                <w:rFonts w:ascii="Cambria" w:eastAsia="Cambria" w:hAnsi="Cambria" w:cs="Cambria"/>
                <w:i/>
              </w:rPr>
            </w:pPr>
            <w:r>
              <w:rPr>
                <w:rFonts w:ascii="Cambria" w:eastAsia="Cambria" w:hAnsi="Cambria" w:cs="Cambria"/>
                <w:i/>
              </w:rPr>
              <w:t>α</w:t>
            </w:r>
            <w:r>
              <w:rPr>
                <w:rFonts w:ascii="Cambria" w:eastAsia="Cambria" w:hAnsi="Cambria" w:cs="Cambria"/>
                <w:i/>
                <w:vertAlign w:val="subscript"/>
              </w:rPr>
              <w:t>p</w:t>
            </w:r>
          </w:p>
        </w:tc>
        <w:tc>
          <w:tcPr>
            <w:tcW w:w="3543" w:type="dxa"/>
            <w:tcBorders>
              <w:top w:val="nil"/>
              <w:left w:val="nil"/>
              <w:bottom w:val="nil"/>
              <w:right w:val="nil"/>
            </w:tcBorders>
            <w:vAlign w:val="center"/>
          </w:tcPr>
          <w:p w14:paraId="459CDE60" w14:textId="070FCCD0" w:rsidR="009226D9" w:rsidRDefault="009226D9" w:rsidP="009226D9">
            <w:pPr>
              <w:ind w:left="0" w:firstLine="0"/>
            </w:pPr>
            <w:r>
              <w:t>Particle absorption coefficient [</w:t>
            </w:r>
            <w:r>
              <w:rPr>
                <w:rFonts w:ascii="Cambria" w:eastAsia="Cambria" w:hAnsi="Cambria" w:cs="Cambria"/>
                <w:i/>
              </w:rPr>
              <w:t>m</w:t>
            </w:r>
            <w:r>
              <w:rPr>
                <w:rFonts w:ascii="Cambria" w:eastAsia="Cambria" w:hAnsi="Cambria" w:cs="Cambria"/>
                <w:vertAlign w:val="superscript"/>
              </w:rPr>
              <w:t>−1</w:t>
            </w:r>
            <w:r>
              <w:t>]</w:t>
            </w:r>
          </w:p>
        </w:tc>
        <w:tc>
          <w:tcPr>
            <w:tcW w:w="993" w:type="dxa"/>
            <w:vAlign w:val="center"/>
          </w:tcPr>
          <w:p w14:paraId="2E0BEF61" w14:textId="37F5DBB5" w:rsidR="009226D9" w:rsidRDefault="009226D9" w:rsidP="009226D9">
            <w:pPr>
              <w:ind w:left="0" w:firstLine="0"/>
            </w:pPr>
            <w:r>
              <w:rPr>
                <w:rFonts w:ascii="Cambria" w:eastAsia="Cambria" w:hAnsi="Cambria" w:cs="Cambria"/>
                <w:i/>
              </w:rPr>
              <w:t>WSGGM</w:t>
            </w:r>
          </w:p>
        </w:tc>
        <w:tc>
          <w:tcPr>
            <w:tcW w:w="4110" w:type="dxa"/>
            <w:vAlign w:val="center"/>
          </w:tcPr>
          <w:p w14:paraId="1AEB224C" w14:textId="6DFA8153" w:rsidR="009226D9" w:rsidRDefault="009226D9" w:rsidP="009226D9">
            <w:pPr>
              <w:ind w:left="0" w:firstLine="0"/>
            </w:pPr>
            <w:r>
              <w:t xml:space="preserve">Weighted sum of </w:t>
            </w:r>
            <w:proofErr w:type="spellStart"/>
            <w:r>
              <w:t>gray</w:t>
            </w:r>
            <w:proofErr w:type="spellEnd"/>
            <w:r>
              <w:t xml:space="preserve"> gas model</w:t>
            </w:r>
          </w:p>
        </w:tc>
      </w:tr>
      <w:tr w:rsidR="009226D9" w14:paraId="370878FC" w14:textId="77777777" w:rsidTr="00BB06BD">
        <w:tc>
          <w:tcPr>
            <w:tcW w:w="864" w:type="dxa"/>
            <w:tcBorders>
              <w:top w:val="nil"/>
              <w:left w:val="nil"/>
              <w:bottom w:val="nil"/>
              <w:right w:val="nil"/>
            </w:tcBorders>
            <w:vAlign w:val="center"/>
          </w:tcPr>
          <w:p w14:paraId="7371D891" w14:textId="0430F08D" w:rsidR="009226D9" w:rsidRDefault="009226D9" w:rsidP="009226D9">
            <w:pPr>
              <w:ind w:left="0" w:firstLine="0"/>
              <w:rPr>
                <w:rFonts w:ascii="Cambria" w:eastAsia="Cambria" w:hAnsi="Cambria" w:cs="Cambria"/>
                <w:i/>
              </w:rPr>
            </w:pPr>
            <w:r>
              <w:rPr>
                <w:rFonts w:ascii="Cambria" w:eastAsia="Cambria" w:hAnsi="Cambria" w:cs="Cambria"/>
                <w:i/>
                <w:sz w:val="16"/>
              </w:rPr>
              <w:t>p</w:t>
            </w:r>
          </w:p>
        </w:tc>
        <w:tc>
          <w:tcPr>
            <w:tcW w:w="3543" w:type="dxa"/>
            <w:tcBorders>
              <w:top w:val="nil"/>
              <w:left w:val="nil"/>
              <w:bottom w:val="nil"/>
              <w:right w:val="nil"/>
            </w:tcBorders>
            <w:vAlign w:val="center"/>
          </w:tcPr>
          <w:p w14:paraId="718E39FE" w14:textId="64891269" w:rsidR="009226D9" w:rsidRDefault="009226D9" w:rsidP="009226D9">
            <w:pPr>
              <w:ind w:left="0" w:firstLine="0"/>
            </w:pPr>
            <w:r>
              <w:t>Particle emissivity [-]</w:t>
            </w:r>
          </w:p>
        </w:tc>
        <w:tc>
          <w:tcPr>
            <w:tcW w:w="993" w:type="dxa"/>
            <w:vAlign w:val="center"/>
          </w:tcPr>
          <w:p w14:paraId="7853C745" w14:textId="3E402D70" w:rsidR="009226D9" w:rsidRDefault="009226D9" w:rsidP="009226D9">
            <w:pPr>
              <w:ind w:left="0" w:firstLine="0"/>
            </w:pPr>
            <w:r>
              <w:rPr>
                <w:rFonts w:ascii="Cambria" w:eastAsia="Cambria" w:hAnsi="Cambria" w:cs="Cambria"/>
                <w:i/>
              </w:rPr>
              <w:t>RTE</w:t>
            </w:r>
          </w:p>
        </w:tc>
        <w:tc>
          <w:tcPr>
            <w:tcW w:w="4110" w:type="dxa"/>
            <w:vAlign w:val="center"/>
          </w:tcPr>
          <w:p w14:paraId="4110A7F7" w14:textId="3F1BE4E6" w:rsidR="009226D9" w:rsidRDefault="009226D9" w:rsidP="009226D9">
            <w:pPr>
              <w:ind w:left="0" w:firstLine="0"/>
            </w:pPr>
            <w:r>
              <w:t>Radiative transport equation</w:t>
            </w:r>
          </w:p>
        </w:tc>
      </w:tr>
      <w:tr w:rsidR="009226D9" w14:paraId="474018B5" w14:textId="77777777" w:rsidTr="00BB06BD">
        <w:tc>
          <w:tcPr>
            <w:tcW w:w="864" w:type="dxa"/>
            <w:tcBorders>
              <w:top w:val="nil"/>
              <w:left w:val="nil"/>
              <w:bottom w:val="nil"/>
              <w:right w:val="nil"/>
            </w:tcBorders>
            <w:vAlign w:val="center"/>
          </w:tcPr>
          <w:p w14:paraId="6A6F7D8F" w14:textId="79942108" w:rsidR="009226D9" w:rsidRDefault="009226D9" w:rsidP="009226D9">
            <w:pPr>
              <w:ind w:left="0" w:firstLine="0"/>
              <w:rPr>
                <w:rFonts w:ascii="Cambria" w:eastAsia="Cambria" w:hAnsi="Cambria" w:cs="Cambria"/>
                <w:i/>
              </w:rPr>
            </w:pPr>
            <w:r>
              <w:rPr>
                <w:rFonts w:ascii="Cambria" w:eastAsia="Cambria" w:hAnsi="Cambria" w:cs="Cambria"/>
                <w:i/>
              </w:rPr>
              <w:t>ρ</w:t>
            </w:r>
          </w:p>
        </w:tc>
        <w:tc>
          <w:tcPr>
            <w:tcW w:w="3543" w:type="dxa"/>
            <w:tcBorders>
              <w:top w:val="nil"/>
              <w:left w:val="nil"/>
              <w:bottom w:val="nil"/>
              <w:right w:val="nil"/>
            </w:tcBorders>
            <w:vAlign w:val="center"/>
          </w:tcPr>
          <w:p w14:paraId="5230BFFF" w14:textId="42C41669" w:rsidR="009226D9" w:rsidRDefault="009226D9" w:rsidP="009226D9">
            <w:pPr>
              <w:ind w:left="0" w:firstLine="0"/>
            </w:pPr>
            <w:r>
              <w:t>Gas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33428CCD" w14:textId="2C2922C6" w:rsidR="009226D9" w:rsidRDefault="009226D9" w:rsidP="009226D9">
            <w:pPr>
              <w:ind w:left="0" w:firstLine="0"/>
            </w:pPr>
            <w:r>
              <w:rPr>
                <w:rFonts w:ascii="Cambria" w:eastAsia="Cambria" w:hAnsi="Cambria" w:cs="Cambria"/>
                <w:i/>
              </w:rPr>
              <w:t>HHV</w:t>
            </w:r>
          </w:p>
        </w:tc>
        <w:tc>
          <w:tcPr>
            <w:tcW w:w="4110" w:type="dxa"/>
            <w:vAlign w:val="center"/>
          </w:tcPr>
          <w:p w14:paraId="1B207548" w14:textId="4127C9E4" w:rsidR="009226D9" w:rsidRDefault="009226D9" w:rsidP="009226D9">
            <w:pPr>
              <w:ind w:left="0" w:firstLine="0"/>
            </w:pPr>
            <w:r>
              <w:t>Higher heating value</w:t>
            </w:r>
          </w:p>
        </w:tc>
      </w:tr>
      <w:tr w:rsidR="009226D9" w14:paraId="25B6BF06" w14:textId="77777777" w:rsidTr="00BB06BD">
        <w:tc>
          <w:tcPr>
            <w:tcW w:w="864" w:type="dxa"/>
            <w:tcBorders>
              <w:top w:val="nil"/>
              <w:left w:val="nil"/>
              <w:bottom w:val="nil"/>
              <w:right w:val="nil"/>
            </w:tcBorders>
          </w:tcPr>
          <w:p w14:paraId="535FAFDA" w14:textId="779C8033" w:rsidR="009226D9" w:rsidRDefault="009226D9" w:rsidP="009226D9">
            <w:pPr>
              <w:ind w:left="0" w:firstLine="0"/>
              <w:rPr>
                <w:rFonts w:ascii="Cambria" w:eastAsia="Cambria" w:hAnsi="Cambria" w:cs="Cambria"/>
                <w:i/>
              </w:rPr>
            </w:pPr>
            <w:proofErr w:type="spellStart"/>
            <w:r>
              <w:rPr>
                <w:rFonts w:ascii="Cambria" w:eastAsia="Cambria" w:hAnsi="Cambria" w:cs="Cambria"/>
                <w:i/>
              </w:rPr>
              <w:t>ρ</w:t>
            </w:r>
            <w:r>
              <w:rPr>
                <w:rFonts w:ascii="Cambria" w:eastAsia="Cambria" w:hAnsi="Cambria" w:cs="Cambria"/>
                <w:i/>
                <w:sz w:val="16"/>
              </w:rPr>
              <w:t>eff</w:t>
            </w:r>
            <w:proofErr w:type="spellEnd"/>
          </w:p>
        </w:tc>
        <w:tc>
          <w:tcPr>
            <w:tcW w:w="3543" w:type="dxa"/>
            <w:tcBorders>
              <w:top w:val="nil"/>
              <w:left w:val="nil"/>
              <w:bottom w:val="nil"/>
              <w:right w:val="nil"/>
            </w:tcBorders>
            <w:vAlign w:val="center"/>
          </w:tcPr>
          <w:p w14:paraId="18EA193C" w14:textId="49EF1E5C" w:rsidR="009226D9" w:rsidRDefault="009226D9" w:rsidP="009226D9">
            <w:pPr>
              <w:ind w:left="0" w:firstLine="0"/>
            </w:pPr>
            <w:r>
              <w:t>Effective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67D6E0DF" w14:textId="2E790001" w:rsidR="009226D9" w:rsidRDefault="009226D9" w:rsidP="009226D9">
            <w:pPr>
              <w:ind w:left="0" w:firstLine="0"/>
            </w:pPr>
            <w:r>
              <w:rPr>
                <w:rFonts w:ascii="Cambria" w:eastAsia="Cambria" w:hAnsi="Cambria" w:cs="Cambria"/>
                <w:i/>
              </w:rPr>
              <w:t>DAF</w:t>
            </w:r>
          </w:p>
        </w:tc>
        <w:tc>
          <w:tcPr>
            <w:tcW w:w="4110" w:type="dxa"/>
            <w:vAlign w:val="center"/>
          </w:tcPr>
          <w:p w14:paraId="397DAF31" w14:textId="7301E779" w:rsidR="009226D9" w:rsidRDefault="009226D9" w:rsidP="009226D9">
            <w:pPr>
              <w:ind w:left="0" w:firstLine="0"/>
            </w:pPr>
            <w:r>
              <w:t>Dry ash free</w:t>
            </w:r>
          </w:p>
        </w:tc>
      </w:tr>
      <w:tr w:rsidR="009226D9" w14:paraId="095F55D2" w14:textId="77777777" w:rsidTr="00BB06BD">
        <w:tc>
          <w:tcPr>
            <w:tcW w:w="864" w:type="dxa"/>
            <w:tcBorders>
              <w:top w:val="nil"/>
              <w:left w:val="nil"/>
              <w:bottom w:val="nil"/>
              <w:right w:val="nil"/>
            </w:tcBorders>
            <w:vAlign w:val="center"/>
          </w:tcPr>
          <w:p w14:paraId="28F2BB68" w14:textId="583DFA88" w:rsidR="009226D9" w:rsidRDefault="009226D9" w:rsidP="009226D9">
            <w:pPr>
              <w:ind w:left="0" w:firstLine="0"/>
              <w:rPr>
                <w:rFonts w:ascii="Cambria" w:eastAsia="Cambria" w:hAnsi="Cambria" w:cs="Cambria"/>
                <w:i/>
              </w:rPr>
            </w:pPr>
            <w:proofErr w:type="spellStart"/>
            <w:r>
              <w:rPr>
                <w:rFonts w:ascii="Cambria" w:eastAsia="Cambria" w:hAnsi="Cambria" w:cs="Cambria"/>
                <w:i/>
              </w:rPr>
              <w:t>ρ</w:t>
            </w:r>
            <w:r>
              <w:rPr>
                <w:rFonts w:ascii="Cambria" w:eastAsia="Cambria" w:hAnsi="Cambria" w:cs="Cambria"/>
                <w:i/>
                <w:vertAlign w:val="subscript"/>
              </w:rPr>
              <w:t>g</w:t>
            </w:r>
            <w:proofErr w:type="spellEnd"/>
          </w:p>
        </w:tc>
        <w:tc>
          <w:tcPr>
            <w:tcW w:w="3543" w:type="dxa"/>
            <w:tcBorders>
              <w:top w:val="nil"/>
              <w:left w:val="nil"/>
              <w:bottom w:val="nil"/>
              <w:right w:val="nil"/>
            </w:tcBorders>
            <w:vAlign w:val="center"/>
          </w:tcPr>
          <w:p w14:paraId="030C3BEF" w14:textId="5CC12200" w:rsidR="009226D9" w:rsidRDefault="009226D9" w:rsidP="009226D9">
            <w:pPr>
              <w:ind w:left="0" w:firstLine="0"/>
            </w:pPr>
            <w:r>
              <w:t>Gas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0763E751" w14:textId="2B1A073E" w:rsidR="009226D9" w:rsidRDefault="009226D9" w:rsidP="009226D9">
            <w:pPr>
              <w:ind w:left="0" w:firstLine="0"/>
            </w:pPr>
            <w:r>
              <w:rPr>
                <w:rFonts w:ascii="Cambria" w:eastAsia="Cambria" w:hAnsi="Cambria" w:cs="Cambria"/>
                <w:i/>
              </w:rPr>
              <w:t>AR</w:t>
            </w:r>
          </w:p>
        </w:tc>
        <w:tc>
          <w:tcPr>
            <w:tcW w:w="4110" w:type="dxa"/>
            <w:vAlign w:val="center"/>
          </w:tcPr>
          <w:p w14:paraId="1EADB757" w14:textId="209499C9" w:rsidR="009226D9" w:rsidRDefault="009226D9" w:rsidP="009226D9">
            <w:pPr>
              <w:ind w:left="0" w:firstLine="0"/>
            </w:pPr>
            <w:r>
              <w:t>As-received</w:t>
            </w:r>
          </w:p>
        </w:tc>
      </w:tr>
      <w:tr w:rsidR="009226D9" w14:paraId="6CA781E9" w14:textId="77777777" w:rsidTr="00BB06BD">
        <w:tc>
          <w:tcPr>
            <w:tcW w:w="864" w:type="dxa"/>
            <w:tcBorders>
              <w:top w:val="nil"/>
              <w:left w:val="nil"/>
              <w:bottom w:val="nil"/>
              <w:right w:val="nil"/>
            </w:tcBorders>
            <w:vAlign w:val="center"/>
          </w:tcPr>
          <w:p w14:paraId="65274F5A" w14:textId="784237BB" w:rsidR="009226D9" w:rsidRDefault="009226D9" w:rsidP="009226D9">
            <w:pPr>
              <w:ind w:left="0" w:firstLine="0"/>
              <w:rPr>
                <w:rFonts w:ascii="Cambria" w:eastAsia="Cambria" w:hAnsi="Cambria" w:cs="Cambria"/>
                <w:i/>
              </w:rPr>
            </w:pPr>
            <w:proofErr w:type="spellStart"/>
            <w:r>
              <w:rPr>
                <w:rFonts w:ascii="Cambria" w:eastAsia="Cambria" w:hAnsi="Cambria" w:cs="Cambria"/>
                <w:i/>
              </w:rPr>
              <w:t>ρ</w:t>
            </w:r>
            <w:r>
              <w:rPr>
                <w:rFonts w:ascii="Cambria" w:eastAsia="Cambria" w:hAnsi="Cambria" w:cs="Cambria"/>
                <w:i/>
                <w:vertAlign w:val="subscript"/>
              </w:rPr>
              <w:t>l</w:t>
            </w:r>
            <w:proofErr w:type="spellEnd"/>
          </w:p>
        </w:tc>
        <w:tc>
          <w:tcPr>
            <w:tcW w:w="3543" w:type="dxa"/>
            <w:tcBorders>
              <w:top w:val="nil"/>
              <w:left w:val="nil"/>
              <w:bottom w:val="nil"/>
              <w:right w:val="nil"/>
            </w:tcBorders>
            <w:vAlign w:val="center"/>
          </w:tcPr>
          <w:p w14:paraId="301C1AC5" w14:textId="1F610A0E" w:rsidR="009226D9" w:rsidRDefault="009226D9" w:rsidP="009226D9">
            <w:pPr>
              <w:ind w:left="0" w:firstLine="0"/>
            </w:pPr>
            <w:r>
              <w:t>Liquid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413BC0B2" w14:textId="7FDC79B3" w:rsidR="009226D9" w:rsidRDefault="009226D9" w:rsidP="009226D9">
            <w:pPr>
              <w:ind w:left="0" w:firstLine="0"/>
            </w:pPr>
            <w:r>
              <w:rPr>
                <w:rFonts w:ascii="Cambria" w:eastAsia="Cambria" w:hAnsi="Cambria" w:cs="Cambria"/>
                <w:i/>
              </w:rPr>
              <w:t>PA</w:t>
            </w:r>
          </w:p>
        </w:tc>
        <w:tc>
          <w:tcPr>
            <w:tcW w:w="4110" w:type="dxa"/>
            <w:vAlign w:val="center"/>
          </w:tcPr>
          <w:p w14:paraId="2C5C514B" w14:textId="4835C562" w:rsidR="009226D9" w:rsidRDefault="009226D9" w:rsidP="009226D9">
            <w:pPr>
              <w:ind w:left="0" w:firstLine="0"/>
            </w:pPr>
            <w:r>
              <w:t>Primary air</w:t>
            </w:r>
          </w:p>
        </w:tc>
      </w:tr>
      <w:tr w:rsidR="009226D9" w14:paraId="44EDADE3" w14:textId="77777777" w:rsidTr="00BB06BD">
        <w:tc>
          <w:tcPr>
            <w:tcW w:w="864" w:type="dxa"/>
            <w:tcBorders>
              <w:top w:val="nil"/>
              <w:left w:val="nil"/>
              <w:bottom w:val="nil"/>
              <w:right w:val="nil"/>
            </w:tcBorders>
            <w:vAlign w:val="bottom"/>
          </w:tcPr>
          <w:p w14:paraId="695560F9" w14:textId="68CB7E25" w:rsidR="009226D9" w:rsidRDefault="009226D9" w:rsidP="009226D9">
            <w:pPr>
              <w:ind w:left="0" w:firstLine="0"/>
              <w:rPr>
                <w:rFonts w:ascii="Cambria" w:eastAsia="Cambria" w:hAnsi="Cambria" w:cs="Cambria"/>
                <w:i/>
              </w:rPr>
            </w:pPr>
            <w:proofErr w:type="spellStart"/>
            <w:r>
              <w:rPr>
                <w:rFonts w:ascii="Cambria" w:eastAsia="Cambria" w:hAnsi="Cambria" w:cs="Cambria"/>
                <w:i/>
              </w:rPr>
              <w:t>ρ</w:t>
            </w:r>
            <w:r>
              <w:rPr>
                <w:rFonts w:ascii="Cambria" w:eastAsia="Cambria" w:hAnsi="Cambria" w:cs="Cambria"/>
                <w:i/>
                <w:sz w:val="16"/>
              </w:rPr>
              <w:t>M</w:t>
            </w:r>
            <w:proofErr w:type="spellEnd"/>
          </w:p>
        </w:tc>
        <w:tc>
          <w:tcPr>
            <w:tcW w:w="3543" w:type="dxa"/>
            <w:tcBorders>
              <w:top w:val="nil"/>
              <w:left w:val="nil"/>
              <w:bottom w:val="nil"/>
              <w:right w:val="nil"/>
            </w:tcBorders>
            <w:vAlign w:val="bottom"/>
          </w:tcPr>
          <w:p w14:paraId="0B760FC5" w14:textId="61B34115" w:rsidR="009226D9" w:rsidRDefault="009226D9" w:rsidP="009226D9">
            <w:pPr>
              <w:ind w:left="0" w:firstLine="0"/>
            </w:pPr>
            <w:r>
              <w:t>Mixture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4B47ADD7" w14:textId="51E21618" w:rsidR="009226D9" w:rsidRDefault="009226D9" w:rsidP="009226D9">
            <w:pPr>
              <w:ind w:left="0" w:firstLine="0"/>
            </w:pPr>
            <w:r>
              <w:rPr>
                <w:rFonts w:ascii="Cambria" w:eastAsia="Cambria" w:hAnsi="Cambria" w:cs="Cambria"/>
                <w:i/>
              </w:rPr>
              <w:t>SA</w:t>
            </w:r>
            <w:r>
              <w:t>-</w:t>
            </w:r>
            <w:r>
              <w:rPr>
                <w:rFonts w:ascii="Cambria" w:eastAsia="Cambria" w:hAnsi="Cambria" w:cs="Cambria"/>
                <w:i/>
              </w:rPr>
              <w:t>AH</w:t>
            </w:r>
          </w:p>
        </w:tc>
        <w:tc>
          <w:tcPr>
            <w:tcW w:w="4110" w:type="dxa"/>
            <w:vAlign w:val="center"/>
          </w:tcPr>
          <w:p w14:paraId="17E4F091" w14:textId="69767A39" w:rsidR="009226D9" w:rsidRDefault="009226D9" w:rsidP="009226D9">
            <w:pPr>
              <w:ind w:left="0" w:firstLine="0"/>
            </w:pPr>
            <w:r>
              <w:t>Secondary air - air heater</w:t>
            </w:r>
          </w:p>
        </w:tc>
      </w:tr>
      <w:tr w:rsidR="009226D9" w14:paraId="257400AA" w14:textId="77777777" w:rsidTr="00BB06BD">
        <w:tc>
          <w:tcPr>
            <w:tcW w:w="864" w:type="dxa"/>
            <w:tcBorders>
              <w:top w:val="nil"/>
              <w:left w:val="nil"/>
              <w:bottom w:val="nil"/>
              <w:right w:val="nil"/>
            </w:tcBorders>
          </w:tcPr>
          <w:p w14:paraId="38CAC986" w14:textId="38BE1B7E" w:rsidR="009226D9" w:rsidRDefault="009226D9" w:rsidP="009226D9">
            <w:pPr>
              <w:ind w:left="0" w:firstLine="0"/>
              <w:rPr>
                <w:rFonts w:ascii="Cambria" w:eastAsia="Cambria" w:hAnsi="Cambria" w:cs="Cambria"/>
                <w:i/>
              </w:rPr>
            </w:pPr>
            <w:proofErr w:type="spellStart"/>
            <w:r>
              <w:rPr>
                <w:rFonts w:ascii="Cambria" w:eastAsia="Cambria" w:hAnsi="Cambria" w:cs="Cambria"/>
                <w:i/>
              </w:rPr>
              <w:t>ρ</w:t>
            </w:r>
            <w:r>
              <w:rPr>
                <w:rFonts w:ascii="Cambria" w:eastAsia="Cambria" w:hAnsi="Cambria" w:cs="Cambria"/>
                <w:i/>
                <w:vertAlign w:val="subscript"/>
              </w:rPr>
              <w:t>p</w:t>
            </w:r>
            <w:proofErr w:type="spellEnd"/>
          </w:p>
        </w:tc>
        <w:tc>
          <w:tcPr>
            <w:tcW w:w="3543" w:type="dxa"/>
            <w:tcBorders>
              <w:top w:val="nil"/>
              <w:left w:val="nil"/>
              <w:bottom w:val="nil"/>
              <w:right w:val="nil"/>
            </w:tcBorders>
          </w:tcPr>
          <w:p w14:paraId="56A1DA31" w14:textId="70317BC6" w:rsidR="009226D9" w:rsidRDefault="009226D9" w:rsidP="009226D9">
            <w:pPr>
              <w:ind w:left="0" w:firstLine="0"/>
            </w:pPr>
            <w:r>
              <w:t>Particle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1A3C72B4" w14:textId="013BBEF1" w:rsidR="009226D9" w:rsidRDefault="009226D9" w:rsidP="009226D9">
            <w:pPr>
              <w:ind w:left="0" w:firstLine="0"/>
            </w:pPr>
            <w:r>
              <w:rPr>
                <w:rFonts w:ascii="Cambria" w:eastAsia="Cambria" w:hAnsi="Cambria" w:cs="Cambria"/>
                <w:i/>
              </w:rPr>
              <w:t>SA</w:t>
            </w:r>
          </w:p>
        </w:tc>
        <w:tc>
          <w:tcPr>
            <w:tcW w:w="4110" w:type="dxa"/>
            <w:vAlign w:val="center"/>
          </w:tcPr>
          <w:p w14:paraId="1C092242" w14:textId="6C18DC0B" w:rsidR="009226D9" w:rsidRDefault="009226D9" w:rsidP="009226D9">
            <w:pPr>
              <w:ind w:left="0" w:firstLine="0"/>
            </w:pPr>
            <w:r>
              <w:t>Secondary air</w:t>
            </w:r>
          </w:p>
        </w:tc>
      </w:tr>
      <w:tr w:rsidR="009226D9" w14:paraId="55256237" w14:textId="77777777" w:rsidTr="00BB06BD">
        <w:tc>
          <w:tcPr>
            <w:tcW w:w="864" w:type="dxa"/>
            <w:tcBorders>
              <w:top w:val="nil"/>
              <w:left w:val="nil"/>
              <w:bottom w:val="nil"/>
              <w:right w:val="nil"/>
            </w:tcBorders>
          </w:tcPr>
          <w:p w14:paraId="40AE95BF" w14:textId="35665451" w:rsidR="009226D9" w:rsidRDefault="009226D9" w:rsidP="009226D9">
            <w:pPr>
              <w:ind w:left="0" w:firstLine="0"/>
              <w:rPr>
                <w:rFonts w:ascii="Cambria" w:eastAsia="Cambria" w:hAnsi="Cambria" w:cs="Cambria"/>
                <w:i/>
              </w:rPr>
            </w:pPr>
            <w:proofErr w:type="spellStart"/>
            <w:r>
              <w:rPr>
                <w:rFonts w:ascii="Cambria" w:eastAsia="Cambria" w:hAnsi="Cambria" w:cs="Cambria"/>
                <w:i/>
              </w:rPr>
              <w:t>σ</w:t>
            </w:r>
            <w:r>
              <w:rPr>
                <w:rFonts w:ascii="Cambria" w:eastAsia="Cambria" w:hAnsi="Cambria" w:cs="Cambria"/>
                <w:i/>
                <w:sz w:val="16"/>
              </w:rPr>
              <w:t>SB</w:t>
            </w:r>
            <w:proofErr w:type="spellEnd"/>
          </w:p>
        </w:tc>
        <w:tc>
          <w:tcPr>
            <w:tcW w:w="3543" w:type="dxa"/>
            <w:tcBorders>
              <w:top w:val="nil"/>
              <w:left w:val="nil"/>
              <w:bottom w:val="nil"/>
              <w:right w:val="nil"/>
            </w:tcBorders>
            <w:vAlign w:val="center"/>
          </w:tcPr>
          <w:p w14:paraId="31BD64CB" w14:textId="77777777" w:rsidR="009226D9" w:rsidRDefault="009226D9" w:rsidP="009226D9">
            <w:pPr>
              <w:spacing w:after="156" w:line="259" w:lineRule="auto"/>
              <w:ind w:left="0" w:firstLine="0"/>
              <w:jc w:val="left"/>
            </w:pPr>
            <w:r>
              <w:t>Stefan-Boltzmann constant</w:t>
            </w:r>
          </w:p>
          <w:p w14:paraId="04B3A758" w14:textId="49D09085" w:rsidR="009226D9" w:rsidRDefault="009226D9" w:rsidP="009226D9">
            <w:pPr>
              <w:ind w:left="0" w:firstLine="0"/>
            </w:pPr>
            <w:r>
              <w:t>[</w:t>
            </w:r>
            <w:r>
              <w:rPr>
                <w:rFonts w:ascii="Cambria" w:eastAsia="Cambria" w:hAnsi="Cambria" w:cs="Cambria"/>
                <w:i/>
              </w:rPr>
              <w:t>W/m</w:t>
            </w:r>
            <w:r>
              <w:rPr>
                <w:rFonts w:ascii="Cambria" w:eastAsia="Cambria" w:hAnsi="Cambria" w:cs="Cambria"/>
                <w:vertAlign w:val="superscript"/>
              </w:rPr>
              <w:t>2</w:t>
            </w:r>
            <w:r>
              <w:rPr>
                <w:rFonts w:ascii="Cambria" w:eastAsia="Cambria" w:hAnsi="Cambria" w:cs="Cambria"/>
                <w:i/>
              </w:rPr>
              <w:t>K</w:t>
            </w:r>
            <w:r>
              <w:rPr>
                <w:rFonts w:ascii="Cambria" w:eastAsia="Cambria" w:hAnsi="Cambria" w:cs="Cambria"/>
                <w:vertAlign w:val="superscript"/>
              </w:rPr>
              <w:t>4</w:t>
            </w:r>
            <w:r>
              <w:t>]</w:t>
            </w:r>
          </w:p>
        </w:tc>
        <w:tc>
          <w:tcPr>
            <w:tcW w:w="993" w:type="dxa"/>
            <w:vAlign w:val="center"/>
          </w:tcPr>
          <w:p w14:paraId="7B277E1B" w14:textId="10BE908E" w:rsidR="009226D9" w:rsidRDefault="009226D9" w:rsidP="009226D9">
            <w:pPr>
              <w:ind w:left="0" w:firstLine="0"/>
            </w:pPr>
            <w:r>
              <w:rPr>
                <w:rFonts w:ascii="Cambria" w:eastAsia="Cambria" w:hAnsi="Cambria" w:cs="Cambria"/>
                <w:i/>
              </w:rPr>
              <w:t>RH</w:t>
            </w:r>
          </w:p>
        </w:tc>
        <w:tc>
          <w:tcPr>
            <w:tcW w:w="4110" w:type="dxa"/>
            <w:vAlign w:val="center"/>
          </w:tcPr>
          <w:p w14:paraId="351DD948" w14:textId="79BC4EA8" w:rsidR="009226D9" w:rsidRDefault="009226D9" w:rsidP="009226D9">
            <w:pPr>
              <w:ind w:left="0" w:firstLine="0"/>
            </w:pPr>
            <w:r>
              <w:t>Reheater</w:t>
            </w:r>
          </w:p>
        </w:tc>
      </w:tr>
      <w:tr w:rsidR="009226D9" w14:paraId="6FA0AFA7" w14:textId="77777777" w:rsidTr="00BB06BD">
        <w:tc>
          <w:tcPr>
            <w:tcW w:w="864" w:type="dxa"/>
            <w:vAlign w:val="center"/>
          </w:tcPr>
          <w:p w14:paraId="09A07111" w14:textId="614510D0" w:rsidR="009226D9" w:rsidRDefault="009226D9" w:rsidP="009226D9">
            <w:pPr>
              <w:ind w:left="0" w:firstLine="0"/>
              <w:rPr>
                <w:rFonts w:ascii="Cambria" w:eastAsia="Cambria" w:hAnsi="Cambria" w:cs="Cambria"/>
                <w:i/>
              </w:rPr>
            </w:pPr>
            <w:proofErr w:type="spellStart"/>
            <w:r>
              <w:rPr>
                <w:rFonts w:ascii="Cambria" w:eastAsia="Cambria" w:hAnsi="Cambria" w:cs="Cambria"/>
                <w:i/>
              </w:rPr>
              <w:t>σ</w:t>
            </w:r>
            <w:r>
              <w:rPr>
                <w:rFonts w:ascii="Cambria" w:eastAsia="Cambria" w:hAnsi="Cambria" w:cs="Cambria"/>
                <w:i/>
                <w:vertAlign w:val="subscript"/>
              </w:rPr>
              <w:t>p</w:t>
            </w:r>
            <w:proofErr w:type="spellEnd"/>
          </w:p>
        </w:tc>
        <w:tc>
          <w:tcPr>
            <w:tcW w:w="3543" w:type="dxa"/>
            <w:vAlign w:val="center"/>
          </w:tcPr>
          <w:p w14:paraId="6B1E574A" w14:textId="31A2D4E1" w:rsidR="009226D9" w:rsidRDefault="009226D9" w:rsidP="009226D9">
            <w:pPr>
              <w:ind w:left="0" w:firstLine="0"/>
            </w:pPr>
            <w:r>
              <w:t>Particle scattering coefficient [</w:t>
            </w:r>
            <w:r>
              <w:rPr>
                <w:rFonts w:ascii="Cambria" w:eastAsia="Cambria" w:hAnsi="Cambria" w:cs="Cambria"/>
                <w:i/>
              </w:rPr>
              <w:t>m</w:t>
            </w:r>
            <w:r>
              <w:rPr>
                <w:rFonts w:ascii="Cambria" w:eastAsia="Cambria" w:hAnsi="Cambria" w:cs="Cambria"/>
                <w:vertAlign w:val="superscript"/>
              </w:rPr>
              <w:t>−1</w:t>
            </w:r>
            <w:r>
              <w:t>]</w:t>
            </w:r>
          </w:p>
        </w:tc>
        <w:tc>
          <w:tcPr>
            <w:tcW w:w="993" w:type="dxa"/>
            <w:vAlign w:val="center"/>
          </w:tcPr>
          <w:p w14:paraId="0607A1FB" w14:textId="48227047" w:rsidR="009226D9" w:rsidRDefault="009226D9" w:rsidP="009226D9">
            <w:pPr>
              <w:ind w:left="0" w:firstLine="0"/>
            </w:pPr>
            <w:r>
              <w:rPr>
                <w:rFonts w:ascii="Cambria" w:eastAsia="Cambria" w:hAnsi="Cambria" w:cs="Cambria"/>
                <w:i/>
              </w:rPr>
              <w:t>ATT</w:t>
            </w:r>
          </w:p>
        </w:tc>
        <w:tc>
          <w:tcPr>
            <w:tcW w:w="4110" w:type="dxa"/>
            <w:vAlign w:val="center"/>
          </w:tcPr>
          <w:p w14:paraId="6DDDC377" w14:textId="6C3A2756" w:rsidR="009226D9" w:rsidRDefault="009226D9" w:rsidP="009226D9">
            <w:pPr>
              <w:ind w:left="0" w:firstLine="0"/>
            </w:pPr>
            <w:r>
              <w:t>Attemperator</w:t>
            </w:r>
          </w:p>
        </w:tc>
      </w:tr>
      <w:tr w:rsidR="009226D9" w14:paraId="0D2D2476" w14:textId="77777777" w:rsidTr="00BB06BD">
        <w:tc>
          <w:tcPr>
            <w:tcW w:w="864" w:type="dxa"/>
            <w:vAlign w:val="bottom"/>
          </w:tcPr>
          <w:p w14:paraId="54B2D248" w14:textId="4ECD82FF" w:rsidR="009226D9" w:rsidRDefault="009226D9" w:rsidP="009226D9">
            <w:pPr>
              <w:ind w:left="0" w:firstLine="0"/>
              <w:rPr>
                <w:rFonts w:ascii="Cambria" w:eastAsia="Cambria" w:hAnsi="Cambria" w:cs="Cambria"/>
                <w:i/>
              </w:rPr>
            </w:pPr>
            <w:r>
              <w:rPr>
                <w:rFonts w:ascii="Cambria" w:eastAsia="Cambria" w:hAnsi="Cambria" w:cs="Cambria"/>
                <w:i/>
              </w:rPr>
              <w:t>φ</w:t>
            </w:r>
          </w:p>
        </w:tc>
        <w:tc>
          <w:tcPr>
            <w:tcW w:w="3543" w:type="dxa"/>
            <w:vAlign w:val="bottom"/>
          </w:tcPr>
          <w:p w14:paraId="6B3A03CC" w14:textId="3D274083" w:rsidR="009226D9" w:rsidRDefault="009226D9" w:rsidP="009226D9">
            <w:pPr>
              <w:ind w:left="0" w:firstLine="0"/>
            </w:pPr>
            <w:r>
              <w:t>Scalar variable [-]</w:t>
            </w:r>
          </w:p>
        </w:tc>
        <w:tc>
          <w:tcPr>
            <w:tcW w:w="993" w:type="dxa"/>
            <w:vAlign w:val="bottom"/>
          </w:tcPr>
          <w:p w14:paraId="2BB09BAD" w14:textId="0E03FC64" w:rsidR="009226D9" w:rsidRDefault="009226D9" w:rsidP="009226D9">
            <w:pPr>
              <w:ind w:left="0" w:firstLine="0"/>
            </w:pPr>
            <w:r>
              <w:rPr>
                <w:rFonts w:ascii="Cambria" w:eastAsia="Cambria" w:hAnsi="Cambria" w:cs="Cambria"/>
                <w:i/>
              </w:rPr>
              <w:t>EC</w:t>
            </w:r>
          </w:p>
        </w:tc>
        <w:tc>
          <w:tcPr>
            <w:tcW w:w="4110" w:type="dxa"/>
            <w:vAlign w:val="bottom"/>
          </w:tcPr>
          <w:p w14:paraId="31510B59" w14:textId="49F63C67" w:rsidR="009226D9" w:rsidRDefault="009226D9" w:rsidP="009226D9">
            <w:pPr>
              <w:ind w:left="0" w:firstLine="0"/>
            </w:pPr>
            <w:r>
              <w:t>Economiser</w:t>
            </w:r>
          </w:p>
        </w:tc>
      </w:tr>
      <w:tr w:rsidR="009226D9" w14:paraId="4E98A20A" w14:textId="77777777" w:rsidTr="009226D9">
        <w:tc>
          <w:tcPr>
            <w:tcW w:w="864" w:type="dxa"/>
          </w:tcPr>
          <w:p w14:paraId="07A5A73E" w14:textId="77777777" w:rsidR="009226D9" w:rsidRDefault="009226D9" w:rsidP="009226D9">
            <w:pPr>
              <w:ind w:left="0" w:firstLine="0"/>
              <w:rPr>
                <w:rFonts w:ascii="Cambria" w:eastAsia="Cambria" w:hAnsi="Cambria" w:cs="Cambria"/>
                <w:i/>
              </w:rPr>
            </w:pPr>
          </w:p>
        </w:tc>
        <w:tc>
          <w:tcPr>
            <w:tcW w:w="3543" w:type="dxa"/>
          </w:tcPr>
          <w:p w14:paraId="790DB85B" w14:textId="77777777" w:rsidR="009226D9" w:rsidRDefault="009226D9" w:rsidP="009226D9">
            <w:pPr>
              <w:ind w:left="0" w:firstLine="0"/>
            </w:pPr>
          </w:p>
        </w:tc>
        <w:tc>
          <w:tcPr>
            <w:tcW w:w="993" w:type="dxa"/>
          </w:tcPr>
          <w:p w14:paraId="1E667C2A" w14:textId="77777777" w:rsidR="009226D9" w:rsidRDefault="009226D9" w:rsidP="009226D9">
            <w:pPr>
              <w:ind w:left="0" w:firstLine="0"/>
            </w:pPr>
          </w:p>
        </w:tc>
        <w:tc>
          <w:tcPr>
            <w:tcW w:w="4110" w:type="dxa"/>
          </w:tcPr>
          <w:p w14:paraId="5CB60989" w14:textId="77777777" w:rsidR="009226D9" w:rsidRDefault="009226D9" w:rsidP="009226D9">
            <w:pPr>
              <w:ind w:left="0" w:firstLine="0"/>
            </w:pPr>
          </w:p>
        </w:tc>
      </w:tr>
    </w:tbl>
    <w:p w14:paraId="27D7F0CC" w14:textId="2A592CF3" w:rsidR="00CD21A2" w:rsidRDefault="002656DE">
      <w:pPr>
        <w:pStyle w:val="Heading1"/>
        <w:spacing w:after="224"/>
        <w:ind w:left="324" w:hanging="339"/>
      </w:pPr>
      <w:r>
        <w:t>INTRODUCTION</w:t>
      </w:r>
    </w:p>
    <w:p w14:paraId="223D8240" w14:textId="77777777" w:rsidR="00CD21A2" w:rsidRDefault="002656DE">
      <w:pPr>
        <w:spacing w:after="61"/>
        <w:ind w:left="-15" w:right="1005"/>
      </w:pPr>
      <w:r>
        <w:t>The use of coal-fired power plants (CFPP) for electricity generation is intended to be phased out to reduce the rate of climate change. However, the move to sustainable generation sources poses great challenges for developing countries due to the long transition times and costs involved [</w:t>
      </w:r>
      <w:r>
        <w:rPr>
          <w:color w:val="0000FF"/>
        </w:rPr>
        <w:t>1</w:t>
      </w:r>
      <w:r>
        <w:t>]. Due to the abundance of coal resources present in Southern Africa, CFPPs are still the dominant power generation source, with approximately 80% of the energy needs being met using CFPPs [</w:t>
      </w:r>
      <w:r>
        <w:rPr>
          <w:color w:val="0000FF"/>
        </w:rPr>
        <w:t>2</w:t>
      </w:r>
      <w:r>
        <w:t>].</w:t>
      </w:r>
    </w:p>
    <w:p w14:paraId="2CBA974F" w14:textId="77777777" w:rsidR="00CD21A2" w:rsidRDefault="002656DE">
      <w:pPr>
        <w:spacing w:after="61"/>
        <w:ind w:left="-15" w:right="1005"/>
      </w:pPr>
      <w:r>
        <w:lastRenderedPageBreak/>
        <w:t>The integration of renewable energy sources will push CFPPs from primarily base load operation to a mid-merit/flexible operating protocol, which includes prolonged operation at low-loads. Long term deviation from design conditions can lead to operational inefficiencies affecting combustion stability [</w:t>
      </w:r>
      <w:r>
        <w:rPr>
          <w:color w:val="0000FF"/>
        </w:rPr>
        <w:t>3</w:t>
      </w:r>
      <w:r>
        <w:t>], an increase in harmful emissions [</w:t>
      </w:r>
      <w:r>
        <w:rPr>
          <w:color w:val="0000FF"/>
        </w:rPr>
        <w:t>4</w:t>
      </w:r>
      <w:r>
        <w:t>], and the localised overheating of heat exchangers due to insufficient cooling being provided by the internal working fluid [</w:t>
      </w:r>
      <w:r>
        <w:rPr>
          <w:color w:val="0000FF"/>
        </w:rPr>
        <w:t>5</w:t>
      </w:r>
      <w:r>
        <w:t>].</w:t>
      </w:r>
    </w:p>
    <w:p w14:paraId="0D4B852C" w14:textId="172A978D" w:rsidR="00CD21A2" w:rsidRDefault="002656DE">
      <w:pPr>
        <w:ind w:left="-15" w:right="1005"/>
      </w:pPr>
      <w:r>
        <w:t>While full scale testing or experimentation on CFPPs is deemed too expensive to pursue, mathematical models that can accurately capture the thermal response of boilers at varying loads can be used to determine the safe and efficient operating limits [</w:t>
      </w:r>
      <w:r>
        <w:rPr>
          <w:color w:val="0000FF"/>
        </w:rPr>
        <w:t>6</w:t>
      </w:r>
      <w:r>
        <w:t>]. Computational fluid dynamics (CFD) allows for the modelling of full-scale CFPP boilers, at steady-state operating conditions. CFD simulations have been successfully used to model a variety of CFPP boiler types ([</w:t>
      </w:r>
      <w:r>
        <w:rPr>
          <w:color w:val="0000FF"/>
        </w:rPr>
        <w:t>7</w:t>
      </w:r>
      <w:r>
        <w:t xml:space="preserve">, </w:t>
      </w:r>
      <w:r>
        <w:rPr>
          <w:color w:val="0000FF"/>
        </w:rPr>
        <w:t>8</w:t>
      </w:r>
      <w:r>
        <w:t>]) and cover various aspects such as pollution control ([</w:t>
      </w:r>
      <w:r>
        <w:rPr>
          <w:color w:val="0000FF"/>
        </w:rPr>
        <w:t>9</w:t>
      </w:r>
      <w:r>
        <w:t>,</w:t>
      </w:r>
      <w:r w:rsidR="00584939">
        <w:t xml:space="preserve"> </w:t>
      </w:r>
      <w:r>
        <w:rPr>
          <w:color w:val="0000FF"/>
        </w:rPr>
        <w:t>10</w:t>
      </w:r>
      <w:r>
        <w:t>]), gas-solid flow effects ([</w:t>
      </w:r>
      <w:r>
        <w:rPr>
          <w:color w:val="0000FF"/>
        </w:rPr>
        <w:t>11</w:t>
      </w:r>
      <w:r>
        <w:t>]) and boiler</w:t>
      </w:r>
    </w:p>
    <w:p w14:paraId="2540A9CD" w14:textId="3F0EFA9F" w:rsidR="00CD21A2" w:rsidRDefault="002656DE">
      <w:pPr>
        <w:spacing w:after="230" w:line="259" w:lineRule="auto"/>
        <w:ind w:left="-15" w:right="1005" w:firstLine="0"/>
      </w:pPr>
      <w:r>
        <w:t>retrofitting ([</w:t>
      </w:r>
      <w:r>
        <w:rPr>
          <w:color w:val="0000FF"/>
        </w:rPr>
        <w:t>8</w:t>
      </w:r>
      <w:r>
        <w:t xml:space="preserve">, </w:t>
      </w:r>
      <w:r>
        <w:rPr>
          <w:color w:val="0000FF"/>
        </w:rPr>
        <w:t>12</w:t>
      </w:r>
      <w:r>
        <w:t>]).</w:t>
      </w:r>
    </w:p>
    <w:p w14:paraId="3CBED585" w14:textId="77777777" w:rsidR="00CD21A2" w:rsidRDefault="002656DE">
      <w:pPr>
        <w:spacing w:after="84"/>
        <w:ind w:left="-15" w:right="1005"/>
      </w:pPr>
      <w:r>
        <w:t>Recent CFD studies investigating low-load operation of CFPP boilers have focused on the combustion stability, harmful emissions and the gas flow-solid flow interactions [</w:t>
      </w:r>
      <w:r>
        <w:rPr>
          <w:color w:val="0000FF"/>
        </w:rPr>
        <w:t>13</w:t>
      </w:r>
      <w:r>
        <w:t xml:space="preserve">]. The works of </w:t>
      </w:r>
      <w:proofErr w:type="spellStart"/>
      <w:r>
        <w:t>Belosevic</w:t>
      </w:r>
      <w:proofErr w:type="spellEnd"/>
      <w:r>
        <w:t xml:space="preserve"> et al [</w:t>
      </w:r>
      <w:r>
        <w:rPr>
          <w:color w:val="0000FF"/>
        </w:rPr>
        <w:t>14</w:t>
      </w:r>
      <w:r>
        <w:t>] found that the low-load operation of boilers considerably affects the flow and temperature fields, the flame geometry, chemical reactions and concentrations of combustion products.</w:t>
      </w:r>
    </w:p>
    <w:p w14:paraId="00122411" w14:textId="77777777" w:rsidR="00CD21A2" w:rsidRDefault="002656DE">
      <w:pPr>
        <w:ind w:left="-15" w:right="1005"/>
      </w:pPr>
      <w:proofErr w:type="spellStart"/>
      <w:r>
        <w:t>Hernik</w:t>
      </w:r>
      <w:proofErr w:type="spellEnd"/>
      <w:r>
        <w:t xml:space="preserve"> et al [</w:t>
      </w:r>
      <w:r>
        <w:rPr>
          <w:color w:val="0000FF"/>
        </w:rPr>
        <w:t>3</w:t>
      </w:r>
      <w:r>
        <w:t>] investigated the effects of using different mill system configurations at a minimum boiler load of 40%. The most favourable mill system configuration was selected based on the case that exhibited suitable combustion stability and emission of harmful substances. Similarly, Chang et al [</w:t>
      </w:r>
      <w:r>
        <w:rPr>
          <w:color w:val="0000FF"/>
        </w:rPr>
        <w:t>4</w:t>
      </w:r>
      <w:r>
        <w:t xml:space="preserve">] investigated the various firing arrangements of a 630 </w:t>
      </w:r>
      <w:r>
        <w:rPr>
          <w:rFonts w:ascii="Cambria" w:eastAsia="Cambria" w:hAnsi="Cambria" w:cs="Cambria"/>
          <w:i/>
        </w:rPr>
        <w:t xml:space="preserve">MWe </w:t>
      </w:r>
      <w:r>
        <w:t xml:space="preserve">tangentially fired boiler. A burner angle of -15 </w:t>
      </w:r>
      <w:r>
        <w:rPr>
          <w:rFonts w:ascii="Cambria" w:eastAsia="Cambria" w:hAnsi="Cambria" w:cs="Cambria"/>
          <w:vertAlign w:val="superscript"/>
        </w:rPr>
        <w:t xml:space="preserve">◦ </w:t>
      </w:r>
      <w:r>
        <w:t>was found to be the optimal arrangement resulting in the best compromise between combustion stability and lower emissions. The aforementioned research specifically investigated combustion and gas-side effects.</w:t>
      </w:r>
    </w:p>
    <w:p w14:paraId="52FE3DFF" w14:textId="77777777" w:rsidR="00CD21A2" w:rsidRDefault="002656DE">
      <w:pPr>
        <w:ind w:left="-15" w:right="1005"/>
      </w:pPr>
      <w:r>
        <w:t>Various one-dimensional (1-D) process modelling approaches have also been used by researchers to investigate the water and gas side heat transfer interactions. These studies are usually aimed at investigating a transient event, such as a sudden disturbance, start-up, or boiler load ramping [</w:t>
      </w:r>
      <w:r>
        <w:rPr>
          <w:color w:val="0000FF"/>
        </w:rPr>
        <w:t>15</w:t>
      </w:r>
      <w:r>
        <w:t>]. Due to the non-uniformities found in CFPP furnaces which are composed of complex combustion dynamics, gas-</w:t>
      </w:r>
      <w:r>
        <w:lastRenderedPageBreak/>
        <w:t xml:space="preserve">solid interactions and radiation heat transfer phenomena, 1-D process models </w:t>
      </w:r>
      <w:proofErr w:type="spellStart"/>
      <w:r>
        <w:t>can not</w:t>
      </w:r>
      <w:proofErr w:type="spellEnd"/>
      <w:r>
        <w:t xml:space="preserve"> resolve the fireside with sufficient accuracy. However it can adequately resolve the waterside energy and momentum transport in a computationally inexpensive manner.</w:t>
      </w:r>
    </w:p>
    <w:p w14:paraId="7E9D44B6" w14:textId="77777777" w:rsidR="00CD21A2" w:rsidRDefault="002656DE">
      <w:pPr>
        <w:ind w:left="-15" w:right="1005"/>
      </w:pPr>
      <w:r>
        <w:t>The use of coupled simulations has proven to solve the deficiencies of a full 1-D process model by coupling the fireside CFD results to a 1-D water side model. Laubscher and Rousseau [</w:t>
      </w:r>
      <w:r>
        <w:rPr>
          <w:color w:val="0000FF"/>
        </w:rPr>
        <w:t>16</w:t>
      </w:r>
      <w:r>
        <w:t>] conducted a comprehensive numerical study on the impact of particle radiation properties for high ash coals using ANSYS Fluent v19.2</w:t>
      </w:r>
      <w:r>
        <w:rPr>
          <w:vertAlign w:val="superscript"/>
        </w:rPr>
        <w:t xml:space="preserve">® </w:t>
      </w:r>
      <w:r>
        <w:t xml:space="preserve">and </w:t>
      </w:r>
      <w:proofErr w:type="spellStart"/>
      <w:r>
        <w:t>Flownex</w:t>
      </w:r>
      <w:proofErr w:type="spellEnd"/>
      <w:r>
        <w:t xml:space="preserve"> SE</w:t>
      </w:r>
      <w:r>
        <w:rPr>
          <w:vertAlign w:val="superscript"/>
        </w:rPr>
        <w:t>®</w:t>
      </w:r>
      <w:r>
        <w:t>, while Yu et al [</w:t>
      </w:r>
      <w:r>
        <w:rPr>
          <w:color w:val="0000FF"/>
        </w:rPr>
        <w:t>17</w:t>
      </w:r>
      <w:r>
        <w:t xml:space="preserve">] used a coupled simulation methodology to estimate the superheater (SH) metal temperatures of a 660 </w:t>
      </w:r>
      <w:r>
        <w:rPr>
          <w:rFonts w:ascii="Cambria" w:eastAsia="Cambria" w:hAnsi="Cambria" w:cs="Cambria"/>
          <w:i/>
        </w:rPr>
        <w:t>MWe</w:t>
      </w:r>
    </w:p>
    <w:p w14:paraId="7262093A" w14:textId="77777777" w:rsidR="00CD21A2" w:rsidRDefault="002656DE">
      <w:pPr>
        <w:spacing w:after="151" w:line="259" w:lineRule="auto"/>
        <w:ind w:left="-15" w:right="1005" w:firstLine="0"/>
      </w:pPr>
      <w:r>
        <w:t>tangentially-fired coal boiler.</w:t>
      </w:r>
    </w:p>
    <w:p w14:paraId="3608F3E0" w14:textId="77777777" w:rsidR="00CD21A2" w:rsidRDefault="002656DE">
      <w:pPr>
        <w:ind w:left="-15" w:right="1005"/>
      </w:pPr>
      <w:r>
        <w:t>However, to the authors’ knowledge, the integration of a 1-D process model with a detail CFD model has not been used to investigate the steam side operational performance of a CFPP boiler specifically at low-load. The goal of the current work is therefore to investigate the effect of burner firing configuration on various process parameters such as steam temperatures, spray water flowrates and metal temperatures at low-load, using a detailed CFD model on the gas side coupled to a comprehensive process model on the water/steam side.</w:t>
      </w:r>
    </w:p>
    <w:p w14:paraId="1080B151" w14:textId="77777777" w:rsidR="00CD21A2" w:rsidRDefault="002656DE">
      <w:pPr>
        <w:ind w:left="-15" w:right="1005" w:firstLine="0"/>
      </w:pPr>
      <w:r>
        <w:t>To establish the accuracy of the CFD modelling approach a validation study was first conducted at loads of 100%, 80% and 60% Maximum Continuous Rating (MCR) and compared to actual plant measurements. Thereafter the model was applied to simulate the boiler operation at 32% of MCR</w:t>
      </w:r>
    </w:p>
    <w:p w14:paraId="341F3B35" w14:textId="4DCEE059" w:rsidR="00CD21A2" w:rsidRDefault="002656DE">
      <w:pPr>
        <w:spacing w:line="259" w:lineRule="auto"/>
        <w:ind w:left="-15" w:right="1005" w:firstLine="0"/>
      </w:pPr>
      <w:r>
        <w:t>with six different firing configurations.</w:t>
      </w:r>
    </w:p>
    <w:p w14:paraId="1481A23B" w14:textId="77777777" w:rsidR="00FB3E4C" w:rsidRDefault="00FB3E4C">
      <w:pPr>
        <w:spacing w:line="259" w:lineRule="auto"/>
        <w:ind w:left="-15" w:right="1005" w:firstLine="0"/>
      </w:pPr>
    </w:p>
    <w:p w14:paraId="2D2F1E5F" w14:textId="77777777" w:rsidR="00CD21A2" w:rsidRDefault="002656DE">
      <w:pPr>
        <w:pStyle w:val="Heading1"/>
        <w:ind w:left="324" w:hanging="339"/>
      </w:pPr>
      <w:r>
        <w:t>MATHEMATICAL MODEL</w:t>
      </w:r>
    </w:p>
    <w:p w14:paraId="03ACEC3F" w14:textId="77777777" w:rsidR="00CD21A2" w:rsidRDefault="002656DE">
      <w:pPr>
        <w:pStyle w:val="Heading2"/>
        <w:ind w:left="506" w:hanging="521"/>
      </w:pPr>
      <w:r>
        <w:t>Computational fluid dynamics modelling</w:t>
      </w:r>
    </w:p>
    <w:p w14:paraId="1BEFD62D" w14:textId="77777777" w:rsidR="00CD21A2" w:rsidRDefault="002656DE">
      <w:pPr>
        <w:spacing w:after="369"/>
        <w:ind w:left="-15" w:right="1005"/>
      </w:pPr>
      <w:r>
        <w:t>The present CFD work makes use of a Eulerian-Eulerian approach to capture the distribution of solid and gaseous phase properties such as mass fractions and velocities. The approach is similar to that of the mixture model supplied in ANSYS Fluent v19.5</w:t>
      </w:r>
      <w:r>
        <w:rPr>
          <w:vertAlign w:val="superscript"/>
        </w:rPr>
        <w:t>®</w:t>
      </w:r>
      <w:r>
        <w:t xml:space="preserve">, where a single momentum equation is solved for the different phases in the heterogenous mixture. The main difference between the model applied in the current work and the standard mixture model is that the latter solves a single energy equation, whereas the former solves two energy equations, one for the gas phase and another for the solid phase. This is an </w:t>
      </w:r>
      <w:r>
        <w:lastRenderedPageBreak/>
        <w:t>important feature as it allows the adequate resolution of the temperature-dependent solid fuel combustion processes such as devolatilization and char oxidation, and accurate prediction of particulate radiative heat transfer. Typically, in solid fuel combustion processes the particulate temperature is higher than the surrounding gas temperatures due to the energy release from surface combustion, and incident radiation.</w:t>
      </w:r>
    </w:p>
    <w:p w14:paraId="5AF8330B" w14:textId="77777777" w:rsidR="00CD21A2" w:rsidRDefault="002656DE">
      <w:pPr>
        <w:tabs>
          <w:tab w:val="center" w:pos="3019"/>
        </w:tabs>
        <w:spacing w:after="156" w:line="259" w:lineRule="auto"/>
        <w:ind w:left="-15" w:firstLine="0"/>
        <w:jc w:val="left"/>
      </w:pPr>
      <w:r>
        <w:rPr>
          <w:i/>
        </w:rPr>
        <w:t>2.1.1</w:t>
      </w:r>
      <w:r>
        <w:rPr>
          <w:i/>
        </w:rPr>
        <w:tab/>
        <w:t>Fluid flow, turbulence and combustion modelling</w:t>
      </w:r>
    </w:p>
    <w:p w14:paraId="7ECB1DC2" w14:textId="77777777" w:rsidR="00CD21A2" w:rsidRDefault="002656DE">
      <w:pPr>
        <w:ind w:left="-15" w:right="1005"/>
      </w:pPr>
      <w:r>
        <w:t>The flue gas-side was modelled using a Eulerian framework. The species transport modelling approach was used to approximate the mixture of chemical species in the gas phase. This approach solves a species continuity equation for each constituent present in the mixture. To reduce the computational burden, it was assumed that the various processes were in steady-state. The governing equations for the gas phase are written below in their respective Reynolds averaged forms.</w:t>
      </w:r>
    </w:p>
    <w:p w14:paraId="5141A9D7" w14:textId="77777777" w:rsidR="00CD21A2" w:rsidRDefault="002656DE">
      <w:pPr>
        <w:spacing w:after="324" w:line="259" w:lineRule="auto"/>
        <w:ind w:left="360" w:right="1005" w:firstLine="0"/>
      </w:pPr>
      <w:r>
        <w:t>Mass conservation:</w:t>
      </w:r>
    </w:p>
    <w:p w14:paraId="5F1D7B70" w14:textId="77777777" w:rsidR="00CD21A2" w:rsidRDefault="002656DE">
      <w:pPr>
        <w:tabs>
          <w:tab w:val="center" w:pos="4738"/>
          <w:tab w:val="center" w:pos="9227"/>
        </w:tabs>
        <w:spacing w:after="347" w:line="259" w:lineRule="auto"/>
        <w:ind w:left="0" w:firstLine="0"/>
        <w:jc w:val="left"/>
      </w:pPr>
      <w:r>
        <w:tab/>
      </w:r>
      <w:r>
        <w:rPr>
          <w:noProof/>
        </w:rPr>
        <w:drawing>
          <wp:inline distT="0" distB="0" distL="0" distR="0" wp14:anchorId="041D0753" wp14:editId="68AEC0E9">
            <wp:extent cx="801624" cy="313944"/>
            <wp:effectExtent l="0" t="0" r="0" b="0"/>
            <wp:docPr id="43908" name="Picture 43908"/>
            <wp:cNvGraphicFramePr/>
            <a:graphic xmlns:a="http://schemas.openxmlformats.org/drawingml/2006/main">
              <a:graphicData uri="http://schemas.openxmlformats.org/drawingml/2006/picture">
                <pic:pic xmlns:pic="http://schemas.openxmlformats.org/drawingml/2006/picture">
                  <pic:nvPicPr>
                    <pic:cNvPr id="43908" name="Picture 43908"/>
                    <pic:cNvPicPr/>
                  </pic:nvPicPr>
                  <pic:blipFill>
                    <a:blip r:embed="rId7"/>
                    <a:stretch>
                      <a:fillRect/>
                    </a:stretch>
                  </pic:blipFill>
                  <pic:spPr>
                    <a:xfrm>
                      <a:off x="0" y="0"/>
                      <a:ext cx="801624" cy="313944"/>
                    </a:xfrm>
                    <a:prstGeom prst="rect">
                      <a:avLst/>
                    </a:prstGeom>
                  </pic:spPr>
                </pic:pic>
              </a:graphicData>
            </a:graphic>
          </wp:inline>
        </w:drawing>
      </w:r>
      <w:r>
        <w:tab/>
        <w:t>(1)</w:t>
      </w:r>
    </w:p>
    <w:p w14:paraId="09156BD4" w14:textId="77777777" w:rsidR="00CD21A2" w:rsidRDefault="002656DE">
      <w:pPr>
        <w:spacing w:after="269" w:line="259" w:lineRule="auto"/>
        <w:ind w:left="360" w:right="1005" w:firstLine="0"/>
      </w:pPr>
      <w:r>
        <w:t>Momentum conservation:</w:t>
      </w:r>
    </w:p>
    <w:p w14:paraId="15D66C53" w14:textId="77777777" w:rsidR="00CD21A2" w:rsidRDefault="002656DE">
      <w:pPr>
        <w:tabs>
          <w:tab w:val="center" w:pos="4718"/>
          <w:tab w:val="center" w:pos="9227"/>
        </w:tabs>
        <w:spacing w:after="4" w:line="259" w:lineRule="auto"/>
        <w:ind w:left="0" w:firstLine="0"/>
        <w:jc w:val="left"/>
      </w:pPr>
      <w:r>
        <w:tab/>
      </w:r>
      <w:r>
        <w:rPr>
          <w:noProof/>
        </w:rPr>
        <w:drawing>
          <wp:inline distT="0" distB="0" distL="0" distR="0" wp14:anchorId="132B889C" wp14:editId="0824739C">
            <wp:extent cx="4773168" cy="341376"/>
            <wp:effectExtent l="0" t="0" r="0" b="0"/>
            <wp:docPr id="43909" name="Picture 43909"/>
            <wp:cNvGraphicFramePr/>
            <a:graphic xmlns:a="http://schemas.openxmlformats.org/drawingml/2006/main">
              <a:graphicData uri="http://schemas.openxmlformats.org/drawingml/2006/picture">
                <pic:pic xmlns:pic="http://schemas.openxmlformats.org/drawingml/2006/picture">
                  <pic:nvPicPr>
                    <pic:cNvPr id="43909" name="Picture 43909"/>
                    <pic:cNvPicPr/>
                  </pic:nvPicPr>
                  <pic:blipFill>
                    <a:blip r:embed="rId8"/>
                    <a:stretch>
                      <a:fillRect/>
                    </a:stretch>
                  </pic:blipFill>
                  <pic:spPr>
                    <a:xfrm>
                      <a:off x="0" y="0"/>
                      <a:ext cx="4773168" cy="341376"/>
                    </a:xfrm>
                    <a:prstGeom prst="rect">
                      <a:avLst/>
                    </a:prstGeom>
                  </pic:spPr>
                </pic:pic>
              </a:graphicData>
            </a:graphic>
          </wp:inline>
        </w:drawing>
      </w:r>
      <w:r>
        <w:tab/>
        <w:t>(2)</w:t>
      </w:r>
    </w:p>
    <w:p w14:paraId="5E066A7E" w14:textId="77777777" w:rsidR="00CD21A2" w:rsidRDefault="002656DE">
      <w:pPr>
        <w:spacing w:after="291" w:line="259" w:lineRule="auto"/>
        <w:ind w:left="360" w:right="1005" w:firstLine="0"/>
      </w:pPr>
      <w:r>
        <w:t>Energy conservation:</w:t>
      </w:r>
    </w:p>
    <w:p w14:paraId="37304269" w14:textId="77777777" w:rsidR="00CD21A2" w:rsidRDefault="002656DE">
      <w:pPr>
        <w:tabs>
          <w:tab w:val="center" w:pos="4716"/>
          <w:tab w:val="center" w:pos="9227"/>
        </w:tabs>
        <w:spacing w:after="340" w:line="259" w:lineRule="auto"/>
        <w:ind w:left="0" w:firstLine="0"/>
        <w:jc w:val="left"/>
      </w:pPr>
      <w:r>
        <w:tab/>
      </w:r>
      <w:r>
        <w:rPr>
          <w:noProof/>
        </w:rPr>
        <w:drawing>
          <wp:inline distT="0" distB="0" distL="0" distR="0" wp14:anchorId="7973DE37" wp14:editId="6D20ED2C">
            <wp:extent cx="2200656" cy="341376"/>
            <wp:effectExtent l="0" t="0" r="0" b="0"/>
            <wp:docPr id="43910" name="Picture 43910"/>
            <wp:cNvGraphicFramePr/>
            <a:graphic xmlns:a="http://schemas.openxmlformats.org/drawingml/2006/main">
              <a:graphicData uri="http://schemas.openxmlformats.org/drawingml/2006/picture">
                <pic:pic xmlns:pic="http://schemas.openxmlformats.org/drawingml/2006/picture">
                  <pic:nvPicPr>
                    <pic:cNvPr id="43910" name="Picture 43910"/>
                    <pic:cNvPicPr/>
                  </pic:nvPicPr>
                  <pic:blipFill>
                    <a:blip r:embed="rId9"/>
                    <a:stretch>
                      <a:fillRect/>
                    </a:stretch>
                  </pic:blipFill>
                  <pic:spPr>
                    <a:xfrm>
                      <a:off x="0" y="0"/>
                      <a:ext cx="2200656" cy="341376"/>
                    </a:xfrm>
                    <a:prstGeom prst="rect">
                      <a:avLst/>
                    </a:prstGeom>
                  </pic:spPr>
                </pic:pic>
              </a:graphicData>
            </a:graphic>
          </wp:inline>
        </w:drawing>
      </w:r>
      <w:r>
        <w:tab/>
        <w:t>(3)</w:t>
      </w:r>
    </w:p>
    <w:p w14:paraId="5170796E" w14:textId="77777777" w:rsidR="00CD21A2" w:rsidRDefault="002656DE">
      <w:pPr>
        <w:spacing w:after="236" w:line="259" w:lineRule="auto"/>
        <w:ind w:left="360" w:right="1005" w:firstLine="0"/>
      </w:pPr>
      <w:r>
        <w:t>Species transport:</w:t>
      </w:r>
    </w:p>
    <w:p w14:paraId="62EF4F25" w14:textId="77777777" w:rsidR="00CD21A2" w:rsidRDefault="002656DE">
      <w:pPr>
        <w:tabs>
          <w:tab w:val="center" w:pos="4736"/>
          <w:tab w:val="center" w:pos="9227"/>
        </w:tabs>
        <w:spacing w:after="108" w:line="259" w:lineRule="auto"/>
        <w:ind w:left="0" w:firstLine="0"/>
        <w:jc w:val="left"/>
      </w:pPr>
      <w:r>
        <w:tab/>
      </w:r>
      <w:r>
        <w:rPr>
          <w:noProof/>
        </w:rPr>
        <w:drawing>
          <wp:inline distT="0" distB="0" distL="0" distR="0" wp14:anchorId="2337A14E" wp14:editId="2833EB9A">
            <wp:extent cx="2407920" cy="356616"/>
            <wp:effectExtent l="0" t="0" r="0" b="0"/>
            <wp:docPr id="43911" name="Picture 43911"/>
            <wp:cNvGraphicFramePr/>
            <a:graphic xmlns:a="http://schemas.openxmlformats.org/drawingml/2006/main">
              <a:graphicData uri="http://schemas.openxmlformats.org/drawingml/2006/picture">
                <pic:pic xmlns:pic="http://schemas.openxmlformats.org/drawingml/2006/picture">
                  <pic:nvPicPr>
                    <pic:cNvPr id="43911" name="Picture 43911"/>
                    <pic:cNvPicPr/>
                  </pic:nvPicPr>
                  <pic:blipFill>
                    <a:blip r:embed="rId10"/>
                    <a:stretch>
                      <a:fillRect/>
                    </a:stretch>
                  </pic:blipFill>
                  <pic:spPr>
                    <a:xfrm>
                      <a:off x="0" y="0"/>
                      <a:ext cx="2407920" cy="356616"/>
                    </a:xfrm>
                    <a:prstGeom prst="rect">
                      <a:avLst/>
                    </a:prstGeom>
                  </pic:spPr>
                </pic:pic>
              </a:graphicData>
            </a:graphic>
          </wp:inline>
        </w:drawing>
      </w:r>
      <w:r>
        <w:tab/>
        <w:t>(4)</w:t>
      </w:r>
    </w:p>
    <w:p w14:paraId="11BC24A6" w14:textId="77777777" w:rsidR="00CD21A2" w:rsidRDefault="002656DE">
      <w:pPr>
        <w:spacing w:after="409" w:line="259" w:lineRule="auto"/>
        <w:ind w:left="2766" w:firstLine="0"/>
        <w:jc w:val="left"/>
      </w:pPr>
      <w:r>
        <w:rPr>
          <w:rFonts w:ascii="Cambria" w:eastAsia="Cambria" w:hAnsi="Cambria" w:cs="Cambria"/>
          <w:i/>
        </w:rPr>
        <w:t xml:space="preserve">k </w:t>
      </w:r>
      <w:r>
        <w:rPr>
          <w:rFonts w:ascii="Cambria" w:eastAsia="Cambria" w:hAnsi="Cambria" w:cs="Cambria"/>
        </w:rPr>
        <w:t>= 1</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3</w:t>
      </w:r>
      <w:r>
        <w:rPr>
          <w:rFonts w:ascii="Cambria" w:eastAsia="Cambria" w:hAnsi="Cambria" w:cs="Cambria"/>
          <w:i/>
        </w:rPr>
        <w:t>...N</w:t>
      </w:r>
    </w:p>
    <w:p w14:paraId="79D69E7C" w14:textId="77777777" w:rsidR="00CD21A2" w:rsidRDefault="002656DE">
      <w:pPr>
        <w:spacing w:after="159"/>
        <w:ind w:left="-15" w:right="1005"/>
      </w:pPr>
      <w:r>
        <w:t>To correctly account for the particle inertial effects on the gas phase convection, the model makes use of an effective density which is defined as follows:</w:t>
      </w:r>
    </w:p>
    <w:p w14:paraId="398B055D" w14:textId="77777777" w:rsidR="00CD21A2" w:rsidRDefault="002656DE">
      <w:pPr>
        <w:tabs>
          <w:tab w:val="center" w:pos="4695"/>
          <w:tab w:val="center" w:pos="9227"/>
        </w:tabs>
        <w:spacing w:after="374" w:line="259" w:lineRule="auto"/>
        <w:ind w:left="0" w:firstLine="0"/>
        <w:jc w:val="left"/>
      </w:pPr>
      <w:r>
        <w:lastRenderedPageBreak/>
        <w:tab/>
      </w:r>
      <w:r>
        <w:rPr>
          <w:noProof/>
        </w:rPr>
        <w:drawing>
          <wp:inline distT="0" distB="0" distL="0" distR="0" wp14:anchorId="6AE24A9C" wp14:editId="06553072">
            <wp:extent cx="1264920" cy="338328"/>
            <wp:effectExtent l="0" t="0" r="0" b="0"/>
            <wp:docPr id="43912" name="Picture 43912"/>
            <wp:cNvGraphicFramePr/>
            <a:graphic xmlns:a="http://schemas.openxmlformats.org/drawingml/2006/main">
              <a:graphicData uri="http://schemas.openxmlformats.org/drawingml/2006/picture">
                <pic:pic xmlns:pic="http://schemas.openxmlformats.org/drawingml/2006/picture">
                  <pic:nvPicPr>
                    <pic:cNvPr id="43912" name="Picture 43912"/>
                    <pic:cNvPicPr/>
                  </pic:nvPicPr>
                  <pic:blipFill>
                    <a:blip r:embed="rId11"/>
                    <a:stretch>
                      <a:fillRect/>
                    </a:stretch>
                  </pic:blipFill>
                  <pic:spPr>
                    <a:xfrm>
                      <a:off x="0" y="0"/>
                      <a:ext cx="1264920" cy="338328"/>
                    </a:xfrm>
                    <a:prstGeom prst="rect">
                      <a:avLst/>
                    </a:prstGeom>
                  </pic:spPr>
                </pic:pic>
              </a:graphicData>
            </a:graphic>
          </wp:inline>
        </w:drawing>
      </w:r>
      <w:r>
        <w:tab/>
        <w:t>(5)</w:t>
      </w:r>
    </w:p>
    <w:p w14:paraId="2559A69D" w14:textId="5765538F" w:rsidR="00CD21A2" w:rsidRDefault="002656DE">
      <w:pPr>
        <w:ind w:left="-15" w:right="1005"/>
      </w:pPr>
      <w:r>
        <w:t>In the present study the realizable k-</w:t>
      </w:r>
      <w:r>
        <w:rPr>
          <w:rFonts w:ascii="Cambria" w:eastAsia="Cambria" w:hAnsi="Cambria" w:cs="Cambria"/>
          <w:i/>
        </w:rPr>
        <w:t xml:space="preserve">ε </w:t>
      </w:r>
      <w:r>
        <w:t>turbulence model was utilized to address the turbulence closure problem. This model has been successfully used by researchers ([</w:t>
      </w:r>
      <w:r>
        <w:rPr>
          <w:color w:val="0000FF"/>
        </w:rPr>
        <w:t>14</w:t>
      </w:r>
      <w:r>
        <w:t>,</w:t>
      </w:r>
      <w:r w:rsidR="00584939">
        <w:t xml:space="preserve"> </w:t>
      </w:r>
      <w:r>
        <w:rPr>
          <w:color w:val="0000FF"/>
        </w:rPr>
        <w:t>7</w:t>
      </w:r>
      <w:r w:rsidR="00584939">
        <w:rPr>
          <w:color w:val="0000FF"/>
        </w:rPr>
        <w:t>,</w:t>
      </w:r>
      <w:r>
        <w:t xml:space="preserve"> </w:t>
      </w:r>
      <w:r>
        <w:rPr>
          <w:color w:val="0000FF"/>
        </w:rPr>
        <w:t>5</w:t>
      </w:r>
      <w:r w:rsidR="00584939">
        <w:rPr>
          <w:color w:val="0000FF"/>
        </w:rPr>
        <w:t>]</w:t>
      </w:r>
      <w:r>
        <w:t>), in modelling the effects of coal-fired swirl burners. The model generally produces higher accuracy results, when compared to the standard k-</w:t>
      </w:r>
      <w:r>
        <w:rPr>
          <w:rFonts w:ascii="Cambria" w:eastAsia="Cambria" w:hAnsi="Cambria" w:cs="Cambria"/>
          <w:i/>
        </w:rPr>
        <w:t xml:space="preserve">ε </w:t>
      </w:r>
      <w:r>
        <w:t>model, for problems incorporating swirling and separating flows.</w:t>
      </w:r>
    </w:p>
    <w:p w14:paraId="7B59A91A" w14:textId="77777777" w:rsidR="00CD21A2" w:rsidRDefault="002656DE">
      <w:pPr>
        <w:spacing w:after="153"/>
        <w:ind w:left="-15" w:right="1005"/>
      </w:pPr>
      <w:r>
        <w:t>The process of coal combustion comprises of four sequential steps namely, inert heating and evaporation of moisture, devolatilization, char oxidation and gas phase reactions. Equations (</w:t>
      </w:r>
      <w:r>
        <w:rPr>
          <w:color w:val="0000FF"/>
        </w:rPr>
        <w:t>6</w:t>
      </w:r>
      <w:r>
        <w:t>) and (</w:t>
      </w:r>
      <w:r>
        <w:rPr>
          <w:color w:val="0000FF"/>
        </w:rPr>
        <w:t>7</w:t>
      </w:r>
      <w:r>
        <w:t>) show the single rate kinetic model utilized in this study, to model the devolatilization process.</w:t>
      </w:r>
    </w:p>
    <w:p w14:paraId="39B94301" w14:textId="77777777" w:rsidR="00CD21A2" w:rsidRDefault="002656DE">
      <w:pPr>
        <w:tabs>
          <w:tab w:val="center" w:pos="4716"/>
          <w:tab w:val="center" w:pos="9227"/>
        </w:tabs>
        <w:spacing w:line="259" w:lineRule="auto"/>
        <w:ind w:left="0" w:firstLine="0"/>
        <w:jc w:val="left"/>
      </w:pPr>
      <w:r>
        <w:tab/>
      </w:r>
      <w:r>
        <w:rPr>
          <w:noProof/>
        </w:rPr>
        <w:drawing>
          <wp:inline distT="0" distB="0" distL="0" distR="0" wp14:anchorId="0D303CF0" wp14:editId="0E9E8D85">
            <wp:extent cx="1682496" cy="445009"/>
            <wp:effectExtent l="0" t="0" r="0" b="0"/>
            <wp:docPr id="43913" name="Picture 43913"/>
            <wp:cNvGraphicFramePr/>
            <a:graphic xmlns:a="http://schemas.openxmlformats.org/drawingml/2006/main">
              <a:graphicData uri="http://schemas.openxmlformats.org/drawingml/2006/picture">
                <pic:pic xmlns:pic="http://schemas.openxmlformats.org/drawingml/2006/picture">
                  <pic:nvPicPr>
                    <pic:cNvPr id="43913" name="Picture 43913"/>
                    <pic:cNvPicPr/>
                  </pic:nvPicPr>
                  <pic:blipFill>
                    <a:blip r:embed="rId12"/>
                    <a:stretch>
                      <a:fillRect/>
                    </a:stretch>
                  </pic:blipFill>
                  <pic:spPr>
                    <a:xfrm>
                      <a:off x="0" y="0"/>
                      <a:ext cx="1682496" cy="445009"/>
                    </a:xfrm>
                    <a:prstGeom prst="rect">
                      <a:avLst/>
                    </a:prstGeom>
                  </pic:spPr>
                </pic:pic>
              </a:graphicData>
            </a:graphic>
          </wp:inline>
        </w:drawing>
      </w:r>
      <w:r>
        <w:tab/>
        <w:t>(6)</w:t>
      </w:r>
    </w:p>
    <w:p w14:paraId="134C613F" w14:textId="77777777" w:rsidR="00CD21A2" w:rsidRDefault="002656DE">
      <w:pPr>
        <w:tabs>
          <w:tab w:val="center" w:pos="4707"/>
          <w:tab w:val="center" w:pos="9227"/>
        </w:tabs>
        <w:spacing w:after="391" w:line="259" w:lineRule="auto"/>
        <w:ind w:left="0" w:firstLine="0"/>
        <w:jc w:val="left"/>
      </w:pPr>
      <w:r>
        <w:tab/>
      </w:r>
      <w:r>
        <w:rPr>
          <w:noProof/>
        </w:rPr>
        <w:drawing>
          <wp:inline distT="0" distB="0" distL="0" distR="0" wp14:anchorId="73A7E1FC" wp14:editId="0A956302">
            <wp:extent cx="3041904" cy="630937"/>
            <wp:effectExtent l="0" t="0" r="0" b="0"/>
            <wp:docPr id="43914" name="Picture 43914"/>
            <wp:cNvGraphicFramePr/>
            <a:graphic xmlns:a="http://schemas.openxmlformats.org/drawingml/2006/main">
              <a:graphicData uri="http://schemas.openxmlformats.org/drawingml/2006/picture">
                <pic:pic xmlns:pic="http://schemas.openxmlformats.org/drawingml/2006/picture">
                  <pic:nvPicPr>
                    <pic:cNvPr id="43914" name="Picture 43914"/>
                    <pic:cNvPicPr/>
                  </pic:nvPicPr>
                  <pic:blipFill>
                    <a:blip r:embed="rId13"/>
                    <a:stretch>
                      <a:fillRect/>
                    </a:stretch>
                  </pic:blipFill>
                  <pic:spPr>
                    <a:xfrm>
                      <a:off x="0" y="0"/>
                      <a:ext cx="3041904" cy="630937"/>
                    </a:xfrm>
                    <a:prstGeom prst="rect">
                      <a:avLst/>
                    </a:prstGeom>
                  </pic:spPr>
                </pic:pic>
              </a:graphicData>
            </a:graphic>
          </wp:inline>
        </w:drawing>
      </w:r>
      <w:r>
        <w:tab/>
        <w:t>(7)</w:t>
      </w:r>
    </w:p>
    <w:p w14:paraId="743B663B" w14:textId="77777777" w:rsidR="00CD21A2" w:rsidRDefault="002656DE">
      <w:pPr>
        <w:spacing w:after="180" w:line="259" w:lineRule="auto"/>
        <w:ind w:left="10" w:right="1005" w:hanging="10"/>
        <w:jc w:val="right"/>
      </w:pPr>
      <w:r>
        <w:t>A devolatilization temperature of 553 [</w:t>
      </w:r>
      <w:r>
        <w:rPr>
          <w:rFonts w:ascii="Cambria" w:eastAsia="Cambria" w:hAnsi="Cambria" w:cs="Cambria"/>
          <w:i/>
        </w:rPr>
        <w:t>K</w:t>
      </w:r>
      <w:r>
        <w:t>] [</w:t>
      </w:r>
      <w:r>
        <w:rPr>
          <w:color w:val="0000FF"/>
        </w:rPr>
        <w:t>18</w:t>
      </w:r>
      <w:r>
        <w:t xml:space="preserve">] along with the kinetic parameters (Eqn. </w:t>
      </w:r>
      <w:r>
        <w:rPr>
          <w:color w:val="0000FF"/>
        </w:rPr>
        <w:t>7</w:t>
      </w:r>
      <w:r>
        <w:t>) of</w:t>
      </w:r>
    </w:p>
    <w:p w14:paraId="6477E777" w14:textId="46487A68" w:rsidR="007A6E95" w:rsidRDefault="002656DE" w:rsidP="007A6E95">
      <w:pPr>
        <w:spacing w:line="259" w:lineRule="auto"/>
        <w:ind w:left="-15" w:right="1005" w:firstLine="0"/>
      </w:pPr>
      <w:r>
        <w:t>Sheng et al [</w:t>
      </w:r>
      <w:r>
        <w:rPr>
          <w:color w:val="0000FF"/>
        </w:rPr>
        <w:t>19</w:t>
      </w:r>
      <w:r>
        <w:t>] were utilized in the present study.</w:t>
      </w:r>
    </w:p>
    <w:p w14:paraId="658CBD7F" w14:textId="77777777" w:rsidR="007A6E95" w:rsidRDefault="007A6E95" w:rsidP="007A6E95">
      <w:pPr>
        <w:spacing w:line="259" w:lineRule="auto"/>
        <w:ind w:left="-15" w:right="1005" w:firstLine="0"/>
      </w:pPr>
    </w:p>
    <w:p w14:paraId="64998ADC" w14:textId="77777777" w:rsidR="00CD21A2" w:rsidRDefault="002656DE">
      <w:pPr>
        <w:spacing w:after="135"/>
        <w:ind w:left="-15" w:right="1005"/>
      </w:pPr>
      <w:r>
        <w:t>The char oxidation process is modelled using the diffusion-kinetics limited model developed by Baum and Street [</w:t>
      </w:r>
      <w:r>
        <w:rPr>
          <w:color w:val="0000FF"/>
        </w:rPr>
        <w:t>20</w:t>
      </w:r>
      <w:r>
        <w:t>], which is given in Eqn. (</w:t>
      </w:r>
      <w:r>
        <w:rPr>
          <w:color w:val="0000FF"/>
        </w:rPr>
        <w:t>8</w:t>
      </w:r>
      <w:r>
        <w:t xml:space="preserve">). The product species of the char oxidation reaction was set to </w:t>
      </w:r>
      <w:r>
        <w:rPr>
          <w:rFonts w:ascii="Cambria" w:eastAsia="Cambria" w:hAnsi="Cambria" w:cs="Cambria"/>
          <w:i/>
        </w:rPr>
        <w:t xml:space="preserve">CO </w:t>
      </w:r>
      <w:r>
        <w:t>as shown in Eqn. (</w:t>
      </w:r>
      <w:r>
        <w:rPr>
          <w:color w:val="0000FF"/>
        </w:rPr>
        <w:t>9</w:t>
      </w:r>
      <w:r>
        <w:t>).</w:t>
      </w:r>
    </w:p>
    <w:p w14:paraId="71710777" w14:textId="77777777" w:rsidR="00CD21A2" w:rsidRDefault="002656DE">
      <w:pPr>
        <w:tabs>
          <w:tab w:val="center" w:pos="4717"/>
          <w:tab w:val="center" w:pos="9227"/>
        </w:tabs>
        <w:spacing w:after="208" w:line="259" w:lineRule="auto"/>
        <w:ind w:left="0" w:firstLine="0"/>
        <w:jc w:val="left"/>
      </w:pPr>
      <w:r>
        <w:tab/>
      </w:r>
      <w:r>
        <w:rPr>
          <w:noProof/>
        </w:rPr>
        <w:drawing>
          <wp:inline distT="0" distB="0" distL="0" distR="0" wp14:anchorId="2003EAEB" wp14:editId="5157ECC5">
            <wp:extent cx="1776984" cy="332232"/>
            <wp:effectExtent l="0" t="0" r="0" b="0"/>
            <wp:docPr id="43915" name="Picture 43915"/>
            <wp:cNvGraphicFramePr/>
            <a:graphic xmlns:a="http://schemas.openxmlformats.org/drawingml/2006/main">
              <a:graphicData uri="http://schemas.openxmlformats.org/drawingml/2006/picture">
                <pic:pic xmlns:pic="http://schemas.openxmlformats.org/drawingml/2006/picture">
                  <pic:nvPicPr>
                    <pic:cNvPr id="43915" name="Picture 43915"/>
                    <pic:cNvPicPr/>
                  </pic:nvPicPr>
                  <pic:blipFill>
                    <a:blip r:embed="rId14"/>
                    <a:stretch>
                      <a:fillRect/>
                    </a:stretch>
                  </pic:blipFill>
                  <pic:spPr>
                    <a:xfrm>
                      <a:off x="0" y="0"/>
                      <a:ext cx="1776984" cy="332232"/>
                    </a:xfrm>
                    <a:prstGeom prst="rect">
                      <a:avLst/>
                    </a:prstGeom>
                  </pic:spPr>
                </pic:pic>
              </a:graphicData>
            </a:graphic>
          </wp:inline>
        </w:drawing>
      </w:r>
      <w:r>
        <w:tab/>
        <w:t>(8)</w:t>
      </w:r>
    </w:p>
    <w:p w14:paraId="18384F80" w14:textId="77777777" w:rsidR="00CD21A2" w:rsidRDefault="002656DE">
      <w:pPr>
        <w:tabs>
          <w:tab w:val="center" w:pos="4675"/>
          <w:tab w:val="center" w:pos="9227"/>
        </w:tabs>
        <w:spacing w:after="442" w:line="259" w:lineRule="auto"/>
        <w:ind w:left="0" w:firstLine="0"/>
        <w:jc w:val="left"/>
      </w:pPr>
      <w:r>
        <w:tab/>
      </w:r>
      <w:r>
        <w:rPr>
          <w:rFonts w:ascii="Cambria" w:eastAsia="Cambria" w:hAnsi="Cambria" w:cs="Cambria"/>
          <w:i/>
        </w:rPr>
        <w:t>C</w:t>
      </w:r>
      <w:r>
        <w:rPr>
          <w:rFonts w:ascii="Cambria" w:eastAsia="Cambria" w:hAnsi="Cambria" w:cs="Cambria"/>
          <w:sz w:val="16"/>
        </w:rPr>
        <w:t>(</w:t>
      </w:r>
      <w:r>
        <w:rPr>
          <w:rFonts w:ascii="Cambria" w:eastAsia="Cambria" w:hAnsi="Cambria" w:cs="Cambria"/>
          <w:i/>
          <w:sz w:val="16"/>
        </w:rPr>
        <w:t>s</w:t>
      </w:r>
      <w:r>
        <w:rPr>
          <w:rFonts w:ascii="Cambria" w:eastAsia="Cambria" w:hAnsi="Cambria" w:cs="Cambria"/>
          <w:sz w:val="16"/>
        </w:rPr>
        <w:t xml:space="preserve">) </w:t>
      </w:r>
      <w:r>
        <w:rPr>
          <w:rFonts w:ascii="Cambria" w:eastAsia="Cambria" w:hAnsi="Cambria" w:cs="Cambria"/>
        </w:rPr>
        <w:t>+ 0</w:t>
      </w:r>
      <w:r>
        <w:rPr>
          <w:rFonts w:ascii="Cambria" w:eastAsia="Cambria" w:hAnsi="Cambria" w:cs="Cambria"/>
          <w:i/>
        </w:rPr>
        <w:t>.</w:t>
      </w:r>
      <w:r>
        <w:rPr>
          <w:rFonts w:ascii="Cambria" w:eastAsia="Cambria" w:hAnsi="Cambria" w:cs="Cambria"/>
        </w:rPr>
        <w:t>5</w:t>
      </w:r>
      <w:r>
        <w:rPr>
          <w:rFonts w:ascii="Cambria" w:eastAsia="Cambria" w:hAnsi="Cambria" w:cs="Cambria"/>
          <w:i/>
        </w:rPr>
        <w:t>O</w:t>
      </w:r>
      <w:r>
        <w:rPr>
          <w:rFonts w:ascii="Cambria" w:eastAsia="Cambria" w:hAnsi="Cambria" w:cs="Cambria"/>
          <w:sz w:val="16"/>
        </w:rPr>
        <w:t>2(</w:t>
      </w:r>
      <w:r>
        <w:rPr>
          <w:rFonts w:ascii="Cambria" w:eastAsia="Cambria" w:hAnsi="Cambria" w:cs="Cambria"/>
          <w:i/>
          <w:sz w:val="16"/>
        </w:rPr>
        <w:t>g</w:t>
      </w:r>
      <w:r>
        <w:rPr>
          <w:rFonts w:ascii="Cambria" w:eastAsia="Cambria" w:hAnsi="Cambria" w:cs="Cambria"/>
          <w:sz w:val="16"/>
        </w:rPr>
        <w:t xml:space="preserve">) </w:t>
      </w:r>
      <w:r>
        <w:rPr>
          <w:rFonts w:ascii="Cambria" w:eastAsia="Cambria" w:hAnsi="Cambria" w:cs="Cambria"/>
        </w:rPr>
        <w:t xml:space="preserve">→ </w:t>
      </w:r>
      <w:r>
        <w:rPr>
          <w:rFonts w:ascii="Cambria" w:eastAsia="Cambria" w:hAnsi="Cambria" w:cs="Cambria"/>
          <w:i/>
        </w:rPr>
        <w:t>CO</w:t>
      </w:r>
      <w:r>
        <w:rPr>
          <w:rFonts w:ascii="Cambria" w:eastAsia="Cambria" w:hAnsi="Cambria" w:cs="Cambria"/>
          <w:sz w:val="16"/>
        </w:rPr>
        <w:t>(</w:t>
      </w:r>
      <w:r>
        <w:rPr>
          <w:rFonts w:ascii="Cambria" w:eastAsia="Cambria" w:hAnsi="Cambria" w:cs="Cambria"/>
          <w:i/>
          <w:sz w:val="16"/>
        </w:rPr>
        <w:t>g</w:t>
      </w:r>
      <w:r>
        <w:rPr>
          <w:rFonts w:ascii="Cambria" w:eastAsia="Cambria" w:hAnsi="Cambria" w:cs="Cambria"/>
          <w:sz w:val="16"/>
        </w:rPr>
        <w:t>)</w:t>
      </w:r>
      <w:r>
        <w:rPr>
          <w:rFonts w:ascii="Cambria" w:eastAsia="Cambria" w:hAnsi="Cambria" w:cs="Cambria"/>
          <w:sz w:val="16"/>
        </w:rPr>
        <w:tab/>
      </w:r>
      <w:r>
        <w:t>(9)</w:t>
      </w:r>
    </w:p>
    <w:p w14:paraId="434EB14C" w14:textId="77777777" w:rsidR="00CD21A2" w:rsidRDefault="002656DE">
      <w:pPr>
        <w:spacing w:after="131"/>
        <w:ind w:left="-15" w:right="1005"/>
      </w:pPr>
      <w:r>
        <w:t>The diffusion and kinetic rates of Eqn. (</w:t>
      </w:r>
      <w:r>
        <w:rPr>
          <w:color w:val="0000FF"/>
        </w:rPr>
        <w:t>8</w:t>
      </w:r>
      <w:r>
        <w:t>) are defined in Eqn. (</w:t>
      </w:r>
      <w:r>
        <w:rPr>
          <w:color w:val="0000FF"/>
        </w:rPr>
        <w:t>10</w:t>
      </w:r>
      <w:r>
        <w:t>) and Eqn. (</w:t>
      </w:r>
      <w:r>
        <w:rPr>
          <w:color w:val="0000FF"/>
        </w:rPr>
        <w:t>11</w:t>
      </w:r>
      <w:r>
        <w:t>) with the kinetic parameters again taken from the works of Sheng et al [</w:t>
      </w:r>
      <w:r>
        <w:rPr>
          <w:color w:val="0000FF"/>
        </w:rPr>
        <w:t>19</w:t>
      </w:r>
      <w:r>
        <w:t>].</w:t>
      </w:r>
    </w:p>
    <w:p w14:paraId="3CF49B9C" w14:textId="77777777" w:rsidR="00CD21A2" w:rsidRDefault="002656DE">
      <w:pPr>
        <w:tabs>
          <w:tab w:val="center" w:pos="4697"/>
          <w:tab w:val="center" w:pos="9166"/>
        </w:tabs>
        <w:spacing w:after="4" w:line="259" w:lineRule="auto"/>
        <w:ind w:left="0" w:firstLine="0"/>
        <w:jc w:val="left"/>
      </w:pPr>
      <w:r>
        <w:lastRenderedPageBreak/>
        <w:tab/>
      </w:r>
      <w:r>
        <w:rPr>
          <w:noProof/>
        </w:rPr>
        <w:drawing>
          <wp:inline distT="0" distB="0" distL="0" distR="0" wp14:anchorId="352332A2" wp14:editId="225A4E5D">
            <wp:extent cx="2014728" cy="527304"/>
            <wp:effectExtent l="0" t="0" r="0" b="0"/>
            <wp:docPr id="43916" name="Picture 43916"/>
            <wp:cNvGraphicFramePr/>
            <a:graphic xmlns:a="http://schemas.openxmlformats.org/drawingml/2006/main">
              <a:graphicData uri="http://schemas.openxmlformats.org/drawingml/2006/picture">
                <pic:pic xmlns:pic="http://schemas.openxmlformats.org/drawingml/2006/picture">
                  <pic:nvPicPr>
                    <pic:cNvPr id="43916" name="Picture 43916"/>
                    <pic:cNvPicPr/>
                  </pic:nvPicPr>
                  <pic:blipFill>
                    <a:blip r:embed="rId15"/>
                    <a:stretch>
                      <a:fillRect/>
                    </a:stretch>
                  </pic:blipFill>
                  <pic:spPr>
                    <a:xfrm>
                      <a:off x="0" y="0"/>
                      <a:ext cx="2014728" cy="527304"/>
                    </a:xfrm>
                    <a:prstGeom prst="rect">
                      <a:avLst/>
                    </a:prstGeom>
                  </pic:spPr>
                </pic:pic>
              </a:graphicData>
            </a:graphic>
          </wp:inline>
        </w:drawing>
      </w:r>
      <w:r>
        <w:tab/>
        <w:t>(10)</w:t>
      </w:r>
    </w:p>
    <w:p w14:paraId="0F0271D6" w14:textId="77777777" w:rsidR="00CD21A2" w:rsidRDefault="002656DE">
      <w:pPr>
        <w:tabs>
          <w:tab w:val="center" w:pos="4711"/>
          <w:tab w:val="center" w:pos="9166"/>
        </w:tabs>
        <w:spacing w:after="387" w:line="259" w:lineRule="auto"/>
        <w:ind w:left="0" w:firstLine="0"/>
        <w:jc w:val="left"/>
      </w:pPr>
      <w:r>
        <w:tab/>
      </w:r>
      <w:r>
        <w:rPr>
          <w:noProof/>
        </w:rPr>
        <w:drawing>
          <wp:inline distT="0" distB="0" distL="0" distR="0" wp14:anchorId="7D7D13A2" wp14:editId="4267237D">
            <wp:extent cx="3307080" cy="624840"/>
            <wp:effectExtent l="0" t="0" r="0" b="0"/>
            <wp:docPr id="43917" name="Picture 43917"/>
            <wp:cNvGraphicFramePr/>
            <a:graphic xmlns:a="http://schemas.openxmlformats.org/drawingml/2006/main">
              <a:graphicData uri="http://schemas.openxmlformats.org/drawingml/2006/picture">
                <pic:pic xmlns:pic="http://schemas.openxmlformats.org/drawingml/2006/picture">
                  <pic:nvPicPr>
                    <pic:cNvPr id="43917" name="Picture 43917"/>
                    <pic:cNvPicPr/>
                  </pic:nvPicPr>
                  <pic:blipFill>
                    <a:blip r:embed="rId16"/>
                    <a:stretch>
                      <a:fillRect/>
                    </a:stretch>
                  </pic:blipFill>
                  <pic:spPr>
                    <a:xfrm>
                      <a:off x="0" y="0"/>
                      <a:ext cx="3307080" cy="624840"/>
                    </a:xfrm>
                    <a:prstGeom prst="rect">
                      <a:avLst/>
                    </a:prstGeom>
                  </pic:spPr>
                </pic:pic>
              </a:graphicData>
            </a:graphic>
          </wp:inline>
        </w:drawing>
      </w:r>
      <w:r>
        <w:tab/>
        <w:t>(11)</w:t>
      </w:r>
    </w:p>
    <w:p w14:paraId="6BD5E120" w14:textId="77777777" w:rsidR="00CD21A2" w:rsidRDefault="002656DE">
      <w:pPr>
        <w:spacing w:after="386"/>
        <w:ind w:left="-15" w:right="1005"/>
      </w:pPr>
      <w:r>
        <w:t>The turbulence-chemistry interactions of the gas phase reactions were approximated using the eddy-dissipation-finite rate model used in ANSYS Fluent v19.5</w:t>
      </w:r>
      <w:r>
        <w:rPr>
          <w:vertAlign w:val="superscript"/>
        </w:rPr>
        <w:t xml:space="preserve">® </w:t>
      </w:r>
      <w:r>
        <w:t>which calculates three rates, namely chemical reaction rate, turbulent production eddies dissipation rate and reaction eddies dissipation rate. It then applies the minimum of the three for the source terms calculations. A description of the CFD gas phase reactions of the boiler under consideration, using the same coal, was previously published in the works of Laubscher and Rousseau [</w:t>
      </w:r>
      <w:r>
        <w:rPr>
          <w:color w:val="0000FF"/>
        </w:rPr>
        <w:t>6</w:t>
      </w:r>
      <w:r>
        <w:t>].</w:t>
      </w:r>
    </w:p>
    <w:p w14:paraId="072A8649" w14:textId="77777777" w:rsidR="00CD21A2" w:rsidRDefault="002656DE">
      <w:pPr>
        <w:tabs>
          <w:tab w:val="center" w:pos="1564"/>
        </w:tabs>
        <w:spacing w:after="220" w:line="259" w:lineRule="auto"/>
        <w:ind w:left="-15" w:firstLine="0"/>
        <w:jc w:val="left"/>
      </w:pPr>
      <w:r>
        <w:rPr>
          <w:i/>
        </w:rPr>
        <w:t>2.1.2</w:t>
      </w:r>
      <w:r>
        <w:rPr>
          <w:i/>
        </w:rPr>
        <w:tab/>
        <w:t>Particle modelling</w:t>
      </w:r>
    </w:p>
    <w:p w14:paraId="4F69EA5A" w14:textId="77777777" w:rsidR="007A6E95" w:rsidRDefault="002656DE" w:rsidP="007A6E95">
      <w:pPr>
        <w:spacing w:after="266"/>
        <w:ind w:left="-15" w:right="1005"/>
      </w:pPr>
      <w:r>
        <w:t xml:space="preserve">The particles are modelled using a Eulerian reference frame, similar to the studies of </w:t>
      </w:r>
      <w:proofErr w:type="spellStart"/>
      <w:r>
        <w:t>Knaus</w:t>
      </w:r>
      <w:proofErr w:type="spellEnd"/>
      <w:r>
        <w:t xml:space="preserve"> et al [</w:t>
      </w:r>
      <w:r>
        <w:rPr>
          <w:color w:val="0000FF"/>
        </w:rPr>
        <w:t>21</w:t>
      </w:r>
      <w:r>
        <w:t xml:space="preserve">] and </w:t>
      </w:r>
      <w:proofErr w:type="spellStart"/>
      <w:r>
        <w:t>Benim</w:t>
      </w:r>
      <w:proofErr w:type="spellEnd"/>
      <w:r>
        <w:t xml:space="preserve"> et al [</w:t>
      </w:r>
      <w:r>
        <w:rPr>
          <w:color w:val="0000FF"/>
        </w:rPr>
        <w:t>22</w:t>
      </w:r>
      <w:r>
        <w:t>]. Both successfully used a Eulerian-</w:t>
      </w:r>
      <w:proofErr w:type="spellStart"/>
      <w:r>
        <w:t>Eulerain</w:t>
      </w:r>
      <w:proofErr w:type="spellEnd"/>
      <w:r>
        <w:t xml:space="preserve"> (EE) model to capture the characteristics of coal combustion and furnace heat transfer with adequate accuracy. The pseudo particle mass concentrations transported into the domain are modelled using the general scalar field transport equation with the necessary modifications to account for heat and mass transport [</w:t>
      </w:r>
      <w:r>
        <w:rPr>
          <w:color w:val="0000FF"/>
        </w:rPr>
        <w:t>23</w:t>
      </w:r>
      <w:r>
        <w:t xml:space="preserve">]. The pseudo-particles scalar fields are used to define the fuel characteristics based on the proximate analysis composition, namely consisting of moisture, volatile matter, fixed carbon and ash. The scalar field equations are provided in Tab. </w:t>
      </w:r>
      <w:r>
        <w:rPr>
          <w:color w:val="0000FF"/>
        </w:rPr>
        <w:t>1</w:t>
      </w:r>
      <w:r>
        <w:t>.</w:t>
      </w:r>
    </w:p>
    <w:p w14:paraId="572D5048" w14:textId="2C90F092" w:rsidR="00CD21A2" w:rsidRDefault="002656DE" w:rsidP="007A6E95">
      <w:pPr>
        <w:spacing w:after="266"/>
        <w:ind w:left="-15" w:right="1005"/>
      </w:pPr>
      <w:r>
        <w:t>The energy transport of the pseudo particle phase, is captured by defining a particle phase energy balance equation, which in turn uses the particle enthalpy.</w:t>
      </w:r>
    </w:p>
    <w:p w14:paraId="006DB187" w14:textId="77777777" w:rsidR="00CD21A2" w:rsidRDefault="002656DE">
      <w:pPr>
        <w:tabs>
          <w:tab w:val="center" w:pos="4716"/>
          <w:tab w:val="center" w:pos="9166"/>
        </w:tabs>
        <w:spacing w:after="368" w:line="259" w:lineRule="auto"/>
        <w:ind w:left="0" w:firstLine="0"/>
        <w:jc w:val="left"/>
      </w:pPr>
      <w:r>
        <w:tab/>
      </w:r>
      <w:r>
        <w:rPr>
          <w:noProof/>
        </w:rPr>
        <w:drawing>
          <wp:inline distT="0" distB="0" distL="0" distR="0" wp14:anchorId="673AB910" wp14:editId="52DA8B81">
            <wp:extent cx="3864864" cy="335280"/>
            <wp:effectExtent l="0" t="0" r="0" b="0"/>
            <wp:docPr id="43918" name="Picture 43918"/>
            <wp:cNvGraphicFramePr/>
            <a:graphic xmlns:a="http://schemas.openxmlformats.org/drawingml/2006/main">
              <a:graphicData uri="http://schemas.openxmlformats.org/drawingml/2006/picture">
                <pic:pic xmlns:pic="http://schemas.openxmlformats.org/drawingml/2006/picture">
                  <pic:nvPicPr>
                    <pic:cNvPr id="43918" name="Picture 43918"/>
                    <pic:cNvPicPr/>
                  </pic:nvPicPr>
                  <pic:blipFill>
                    <a:blip r:embed="rId17"/>
                    <a:stretch>
                      <a:fillRect/>
                    </a:stretch>
                  </pic:blipFill>
                  <pic:spPr>
                    <a:xfrm>
                      <a:off x="0" y="0"/>
                      <a:ext cx="3864864" cy="335280"/>
                    </a:xfrm>
                    <a:prstGeom prst="rect">
                      <a:avLst/>
                    </a:prstGeom>
                  </pic:spPr>
                </pic:pic>
              </a:graphicData>
            </a:graphic>
          </wp:inline>
        </w:drawing>
      </w:r>
      <w:r>
        <w:tab/>
        <w:t>(12)</w:t>
      </w:r>
    </w:p>
    <w:p w14:paraId="0B403394" w14:textId="77777777" w:rsidR="00CD21A2" w:rsidRDefault="002656DE">
      <w:pPr>
        <w:spacing w:after="4" w:line="259" w:lineRule="auto"/>
        <w:ind w:left="10" w:right="1005" w:hanging="10"/>
        <w:jc w:val="right"/>
      </w:pPr>
      <w:r>
        <w:t>The equation accounts for all the processes associated with energy transport to the particle,</w:t>
      </w:r>
    </w:p>
    <w:p w14:paraId="39077CB3" w14:textId="77D7CA06" w:rsidR="00CD21A2" w:rsidRDefault="002656DE">
      <w:pPr>
        <w:spacing w:after="512"/>
        <w:ind w:left="-15" w:right="1005" w:firstLine="0"/>
      </w:pPr>
      <w:r>
        <w:lastRenderedPageBreak/>
        <w:t>namely convection</w:t>
      </w:r>
      <w:r>
        <w:rPr>
          <w:noProof/>
        </w:rPr>
        <w:drawing>
          <wp:inline distT="0" distB="0" distL="0" distR="0" wp14:anchorId="2526B4E6" wp14:editId="58F697A5">
            <wp:extent cx="457200" cy="252984"/>
            <wp:effectExtent l="0" t="0" r="0" b="0"/>
            <wp:docPr id="43919" name="Picture 43919"/>
            <wp:cNvGraphicFramePr/>
            <a:graphic xmlns:a="http://schemas.openxmlformats.org/drawingml/2006/main">
              <a:graphicData uri="http://schemas.openxmlformats.org/drawingml/2006/picture">
                <pic:pic xmlns:pic="http://schemas.openxmlformats.org/drawingml/2006/picture">
                  <pic:nvPicPr>
                    <pic:cNvPr id="43919" name="Picture 43919"/>
                    <pic:cNvPicPr/>
                  </pic:nvPicPr>
                  <pic:blipFill>
                    <a:blip r:embed="rId18"/>
                    <a:stretch>
                      <a:fillRect/>
                    </a:stretch>
                  </pic:blipFill>
                  <pic:spPr>
                    <a:xfrm>
                      <a:off x="0" y="0"/>
                      <a:ext cx="457200" cy="252984"/>
                    </a:xfrm>
                    <a:prstGeom prst="rect">
                      <a:avLst/>
                    </a:prstGeom>
                  </pic:spPr>
                </pic:pic>
              </a:graphicData>
            </a:graphic>
          </wp:inline>
        </w:drawing>
      </w:r>
      <w:r>
        <w:t>, radiation</w:t>
      </w:r>
      <w:r>
        <w:rPr>
          <w:noProof/>
        </w:rPr>
        <w:drawing>
          <wp:inline distT="0" distB="0" distL="0" distR="0" wp14:anchorId="072488B6" wp14:editId="1F9D5395">
            <wp:extent cx="402336" cy="252984"/>
            <wp:effectExtent l="0" t="0" r="0" b="0"/>
            <wp:docPr id="43920" name="Picture 43920"/>
            <wp:cNvGraphicFramePr/>
            <a:graphic xmlns:a="http://schemas.openxmlformats.org/drawingml/2006/main">
              <a:graphicData uri="http://schemas.openxmlformats.org/drawingml/2006/picture">
                <pic:pic xmlns:pic="http://schemas.openxmlformats.org/drawingml/2006/picture">
                  <pic:nvPicPr>
                    <pic:cNvPr id="43920" name="Picture 43920"/>
                    <pic:cNvPicPr/>
                  </pic:nvPicPr>
                  <pic:blipFill>
                    <a:blip r:embed="rId19"/>
                    <a:stretch>
                      <a:fillRect/>
                    </a:stretch>
                  </pic:blipFill>
                  <pic:spPr>
                    <a:xfrm>
                      <a:off x="0" y="0"/>
                      <a:ext cx="402336" cy="252984"/>
                    </a:xfrm>
                    <a:prstGeom prst="rect">
                      <a:avLst/>
                    </a:prstGeom>
                  </pic:spPr>
                </pic:pic>
              </a:graphicData>
            </a:graphic>
          </wp:inline>
        </w:drawing>
      </w:r>
      <w:r>
        <w:t xml:space="preserve">, latent heat transport </w:t>
      </w:r>
      <w:r>
        <w:rPr>
          <w:noProof/>
        </w:rPr>
        <w:drawing>
          <wp:inline distT="0" distB="0" distL="0" distR="0" wp14:anchorId="719C4E12" wp14:editId="146C0BAB">
            <wp:extent cx="707136" cy="252984"/>
            <wp:effectExtent l="0" t="0" r="0" b="0"/>
            <wp:docPr id="43921" name="Picture 43921"/>
            <wp:cNvGraphicFramePr/>
            <a:graphic xmlns:a="http://schemas.openxmlformats.org/drawingml/2006/main">
              <a:graphicData uri="http://schemas.openxmlformats.org/drawingml/2006/picture">
                <pic:pic xmlns:pic="http://schemas.openxmlformats.org/drawingml/2006/picture">
                  <pic:nvPicPr>
                    <pic:cNvPr id="43921" name="Picture 43921"/>
                    <pic:cNvPicPr/>
                  </pic:nvPicPr>
                  <pic:blipFill>
                    <a:blip r:embed="rId20"/>
                    <a:stretch>
                      <a:fillRect/>
                    </a:stretch>
                  </pic:blipFill>
                  <pic:spPr>
                    <a:xfrm>
                      <a:off x="0" y="0"/>
                      <a:ext cx="707136" cy="252984"/>
                    </a:xfrm>
                    <a:prstGeom prst="rect">
                      <a:avLst/>
                    </a:prstGeom>
                  </pic:spPr>
                </pic:pic>
              </a:graphicData>
            </a:graphic>
          </wp:inline>
        </w:drawing>
      </w:r>
      <w:r>
        <w:t xml:space="preserve"> and near surface char oxidation </w:t>
      </w:r>
      <w:r>
        <w:rPr>
          <w:noProof/>
        </w:rPr>
        <w:drawing>
          <wp:inline distT="0" distB="0" distL="0" distR="0" wp14:anchorId="10084DCE" wp14:editId="299D9188">
            <wp:extent cx="865632" cy="179832"/>
            <wp:effectExtent l="0" t="0" r="0" b="0"/>
            <wp:docPr id="43922" name="Picture 43922"/>
            <wp:cNvGraphicFramePr/>
            <a:graphic xmlns:a="http://schemas.openxmlformats.org/drawingml/2006/main">
              <a:graphicData uri="http://schemas.openxmlformats.org/drawingml/2006/picture">
                <pic:pic xmlns:pic="http://schemas.openxmlformats.org/drawingml/2006/picture">
                  <pic:nvPicPr>
                    <pic:cNvPr id="43922" name="Picture 43922"/>
                    <pic:cNvPicPr/>
                  </pic:nvPicPr>
                  <pic:blipFill>
                    <a:blip r:embed="rId21"/>
                    <a:stretch>
                      <a:fillRect/>
                    </a:stretch>
                  </pic:blipFill>
                  <pic:spPr>
                    <a:xfrm>
                      <a:off x="0" y="0"/>
                      <a:ext cx="865632" cy="179832"/>
                    </a:xfrm>
                    <a:prstGeom prst="rect">
                      <a:avLst/>
                    </a:prstGeom>
                  </pic:spPr>
                </pic:pic>
              </a:graphicData>
            </a:graphic>
          </wp:inline>
        </w:drawing>
      </w:r>
      <w:r>
        <w:t>. This gives the model the ability to track the particle temperature in the domain, which distinguishes it from the thermal equilibrium approach incorporated by previous studies using an EE approach ([</w:t>
      </w:r>
      <w:r>
        <w:rPr>
          <w:color w:val="0000FF"/>
        </w:rPr>
        <w:t>22</w:t>
      </w:r>
      <w:r>
        <w:t xml:space="preserve">, </w:t>
      </w:r>
      <w:r>
        <w:rPr>
          <w:color w:val="0000FF"/>
        </w:rPr>
        <w:t>24</w:t>
      </w:r>
      <w:r w:rsidR="00584939">
        <w:rPr>
          <w:color w:val="0000FF"/>
        </w:rPr>
        <w:t>,</w:t>
      </w:r>
      <w:r>
        <w:t xml:space="preserve"> </w:t>
      </w:r>
      <w:r>
        <w:rPr>
          <w:color w:val="0000FF"/>
        </w:rPr>
        <w:t>25</w:t>
      </w:r>
      <w:r>
        <w:t xml:space="preserve">]). The particle temperature is important in describing the sequential steps found in modelling combustion processes, especially at low boiler loads where mixing and ignition become problematic. To solve the additional transport equations and their source terms, user defined functions utilized by ANSYS Fluent, were developed using the </w:t>
      </w:r>
      <w:r>
        <w:rPr>
          <w:i/>
        </w:rPr>
        <w:t xml:space="preserve">C/C++ </w:t>
      </w:r>
      <w:r>
        <w:t>programming language.</w:t>
      </w:r>
    </w:p>
    <w:p w14:paraId="6F47AC63" w14:textId="77777777" w:rsidR="00CD21A2" w:rsidRDefault="002656DE">
      <w:pPr>
        <w:pStyle w:val="Heading2"/>
        <w:spacing w:after="196"/>
        <w:ind w:left="506" w:hanging="521"/>
      </w:pPr>
      <w:r>
        <w:t>Heat transfer modelling</w:t>
      </w:r>
    </w:p>
    <w:p w14:paraId="2BAD53E4" w14:textId="77777777" w:rsidR="00CD21A2" w:rsidRDefault="002656DE">
      <w:pPr>
        <w:ind w:left="-15" w:right="1005"/>
      </w:pPr>
      <w:r>
        <w:t>Radiation heat transfer is the dominant form of heat transfer found in industrial furnaces [</w:t>
      </w:r>
      <w:r>
        <w:rPr>
          <w:color w:val="0000FF"/>
        </w:rPr>
        <w:t>26</w:t>
      </w:r>
      <w:r>
        <w:t xml:space="preserve">] and is solved by applying the </w:t>
      </w:r>
      <w:proofErr w:type="spellStart"/>
      <w:r>
        <w:t>gray</w:t>
      </w:r>
      <w:proofErr w:type="spellEnd"/>
      <w:r>
        <w:t>-participating-gas and particle medium configuration of the radiation transport equation (RTE) [</w:t>
      </w:r>
      <w:r>
        <w:rPr>
          <w:color w:val="0000FF"/>
        </w:rPr>
        <w:t>27</w:t>
      </w:r>
      <w:r>
        <w:t>] shown in Eqn. (</w:t>
      </w:r>
      <w:r>
        <w:rPr>
          <w:color w:val="0000FF"/>
        </w:rPr>
        <w:t>13</w:t>
      </w:r>
      <w:r>
        <w:t>).</w:t>
      </w:r>
    </w:p>
    <w:p w14:paraId="33782A78" w14:textId="77777777" w:rsidR="00CD21A2" w:rsidRDefault="002656DE">
      <w:pPr>
        <w:tabs>
          <w:tab w:val="center" w:pos="4726"/>
          <w:tab w:val="center" w:pos="9166"/>
        </w:tabs>
        <w:spacing w:after="327" w:line="259" w:lineRule="auto"/>
        <w:ind w:left="0" w:firstLine="0"/>
        <w:jc w:val="left"/>
      </w:pPr>
      <w:r>
        <w:tab/>
      </w:r>
      <w:r>
        <w:rPr>
          <w:noProof/>
        </w:rPr>
        <w:drawing>
          <wp:inline distT="0" distB="0" distL="0" distR="0" wp14:anchorId="1CE4E301" wp14:editId="13E5539D">
            <wp:extent cx="3898392" cy="359664"/>
            <wp:effectExtent l="0" t="0" r="0" b="0"/>
            <wp:docPr id="43924" name="Picture 43924"/>
            <wp:cNvGraphicFramePr/>
            <a:graphic xmlns:a="http://schemas.openxmlformats.org/drawingml/2006/main">
              <a:graphicData uri="http://schemas.openxmlformats.org/drawingml/2006/picture">
                <pic:pic xmlns:pic="http://schemas.openxmlformats.org/drawingml/2006/picture">
                  <pic:nvPicPr>
                    <pic:cNvPr id="43924" name="Picture 43924"/>
                    <pic:cNvPicPr/>
                  </pic:nvPicPr>
                  <pic:blipFill>
                    <a:blip r:embed="rId22"/>
                    <a:stretch>
                      <a:fillRect/>
                    </a:stretch>
                  </pic:blipFill>
                  <pic:spPr>
                    <a:xfrm>
                      <a:off x="0" y="0"/>
                      <a:ext cx="3898392" cy="359664"/>
                    </a:xfrm>
                    <a:prstGeom prst="rect">
                      <a:avLst/>
                    </a:prstGeom>
                  </pic:spPr>
                </pic:pic>
              </a:graphicData>
            </a:graphic>
          </wp:inline>
        </w:drawing>
      </w:r>
      <w:r>
        <w:tab/>
        <w:t>(13)</w:t>
      </w:r>
    </w:p>
    <w:p w14:paraId="240212DD" w14:textId="77777777" w:rsidR="00CD21A2" w:rsidRDefault="002656DE">
      <w:pPr>
        <w:spacing w:after="174"/>
        <w:ind w:left="-15" w:right="1005"/>
      </w:pPr>
      <w:r>
        <w:t>In the present work the RTE is solved using the P1 model. Ranade and Gupta [</w:t>
      </w:r>
      <w:r>
        <w:rPr>
          <w:color w:val="0000FF"/>
        </w:rPr>
        <w:t>18</w:t>
      </w:r>
      <w:r>
        <w:t xml:space="preserve">] illustrated minimal differences between the two common radiation models (namely the P1 and discrete ordinates (DO)) for the resultant wall heat transfer rate values when modelling a 210 </w:t>
      </w:r>
      <w:r>
        <w:rPr>
          <w:rFonts w:ascii="Cambria" w:eastAsia="Cambria" w:hAnsi="Cambria" w:cs="Cambria"/>
          <w:i/>
        </w:rPr>
        <w:t xml:space="preserve">MWe </w:t>
      </w:r>
      <w:r>
        <w:t>CFPP boiler. The P1 radiation model can include the effects of particle absorption (</w:t>
      </w:r>
      <w:r>
        <w:rPr>
          <w:rFonts w:ascii="Cambria" w:eastAsia="Cambria" w:hAnsi="Cambria" w:cs="Cambria"/>
          <w:i/>
        </w:rPr>
        <w:t>α</w:t>
      </w:r>
      <w:r>
        <w:rPr>
          <w:rFonts w:ascii="Cambria" w:eastAsia="Cambria" w:hAnsi="Cambria" w:cs="Cambria"/>
          <w:i/>
          <w:vertAlign w:val="subscript"/>
        </w:rPr>
        <w:t>p</w:t>
      </w:r>
      <w:r>
        <w:t>) and scattering (</w:t>
      </w:r>
      <w:proofErr w:type="spellStart"/>
      <w:r>
        <w:rPr>
          <w:rFonts w:ascii="Cambria" w:eastAsia="Cambria" w:hAnsi="Cambria" w:cs="Cambria"/>
          <w:i/>
        </w:rPr>
        <w:t>σ</w:t>
      </w:r>
      <w:r>
        <w:rPr>
          <w:rFonts w:ascii="Cambria" w:eastAsia="Cambria" w:hAnsi="Cambria" w:cs="Cambria"/>
          <w:i/>
          <w:vertAlign w:val="subscript"/>
        </w:rPr>
        <w:t>p</w:t>
      </w:r>
      <w:proofErr w:type="spellEnd"/>
      <w:r>
        <w:t>) as well as gas mixture absorption (</w:t>
      </w:r>
      <w:r>
        <w:rPr>
          <w:rFonts w:ascii="Cambria" w:eastAsia="Cambria" w:hAnsi="Cambria" w:cs="Cambria"/>
          <w:i/>
        </w:rPr>
        <w:t>α</w:t>
      </w:r>
      <w:r>
        <w:rPr>
          <w:rFonts w:ascii="Cambria" w:eastAsia="Cambria" w:hAnsi="Cambria" w:cs="Cambria"/>
          <w:i/>
          <w:vertAlign w:val="subscript"/>
        </w:rPr>
        <w:t>g</w:t>
      </w:r>
      <w:r>
        <w:t>). The P1 model transport variable is the incident radiation flux (G), and can be written for a particle laden domain as:</w:t>
      </w:r>
    </w:p>
    <w:p w14:paraId="7E9A76E2" w14:textId="77777777" w:rsidR="00CD21A2" w:rsidRDefault="002656DE">
      <w:pPr>
        <w:tabs>
          <w:tab w:val="center" w:pos="4718"/>
          <w:tab w:val="center" w:pos="9166"/>
        </w:tabs>
        <w:spacing w:after="257" w:line="259" w:lineRule="auto"/>
        <w:ind w:left="0" w:firstLine="0"/>
        <w:jc w:val="left"/>
      </w:pPr>
      <w:r>
        <w:tab/>
      </w:r>
      <w:r>
        <w:rPr>
          <w:noProof/>
        </w:rPr>
        <w:drawing>
          <wp:inline distT="0" distB="0" distL="0" distR="0" wp14:anchorId="5FC574FE" wp14:editId="35260EA3">
            <wp:extent cx="3011424" cy="719328"/>
            <wp:effectExtent l="0" t="0" r="0" b="0"/>
            <wp:docPr id="43925" name="Picture 43925"/>
            <wp:cNvGraphicFramePr/>
            <a:graphic xmlns:a="http://schemas.openxmlformats.org/drawingml/2006/main">
              <a:graphicData uri="http://schemas.openxmlformats.org/drawingml/2006/picture">
                <pic:pic xmlns:pic="http://schemas.openxmlformats.org/drawingml/2006/picture">
                  <pic:nvPicPr>
                    <pic:cNvPr id="43925" name="Picture 43925"/>
                    <pic:cNvPicPr/>
                  </pic:nvPicPr>
                  <pic:blipFill>
                    <a:blip r:embed="rId23"/>
                    <a:stretch>
                      <a:fillRect/>
                    </a:stretch>
                  </pic:blipFill>
                  <pic:spPr>
                    <a:xfrm>
                      <a:off x="0" y="0"/>
                      <a:ext cx="3011424" cy="719328"/>
                    </a:xfrm>
                    <a:prstGeom prst="rect">
                      <a:avLst/>
                    </a:prstGeom>
                  </pic:spPr>
                </pic:pic>
              </a:graphicData>
            </a:graphic>
          </wp:inline>
        </w:drawing>
      </w:r>
      <w:r>
        <w:tab/>
        <w:t>(14)</w:t>
      </w:r>
    </w:p>
    <w:p w14:paraId="06CFAAB3" w14:textId="77777777" w:rsidR="00CD21A2" w:rsidRDefault="002656DE">
      <w:pPr>
        <w:spacing w:after="8" w:line="413" w:lineRule="auto"/>
        <w:ind w:left="-15" w:right="899"/>
        <w:jc w:val="left"/>
      </w:pPr>
      <w:r>
        <w:t xml:space="preserve">The flue gas absorptivity was calculated using the domain based weighted sum of </w:t>
      </w:r>
      <w:proofErr w:type="spellStart"/>
      <w:r>
        <w:t>gray</w:t>
      </w:r>
      <w:proofErr w:type="spellEnd"/>
      <w:r>
        <w:t xml:space="preserve"> gas model (WSGGM) using the coefficients determined by Smith et al [</w:t>
      </w:r>
      <w:r>
        <w:rPr>
          <w:color w:val="0000FF"/>
        </w:rPr>
        <w:t>28</w:t>
      </w:r>
      <w:r>
        <w:t xml:space="preserve">]. The WSGGM accounts for the radiation </w:t>
      </w:r>
      <w:r>
        <w:lastRenderedPageBreak/>
        <w:t xml:space="preserve">emitted by tri-atomic gases, namely </w:t>
      </w:r>
      <w:r>
        <w:rPr>
          <w:rFonts w:ascii="Cambria" w:eastAsia="Cambria" w:hAnsi="Cambria" w:cs="Cambria"/>
          <w:i/>
        </w:rPr>
        <w:t>CO</w:t>
      </w:r>
      <w:r>
        <w:rPr>
          <w:rFonts w:ascii="Cambria" w:eastAsia="Cambria" w:hAnsi="Cambria" w:cs="Cambria"/>
          <w:vertAlign w:val="subscript"/>
        </w:rPr>
        <w:t>2</w:t>
      </w:r>
      <w:r>
        <w:t xml:space="preserve">, </w:t>
      </w:r>
      <w:r>
        <w:rPr>
          <w:rFonts w:ascii="Cambria" w:eastAsia="Cambria" w:hAnsi="Cambria" w:cs="Cambria"/>
          <w:i/>
        </w:rPr>
        <w:t>H</w:t>
      </w:r>
      <w:r>
        <w:rPr>
          <w:rFonts w:ascii="Cambria" w:eastAsia="Cambria" w:hAnsi="Cambria" w:cs="Cambria"/>
          <w:vertAlign w:val="subscript"/>
        </w:rPr>
        <w:t>2</w:t>
      </w:r>
      <w:r>
        <w:rPr>
          <w:rFonts w:ascii="Cambria" w:eastAsia="Cambria" w:hAnsi="Cambria" w:cs="Cambria"/>
          <w:i/>
        </w:rPr>
        <w:t xml:space="preserve">O </w:t>
      </w:r>
      <w:r>
        <w:t xml:space="preserve">and </w:t>
      </w:r>
      <w:r>
        <w:rPr>
          <w:rFonts w:ascii="Cambria" w:eastAsia="Cambria" w:hAnsi="Cambria" w:cs="Cambria"/>
          <w:i/>
        </w:rPr>
        <w:t>SO</w:t>
      </w:r>
      <w:r>
        <w:rPr>
          <w:rFonts w:ascii="Cambria" w:eastAsia="Cambria" w:hAnsi="Cambria" w:cs="Cambria"/>
          <w:vertAlign w:val="subscript"/>
        </w:rPr>
        <w:t xml:space="preserve">2 </w:t>
      </w:r>
      <w:r>
        <w:t xml:space="preserve">present in the flue gas stream. The Eulerian description of the terms </w:t>
      </w:r>
      <w:r>
        <w:rPr>
          <w:rFonts w:ascii="Cambria" w:eastAsia="Cambria" w:hAnsi="Cambria" w:cs="Cambria"/>
          <w:i/>
        </w:rPr>
        <w:t>α</w:t>
      </w:r>
      <w:r>
        <w:rPr>
          <w:rFonts w:ascii="Cambria" w:eastAsia="Cambria" w:hAnsi="Cambria" w:cs="Cambria"/>
          <w:i/>
          <w:vertAlign w:val="subscript"/>
        </w:rPr>
        <w:t>p</w:t>
      </w:r>
      <w:r>
        <w:t xml:space="preserve">, </w:t>
      </w:r>
      <w:proofErr w:type="spellStart"/>
      <w:r>
        <w:rPr>
          <w:rFonts w:ascii="Cambria" w:eastAsia="Cambria" w:hAnsi="Cambria" w:cs="Cambria"/>
          <w:i/>
        </w:rPr>
        <w:t>σ</w:t>
      </w:r>
      <w:r>
        <w:rPr>
          <w:rFonts w:ascii="Cambria" w:eastAsia="Cambria" w:hAnsi="Cambria" w:cs="Cambria"/>
          <w:i/>
          <w:vertAlign w:val="subscript"/>
        </w:rPr>
        <w:t>p</w:t>
      </w:r>
      <w:proofErr w:type="spellEnd"/>
      <w:r>
        <w:rPr>
          <w:rFonts w:ascii="Cambria" w:eastAsia="Cambria" w:hAnsi="Cambria" w:cs="Cambria"/>
          <w:i/>
          <w:vertAlign w:val="subscript"/>
        </w:rPr>
        <w:t xml:space="preserve"> </w:t>
      </w:r>
      <w:r>
        <w:t xml:space="preserve">and </w:t>
      </w:r>
      <w:r>
        <w:rPr>
          <w:rFonts w:ascii="Cambria" w:eastAsia="Cambria" w:hAnsi="Cambria" w:cs="Cambria"/>
          <w:i/>
        </w:rPr>
        <w:t>E</w:t>
      </w:r>
      <w:r>
        <w:rPr>
          <w:rFonts w:ascii="Cambria" w:eastAsia="Cambria" w:hAnsi="Cambria" w:cs="Cambria"/>
          <w:i/>
          <w:vertAlign w:val="subscript"/>
        </w:rPr>
        <w:t xml:space="preserve">b </w:t>
      </w:r>
      <w:r>
        <w:t>are determined using the effective</w:t>
      </w:r>
    </w:p>
    <w:p w14:paraId="67D44C66" w14:textId="77777777" w:rsidR="00CD21A2" w:rsidRDefault="002656DE">
      <w:pPr>
        <w:spacing w:after="112" w:line="259" w:lineRule="auto"/>
        <w:ind w:left="-15" w:right="1005" w:firstLine="0"/>
      </w:pPr>
      <w:r>
        <w:t>number of particles (</w:t>
      </w:r>
      <w:r>
        <w:rPr>
          <w:noProof/>
        </w:rPr>
        <w:drawing>
          <wp:inline distT="0" distB="0" distL="0" distR="0" wp14:anchorId="100C5F4E" wp14:editId="45B0EFE1">
            <wp:extent cx="1606296" cy="252984"/>
            <wp:effectExtent l="0" t="0" r="0" b="0"/>
            <wp:docPr id="43926" name="Picture 43926"/>
            <wp:cNvGraphicFramePr/>
            <a:graphic xmlns:a="http://schemas.openxmlformats.org/drawingml/2006/main">
              <a:graphicData uri="http://schemas.openxmlformats.org/drawingml/2006/picture">
                <pic:pic xmlns:pic="http://schemas.openxmlformats.org/drawingml/2006/picture">
                  <pic:nvPicPr>
                    <pic:cNvPr id="43926" name="Picture 43926"/>
                    <pic:cNvPicPr/>
                  </pic:nvPicPr>
                  <pic:blipFill>
                    <a:blip r:embed="rId24"/>
                    <a:stretch>
                      <a:fillRect/>
                    </a:stretch>
                  </pic:blipFill>
                  <pic:spPr>
                    <a:xfrm>
                      <a:off x="0" y="0"/>
                      <a:ext cx="1606296" cy="252984"/>
                    </a:xfrm>
                    <a:prstGeom prst="rect">
                      <a:avLst/>
                    </a:prstGeom>
                  </pic:spPr>
                </pic:pic>
              </a:graphicData>
            </a:graphic>
          </wp:inline>
        </w:drawing>
      </w:r>
      <w:r>
        <w:t>) present in a cell. The equations for the radiative</w:t>
      </w:r>
    </w:p>
    <w:p w14:paraId="5683C7CF" w14:textId="77777777" w:rsidR="00CD21A2" w:rsidRDefault="002656DE">
      <w:pPr>
        <w:spacing w:after="319"/>
        <w:ind w:left="-15" w:right="1005" w:firstLine="0"/>
      </w:pPr>
      <w:r>
        <w:t>properties are given in Eqn. (</w:t>
      </w:r>
      <w:r>
        <w:rPr>
          <w:color w:val="0000FF"/>
        </w:rPr>
        <w:t>15</w:t>
      </w:r>
      <w:r>
        <w:t>) through Eqn. (</w:t>
      </w:r>
      <w:r>
        <w:rPr>
          <w:color w:val="0000FF"/>
        </w:rPr>
        <w:t>17</w:t>
      </w:r>
      <w:r>
        <w:t>).</w:t>
      </w:r>
    </w:p>
    <w:p w14:paraId="1895397A" w14:textId="77777777" w:rsidR="00CD21A2" w:rsidRDefault="002656DE">
      <w:pPr>
        <w:tabs>
          <w:tab w:val="center" w:pos="4718"/>
          <w:tab w:val="center" w:pos="9166"/>
        </w:tabs>
        <w:spacing w:after="303" w:line="259" w:lineRule="auto"/>
        <w:ind w:left="0" w:firstLine="0"/>
        <w:jc w:val="left"/>
      </w:pPr>
      <w:r>
        <w:tab/>
      </w:r>
      <w:r>
        <w:rPr>
          <w:noProof/>
        </w:rPr>
        <w:drawing>
          <wp:inline distT="0" distB="0" distL="0" distR="0" wp14:anchorId="2FEF5B96" wp14:editId="0C9962F6">
            <wp:extent cx="865632" cy="295656"/>
            <wp:effectExtent l="0" t="0" r="0" b="0"/>
            <wp:docPr id="43927" name="Picture 43927"/>
            <wp:cNvGraphicFramePr/>
            <a:graphic xmlns:a="http://schemas.openxmlformats.org/drawingml/2006/main">
              <a:graphicData uri="http://schemas.openxmlformats.org/drawingml/2006/picture">
                <pic:pic xmlns:pic="http://schemas.openxmlformats.org/drawingml/2006/picture">
                  <pic:nvPicPr>
                    <pic:cNvPr id="43927" name="Picture 43927"/>
                    <pic:cNvPicPr/>
                  </pic:nvPicPr>
                  <pic:blipFill>
                    <a:blip r:embed="rId25"/>
                    <a:stretch>
                      <a:fillRect/>
                    </a:stretch>
                  </pic:blipFill>
                  <pic:spPr>
                    <a:xfrm>
                      <a:off x="0" y="0"/>
                      <a:ext cx="865632" cy="295656"/>
                    </a:xfrm>
                    <a:prstGeom prst="rect">
                      <a:avLst/>
                    </a:prstGeom>
                  </pic:spPr>
                </pic:pic>
              </a:graphicData>
            </a:graphic>
          </wp:inline>
        </w:drawing>
      </w:r>
      <w:r>
        <w:tab/>
        <w:t>(15)</w:t>
      </w:r>
    </w:p>
    <w:p w14:paraId="2FCAB8AA" w14:textId="77777777" w:rsidR="00CD21A2" w:rsidRDefault="002656DE">
      <w:pPr>
        <w:tabs>
          <w:tab w:val="center" w:pos="4718"/>
          <w:tab w:val="center" w:pos="9166"/>
        </w:tabs>
        <w:spacing w:after="301" w:line="259" w:lineRule="auto"/>
        <w:ind w:left="0" w:firstLine="0"/>
        <w:jc w:val="left"/>
      </w:pPr>
      <w:r>
        <w:tab/>
      </w:r>
      <w:r>
        <w:rPr>
          <w:noProof/>
        </w:rPr>
        <w:drawing>
          <wp:inline distT="0" distB="0" distL="0" distR="0" wp14:anchorId="73762632" wp14:editId="16A43A29">
            <wp:extent cx="1679448" cy="301752"/>
            <wp:effectExtent l="0" t="0" r="0" b="0"/>
            <wp:docPr id="43928" name="Picture 43928"/>
            <wp:cNvGraphicFramePr/>
            <a:graphic xmlns:a="http://schemas.openxmlformats.org/drawingml/2006/main">
              <a:graphicData uri="http://schemas.openxmlformats.org/drawingml/2006/picture">
                <pic:pic xmlns:pic="http://schemas.openxmlformats.org/drawingml/2006/picture">
                  <pic:nvPicPr>
                    <pic:cNvPr id="43928" name="Picture 43928"/>
                    <pic:cNvPicPr/>
                  </pic:nvPicPr>
                  <pic:blipFill>
                    <a:blip r:embed="rId26"/>
                    <a:stretch>
                      <a:fillRect/>
                    </a:stretch>
                  </pic:blipFill>
                  <pic:spPr>
                    <a:xfrm>
                      <a:off x="0" y="0"/>
                      <a:ext cx="1679448" cy="301752"/>
                    </a:xfrm>
                    <a:prstGeom prst="rect">
                      <a:avLst/>
                    </a:prstGeom>
                  </pic:spPr>
                </pic:pic>
              </a:graphicData>
            </a:graphic>
          </wp:inline>
        </w:drawing>
      </w:r>
      <w:r>
        <w:tab/>
        <w:t>(16)</w:t>
      </w:r>
    </w:p>
    <w:p w14:paraId="0F1B2635" w14:textId="77777777" w:rsidR="00CD21A2" w:rsidRDefault="002656DE">
      <w:pPr>
        <w:tabs>
          <w:tab w:val="center" w:pos="4718"/>
          <w:tab w:val="center" w:pos="9166"/>
        </w:tabs>
        <w:spacing w:after="230" w:line="259" w:lineRule="auto"/>
        <w:ind w:left="0" w:firstLine="0"/>
        <w:jc w:val="left"/>
      </w:pPr>
      <w:r>
        <w:tab/>
      </w:r>
      <w:r>
        <w:rPr>
          <w:noProof/>
        </w:rPr>
        <w:drawing>
          <wp:inline distT="0" distB="0" distL="0" distR="0" wp14:anchorId="3558033F" wp14:editId="0C816540">
            <wp:extent cx="1283208" cy="329184"/>
            <wp:effectExtent l="0" t="0" r="0" b="0"/>
            <wp:docPr id="43929" name="Picture 43929"/>
            <wp:cNvGraphicFramePr/>
            <a:graphic xmlns:a="http://schemas.openxmlformats.org/drawingml/2006/main">
              <a:graphicData uri="http://schemas.openxmlformats.org/drawingml/2006/picture">
                <pic:pic xmlns:pic="http://schemas.openxmlformats.org/drawingml/2006/picture">
                  <pic:nvPicPr>
                    <pic:cNvPr id="43929" name="Picture 43929"/>
                    <pic:cNvPicPr/>
                  </pic:nvPicPr>
                  <pic:blipFill>
                    <a:blip r:embed="rId27"/>
                    <a:stretch>
                      <a:fillRect/>
                    </a:stretch>
                  </pic:blipFill>
                  <pic:spPr>
                    <a:xfrm>
                      <a:off x="0" y="0"/>
                      <a:ext cx="1283208" cy="329184"/>
                    </a:xfrm>
                    <a:prstGeom prst="rect">
                      <a:avLst/>
                    </a:prstGeom>
                  </pic:spPr>
                </pic:pic>
              </a:graphicData>
            </a:graphic>
          </wp:inline>
        </w:drawing>
      </w:r>
      <w:r>
        <w:tab/>
        <w:t>(17)</w:t>
      </w:r>
    </w:p>
    <w:p w14:paraId="1F956791" w14:textId="77777777" w:rsidR="00CD21A2" w:rsidRDefault="002656DE">
      <w:pPr>
        <w:ind w:left="-15" w:right="1005"/>
      </w:pPr>
      <w:r>
        <w:t>It is important to note that variable properties for (</w:t>
      </w:r>
      <w:r>
        <w:rPr>
          <w:rFonts w:ascii="Cambria" w:eastAsia="Cambria" w:hAnsi="Cambria" w:cs="Cambria"/>
          <w:i/>
          <w:vertAlign w:val="subscript"/>
        </w:rPr>
        <w:t>p</w:t>
      </w:r>
      <w:r>
        <w:t>) and (</w:t>
      </w:r>
      <w:proofErr w:type="spellStart"/>
      <w:r>
        <w:rPr>
          <w:rFonts w:ascii="Cambria" w:eastAsia="Cambria" w:hAnsi="Cambria" w:cs="Cambria"/>
          <w:i/>
        </w:rPr>
        <w:t>f</w:t>
      </w:r>
      <w:r>
        <w:rPr>
          <w:rFonts w:ascii="Cambria" w:eastAsia="Cambria" w:hAnsi="Cambria" w:cs="Cambria"/>
          <w:i/>
          <w:vertAlign w:val="subscript"/>
        </w:rPr>
        <w:t>p</w:t>
      </w:r>
      <w:proofErr w:type="spellEnd"/>
      <w:r>
        <w:t>) were used, that are based on the correlations of Lockwood et al [</w:t>
      </w:r>
      <w:r>
        <w:rPr>
          <w:color w:val="0000FF"/>
        </w:rPr>
        <w:t>29</w:t>
      </w:r>
      <w:r>
        <w:t>] and Yin [</w:t>
      </w:r>
      <w:r>
        <w:rPr>
          <w:color w:val="0000FF"/>
        </w:rPr>
        <w:t>30</w:t>
      </w:r>
      <w:r>
        <w:t>] respectively.</w:t>
      </w:r>
    </w:p>
    <w:p w14:paraId="41B2F4E0" w14:textId="77777777" w:rsidR="00CD21A2" w:rsidRDefault="002656DE">
      <w:pPr>
        <w:pStyle w:val="Heading2"/>
        <w:spacing w:after="248"/>
        <w:ind w:left="506" w:hanging="521"/>
      </w:pPr>
      <w:r>
        <w:t>Process simulation model</w:t>
      </w:r>
    </w:p>
    <w:p w14:paraId="09690EFE" w14:textId="77777777" w:rsidR="00CD21A2" w:rsidRDefault="002656DE">
      <w:pPr>
        <w:ind w:left="-15" w:right="1005"/>
      </w:pPr>
      <w:r>
        <w:t xml:space="preserve">A 1D discretized model of the furnace evaporator, platen SH, final SH, and subsequent downstream heat exchangers was developed using </w:t>
      </w:r>
      <w:proofErr w:type="spellStart"/>
      <w:r>
        <w:t>Flownex</w:t>
      </w:r>
      <w:proofErr w:type="spellEnd"/>
      <w:r>
        <w:t xml:space="preserve"> SE</w:t>
      </w:r>
      <w:r>
        <w:rPr>
          <w:vertAlign w:val="superscript"/>
        </w:rPr>
        <w:t xml:space="preserve">® </w:t>
      </w:r>
      <w:r>
        <w:t xml:space="preserve">2021. The data transfer between the two models makes use of a one-way approach, where the CFD simulation data is transferred to the </w:t>
      </w:r>
      <w:proofErr w:type="spellStart"/>
      <w:r>
        <w:t>Flownex</w:t>
      </w:r>
      <w:proofErr w:type="spellEnd"/>
      <w:r>
        <w:t xml:space="preserve"> process model when convergence of each case is achieved, a further explanation of the coupling interface is given in Section </w:t>
      </w:r>
      <w:r>
        <w:rPr>
          <w:color w:val="0000FF"/>
        </w:rPr>
        <w:t>3.1</w:t>
      </w:r>
      <w:r>
        <w:t xml:space="preserve">. The model simulates the internal convection heat transfer inside the tubes and the conduction through the tube walls. The model is able to simulate the </w:t>
      </w:r>
      <w:proofErr w:type="spellStart"/>
      <w:r>
        <w:t>attemperation</w:t>
      </w:r>
      <w:proofErr w:type="spellEnd"/>
      <w:r>
        <w:t xml:space="preserve"> flows and momentum transport through the steam/water circuit. The heat exchangers were modelled using a homogeneous two-phase mixture approach, which assumes that the fluid properties, phase velocities and temperatures are uniform per cross-sectional area. The homogeneous mixture fraction and mixture density are defined in Eqn. (</w:t>
      </w:r>
      <w:r>
        <w:rPr>
          <w:color w:val="0000FF"/>
        </w:rPr>
        <w:t>18</w:t>
      </w:r>
      <w:r>
        <w:t>) and Eqn. (</w:t>
      </w:r>
      <w:r>
        <w:rPr>
          <w:color w:val="0000FF"/>
        </w:rPr>
        <w:t>19</w:t>
      </w:r>
      <w:r>
        <w:t>)</w:t>
      </w:r>
    </w:p>
    <w:p w14:paraId="1E70E30B" w14:textId="77777777" w:rsidR="00CD21A2" w:rsidRDefault="002656DE">
      <w:pPr>
        <w:spacing w:after="372" w:line="259" w:lineRule="auto"/>
        <w:ind w:left="-15" w:right="1005" w:firstLine="0"/>
      </w:pPr>
      <w:r>
        <w:t>respectively.</w:t>
      </w:r>
    </w:p>
    <w:p w14:paraId="6BC2DC62" w14:textId="77777777" w:rsidR="00CD21A2" w:rsidRDefault="002656DE">
      <w:pPr>
        <w:tabs>
          <w:tab w:val="center" w:pos="4695"/>
          <w:tab w:val="center" w:pos="9166"/>
        </w:tabs>
        <w:spacing w:after="400" w:line="259" w:lineRule="auto"/>
        <w:ind w:left="0" w:firstLine="0"/>
        <w:jc w:val="left"/>
      </w:pPr>
      <w:r>
        <w:tab/>
      </w:r>
      <w:r>
        <w:rPr>
          <w:noProof/>
        </w:rPr>
        <w:drawing>
          <wp:inline distT="0" distB="0" distL="0" distR="0" wp14:anchorId="5B16082A" wp14:editId="77440AC5">
            <wp:extent cx="1310640" cy="298704"/>
            <wp:effectExtent l="0" t="0" r="0" b="0"/>
            <wp:docPr id="43930" name="Picture 43930"/>
            <wp:cNvGraphicFramePr/>
            <a:graphic xmlns:a="http://schemas.openxmlformats.org/drawingml/2006/main">
              <a:graphicData uri="http://schemas.openxmlformats.org/drawingml/2006/picture">
                <pic:pic xmlns:pic="http://schemas.openxmlformats.org/drawingml/2006/picture">
                  <pic:nvPicPr>
                    <pic:cNvPr id="43930" name="Picture 43930"/>
                    <pic:cNvPicPr/>
                  </pic:nvPicPr>
                  <pic:blipFill>
                    <a:blip r:embed="rId28"/>
                    <a:stretch>
                      <a:fillRect/>
                    </a:stretch>
                  </pic:blipFill>
                  <pic:spPr>
                    <a:xfrm>
                      <a:off x="0" y="0"/>
                      <a:ext cx="1310640" cy="298704"/>
                    </a:xfrm>
                    <a:prstGeom prst="rect">
                      <a:avLst/>
                    </a:prstGeom>
                  </pic:spPr>
                </pic:pic>
              </a:graphicData>
            </a:graphic>
          </wp:inline>
        </w:drawing>
      </w:r>
      <w:r>
        <w:tab/>
        <w:t>(18)</w:t>
      </w:r>
    </w:p>
    <w:p w14:paraId="2D8D8F11" w14:textId="77777777" w:rsidR="00CD21A2" w:rsidRDefault="002656DE">
      <w:pPr>
        <w:tabs>
          <w:tab w:val="center" w:pos="4672"/>
          <w:tab w:val="center" w:pos="9166"/>
        </w:tabs>
        <w:spacing w:after="306" w:line="259" w:lineRule="auto"/>
        <w:ind w:left="0" w:firstLine="0"/>
        <w:jc w:val="left"/>
      </w:pPr>
      <w:r>
        <w:lastRenderedPageBreak/>
        <w:tab/>
      </w:r>
      <w:proofErr w:type="spellStart"/>
      <w:r>
        <w:rPr>
          <w:rFonts w:ascii="Cambria" w:eastAsia="Cambria" w:hAnsi="Cambria" w:cs="Cambria"/>
          <w:i/>
        </w:rPr>
        <w:t>ρ</w:t>
      </w:r>
      <w:r>
        <w:rPr>
          <w:rFonts w:ascii="Cambria" w:eastAsia="Cambria" w:hAnsi="Cambria" w:cs="Cambria"/>
          <w:i/>
          <w:vertAlign w:val="subscript"/>
        </w:rPr>
        <w:t>M</w:t>
      </w:r>
      <w:proofErr w:type="spellEnd"/>
      <w:r>
        <w:rPr>
          <w:rFonts w:ascii="Cambria" w:eastAsia="Cambria" w:hAnsi="Cambria" w:cs="Cambria"/>
          <w:i/>
          <w:vertAlign w:val="subscript"/>
        </w:rPr>
        <w:t xml:space="preserve"> </w:t>
      </w:r>
      <w:r>
        <w:rPr>
          <w:rFonts w:ascii="Cambria" w:eastAsia="Cambria" w:hAnsi="Cambria" w:cs="Cambria"/>
        </w:rPr>
        <w:t xml:space="preserve">= (1 − </w:t>
      </w:r>
      <w:r>
        <w:rPr>
          <w:rFonts w:ascii="Cambria" w:eastAsia="Cambria" w:hAnsi="Cambria" w:cs="Cambria"/>
          <w:i/>
        </w:rPr>
        <w:t>α</w:t>
      </w:r>
      <w:r>
        <w:rPr>
          <w:rFonts w:ascii="Cambria" w:eastAsia="Cambria" w:hAnsi="Cambria" w:cs="Cambria"/>
          <w:i/>
          <w:vertAlign w:val="subscript"/>
        </w:rPr>
        <w:t>H</w:t>
      </w:r>
      <w:r>
        <w:rPr>
          <w:rFonts w:ascii="Cambria" w:eastAsia="Cambria" w:hAnsi="Cambria" w:cs="Cambria"/>
        </w:rPr>
        <w:t>)</w:t>
      </w:r>
      <w:proofErr w:type="spellStart"/>
      <w:r>
        <w:rPr>
          <w:rFonts w:ascii="Cambria" w:eastAsia="Cambria" w:hAnsi="Cambria" w:cs="Cambria"/>
          <w:i/>
        </w:rPr>
        <w:t>ρ</w:t>
      </w:r>
      <w:r>
        <w:rPr>
          <w:rFonts w:ascii="Cambria" w:eastAsia="Cambria" w:hAnsi="Cambria" w:cs="Cambria"/>
          <w:i/>
          <w:vertAlign w:val="subscript"/>
        </w:rPr>
        <w:t>l</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α</w:t>
      </w:r>
      <w:proofErr w:type="spellStart"/>
      <w:r>
        <w:rPr>
          <w:rFonts w:ascii="Cambria" w:eastAsia="Cambria" w:hAnsi="Cambria" w:cs="Cambria"/>
          <w:i/>
          <w:vertAlign w:val="subscript"/>
        </w:rPr>
        <w:t>H</w:t>
      </w:r>
      <w:r>
        <w:rPr>
          <w:rFonts w:ascii="Cambria" w:eastAsia="Cambria" w:hAnsi="Cambria" w:cs="Cambria"/>
          <w:i/>
        </w:rPr>
        <w:t>ρ</w:t>
      </w:r>
      <w:r>
        <w:rPr>
          <w:rFonts w:ascii="Cambria" w:eastAsia="Cambria" w:hAnsi="Cambria" w:cs="Cambria"/>
          <w:i/>
          <w:vertAlign w:val="subscript"/>
        </w:rPr>
        <w:t>g</w:t>
      </w:r>
      <w:proofErr w:type="spellEnd"/>
      <w:r>
        <w:rPr>
          <w:rFonts w:ascii="Cambria" w:eastAsia="Cambria" w:hAnsi="Cambria" w:cs="Cambria"/>
          <w:i/>
          <w:vertAlign w:val="subscript"/>
        </w:rPr>
        <w:tab/>
      </w:r>
      <w:r>
        <w:t>(19)</w:t>
      </w:r>
    </w:p>
    <w:p w14:paraId="2AB65592" w14:textId="77777777" w:rsidR="00CD21A2" w:rsidRDefault="002656DE">
      <w:pPr>
        <w:spacing w:after="170"/>
        <w:ind w:left="-15" w:right="1005"/>
      </w:pPr>
      <w:r>
        <w:t>Applying the mixture density the following transport equations are solved per process model component.</w:t>
      </w:r>
    </w:p>
    <w:p w14:paraId="2FFD8613" w14:textId="77777777" w:rsidR="00CD21A2" w:rsidRDefault="002656DE">
      <w:pPr>
        <w:tabs>
          <w:tab w:val="center" w:pos="4715"/>
          <w:tab w:val="center" w:pos="9166"/>
        </w:tabs>
        <w:spacing w:after="263" w:line="259" w:lineRule="auto"/>
        <w:ind w:left="0" w:firstLine="0"/>
        <w:jc w:val="left"/>
      </w:pPr>
      <w:r>
        <w:tab/>
      </w:r>
      <w:r>
        <w:rPr>
          <w:noProof/>
        </w:rPr>
        <w:drawing>
          <wp:inline distT="0" distB="0" distL="0" distR="0" wp14:anchorId="085E2DC4" wp14:editId="200E77F8">
            <wp:extent cx="1633728" cy="292608"/>
            <wp:effectExtent l="0" t="0" r="0" b="0"/>
            <wp:docPr id="43931" name="Picture 43931"/>
            <wp:cNvGraphicFramePr/>
            <a:graphic xmlns:a="http://schemas.openxmlformats.org/drawingml/2006/main">
              <a:graphicData uri="http://schemas.openxmlformats.org/drawingml/2006/picture">
                <pic:pic xmlns:pic="http://schemas.openxmlformats.org/drawingml/2006/picture">
                  <pic:nvPicPr>
                    <pic:cNvPr id="43931" name="Picture 43931"/>
                    <pic:cNvPicPr/>
                  </pic:nvPicPr>
                  <pic:blipFill>
                    <a:blip r:embed="rId29"/>
                    <a:stretch>
                      <a:fillRect/>
                    </a:stretch>
                  </pic:blipFill>
                  <pic:spPr>
                    <a:xfrm>
                      <a:off x="0" y="0"/>
                      <a:ext cx="1633728" cy="292608"/>
                    </a:xfrm>
                    <a:prstGeom prst="rect">
                      <a:avLst/>
                    </a:prstGeom>
                  </pic:spPr>
                </pic:pic>
              </a:graphicData>
            </a:graphic>
          </wp:inline>
        </w:drawing>
      </w:r>
      <w:r>
        <w:tab/>
        <w:t>(20)</w:t>
      </w:r>
    </w:p>
    <w:p w14:paraId="2C0D5E0C" w14:textId="77777777" w:rsidR="00CD21A2" w:rsidRDefault="002656DE">
      <w:pPr>
        <w:tabs>
          <w:tab w:val="center" w:pos="4719"/>
          <w:tab w:val="center" w:pos="9166"/>
        </w:tabs>
        <w:spacing w:after="60" w:line="259" w:lineRule="auto"/>
        <w:ind w:left="0" w:firstLine="0"/>
        <w:jc w:val="left"/>
      </w:pPr>
      <w:r>
        <w:tab/>
      </w:r>
      <w:r>
        <w:rPr>
          <w:noProof/>
        </w:rPr>
        <w:drawing>
          <wp:inline distT="0" distB="0" distL="0" distR="0" wp14:anchorId="661D2EAC" wp14:editId="08946490">
            <wp:extent cx="3358896" cy="295656"/>
            <wp:effectExtent l="0" t="0" r="0" b="0"/>
            <wp:docPr id="43932" name="Picture 43932"/>
            <wp:cNvGraphicFramePr/>
            <a:graphic xmlns:a="http://schemas.openxmlformats.org/drawingml/2006/main">
              <a:graphicData uri="http://schemas.openxmlformats.org/drawingml/2006/picture">
                <pic:pic xmlns:pic="http://schemas.openxmlformats.org/drawingml/2006/picture">
                  <pic:nvPicPr>
                    <pic:cNvPr id="43932" name="Picture 43932"/>
                    <pic:cNvPicPr/>
                  </pic:nvPicPr>
                  <pic:blipFill>
                    <a:blip r:embed="rId30"/>
                    <a:stretch>
                      <a:fillRect/>
                    </a:stretch>
                  </pic:blipFill>
                  <pic:spPr>
                    <a:xfrm>
                      <a:off x="0" y="0"/>
                      <a:ext cx="3358896" cy="295656"/>
                    </a:xfrm>
                    <a:prstGeom prst="rect">
                      <a:avLst/>
                    </a:prstGeom>
                  </pic:spPr>
                </pic:pic>
              </a:graphicData>
            </a:graphic>
          </wp:inline>
        </w:drawing>
      </w:r>
      <w:r>
        <w:tab/>
        <w:t>(21)</w:t>
      </w:r>
    </w:p>
    <w:p w14:paraId="17DDAF5B" w14:textId="77777777" w:rsidR="00CD21A2" w:rsidRDefault="002656DE">
      <w:pPr>
        <w:spacing w:after="517" w:line="259" w:lineRule="auto"/>
        <w:ind w:left="306" w:firstLine="0"/>
        <w:jc w:val="left"/>
      </w:pPr>
      <w:r>
        <w:rPr>
          <w:noProof/>
        </w:rPr>
        <w:drawing>
          <wp:inline distT="0" distB="0" distL="0" distR="0" wp14:anchorId="3FE2A741" wp14:editId="75373244">
            <wp:extent cx="5702809" cy="323088"/>
            <wp:effectExtent l="0" t="0" r="0" b="0"/>
            <wp:docPr id="43933" name="Picture 43933"/>
            <wp:cNvGraphicFramePr/>
            <a:graphic xmlns:a="http://schemas.openxmlformats.org/drawingml/2006/main">
              <a:graphicData uri="http://schemas.openxmlformats.org/drawingml/2006/picture">
                <pic:pic xmlns:pic="http://schemas.openxmlformats.org/drawingml/2006/picture">
                  <pic:nvPicPr>
                    <pic:cNvPr id="43933" name="Picture 43933"/>
                    <pic:cNvPicPr/>
                  </pic:nvPicPr>
                  <pic:blipFill>
                    <a:blip r:embed="rId31"/>
                    <a:stretch>
                      <a:fillRect/>
                    </a:stretch>
                  </pic:blipFill>
                  <pic:spPr>
                    <a:xfrm>
                      <a:off x="0" y="0"/>
                      <a:ext cx="5702809" cy="323088"/>
                    </a:xfrm>
                    <a:prstGeom prst="rect">
                      <a:avLst/>
                    </a:prstGeom>
                  </pic:spPr>
                </pic:pic>
              </a:graphicData>
            </a:graphic>
          </wp:inline>
        </w:drawing>
      </w:r>
    </w:p>
    <w:p w14:paraId="2E9CE3FE" w14:textId="77777777" w:rsidR="00CD21A2" w:rsidRDefault="002656DE">
      <w:pPr>
        <w:ind w:left="-15" w:right="1005"/>
      </w:pPr>
      <w:r>
        <w:t xml:space="preserve">The process model is used to determine the required </w:t>
      </w:r>
      <w:proofErr w:type="spellStart"/>
      <w:r>
        <w:t>attemperation</w:t>
      </w:r>
      <w:proofErr w:type="spellEnd"/>
      <w:r>
        <w:t xml:space="preserve"> flow rates to achieve the exit steam conditions, boiler efficiency, and steam generation for each case. The results of this model aid in determining the best firing combination of burner rows for continuous low-load operation, and the effects on the water-side of the boiler system.</w:t>
      </w:r>
    </w:p>
    <w:p w14:paraId="53E34803" w14:textId="77777777" w:rsidR="00CD21A2" w:rsidRDefault="002656DE">
      <w:pPr>
        <w:pStyle w:val="Heading1"/>
        <w:ind w:left="324" w:hanging="339"/>
      </w:pPr>
      <w:r>
        <w:t>CASE STUDY BOILER DESCRIPTION &amp; SET-UP</w:t>
      </w:r>
    </w:p>
    <w:p w14:paraId="514E7288" w14:textId="77777777" w:rsidR="00CD21A2" w:rsidRDefault="002656DE">
      <w:pPr>
        <w:spacing w:after="368"/>
        <w:ind w:left="-15" w:right="1005"/>
      </w:pPr>
      <w:r>
        <w:t>In this section the numerical model configuration, for both the CFD and process model, will be explained, covering the boiler geometry, the process model set-up, the various modelling inputs (i.e. fuel characteristics and boundary conditions) and the numerical solution strategy.</w:t>
      </w:r>
    </w:p>
    <w:p w14:paraId="498CA445" w14:textId="77777777" w:rsidR="00CD21A2" w:rsidRDefault="002656DE">
      <w:pPr>
        <w:pStyle w:val="Heading2"/>
        <w:ind w:left="506" w:hanging="521"/>
      </w:pPr>
      <w:r>
        <w:t>Geometry &amp; process model set-up</w:t>
      </w:r>
    </w:p>
    <w:p w14:paraId="3386D53E" w14:textId="77777777" w:rsidR="00CD21A2" w:rsidRDefault="002656DE">
      <w:pPr>
        <w:ind w:left="-15" w:right="1005"/>
      </w:pPr>
      <w:r>
        <w:t>The modelled boiler is a two-pass sub-critical power boiler with a furnace depth of 13.77 [</w:t>
      </w:r>
      <w:r>
        <w:rPr>
          <w:rFonts w:ascii="Cambria" w:eastAsia="Cambria" w:hAnsi="Cambria" w:cs="Cambria"/>
          <w:i/>
        </w:rPr>
        <w:t>m</w:t>
      </w:r>
      <w:r>
        <w:t>], width of 14.01 [</w:t>
      </w:r>
      <w:r>
        <w:rPr>
          <w:rFonts w:ascii="Cambria" w:eastAsia="Cambria" w:hAnsi="Cambria" w:cs="Cambria"/>
          <w:i/>
        </w:rPr>
        <w:t>m</w:t>
      </w:r>
      <w:r>
        <w:t>] and height of 64 [</w:t>
      </w:r>
      <w:r>
        <w:rPr>
          <w:rFonts w:ascii="Cambria" w:eastAsia="Cambria" w:hAnsi="Cambria" w:cs="Cambria"/>
          <w:i/>
        </w:rPr>
        <w:t>m</w:t>
      </w:r>
      <w:r>
        <w:t xml:space="preserve">]. The CFD geometric model (of Fig. </w:t>
      </w:r>
      <w:r>
        <w:rPr>
          <w:color w:val="0000FF"/>
        </w:rPr>
        <w:t>1</w:t>
      </w:r>
      <w:r>
        <w:t>) makes use of a symmetry plane at half the width of the furnace. This was done to reduce the cell count of the numerical mesh. Both the platen and final SH are modelled as solid wall panels, with transverse pitches of 1.143 [</w:t>
      </w:r>
      <w:r>
        <w:rPr>
          <w:rFonts w:ascii="Cambria" w:eastAsia="Cambria" w:hAnsi="Cambria" w:cs="Cambria"/>
          <w:i/>
        </w:rPr>
        <w:t>m</w:t>
      </w:r>
      <w:r>
        <w:t>] and 0.8 [</w:t>
      </w:r>
      <w:r>
        <w:rPr>
          <w:rFonts w:ascii="Cambria" w:eastAsia="Cambria" w:hAnsi="Cambria" w:cs="Cambria"/>
          <w:i/>
        </w:rPr>
        <w:t>m</w:t>
      </w:r>
      <w:r>
        <w:t>] respectively. There are three levels of burners located on both the front and rear walls at heights of 11.9 [</w:t>
      </w:r>
      <w:r>
        <w:rPr>
          <w:rFonts w:ascii="Cambria" w:eastAsia="Cambria" w:hAnsi="Cambria" w:cs="Cambria"/>
          <w:i/>
        </w:rPr>
        <w:t>m</w:t>
      </w:r>
      <w:r>
        <w:t>], 19.3 [</w:t>
      </w:r>
      <w:r>
        <w:rPr>
          <w:rFonts w:ascii="Cambria" w:eastAsia="Cambria" w:hAnsi="Cambria" w:cs="Cambria"/>
          <w:i/>
        </w:rPr>
        <w:t>m</w:t>
      </w:r>
      <w:r>
        <w:t>] and 26 [</w:t>
      </w:r>
      <w:r>
        <w:rPr>
          <w:rFonts w:ascii="Cambria" w:eastAsia="Cambria" w:hAnsi="Cambria" w:cs="Cambria"/>
          <w:i/>
        </w:rPr>
        <w:t>m</w:t>
      </w:r>
      <w:r>
        <w:t xml:space="preserve">]. Figure </w:t>
      </w:r>
      <w:r>
        <w:rPr>
          <w:color w:val="0000FF"/>
        </w:rPr>
        <w:t xml:space="preserve">1 </w:t>
      </w:r>
      <w:r>
        <w:t>shows the modelled half of the furnace along with the locations of the platen SH, final SH, boundary walls (front, rear and side) and the domain outlet and inlets.</w:t>
      </w:r>
    </w:p>
    <w:p w14:paraId="56320DF9" w14:textId="77777777" w:rsidR="00A46405" w:rsidRDefault="002656DE" w:rsidP="00A46405">
      <w:pPr>
        <w:ind w:left="-15" w:right="1005"/>
      </w:pPr>
      <w:r>
        <w:lastRenderedPageBreak/>
        <w:t xml:space="preserve">The boiler furnace is fed by six mills, each supplying a pulverised fuel and primary air (PA) mixture to a burner row consisting of six opposing wall mounted swirl burners. The swirl vanes were not modelled in this study, rather an axial and tangential velocity component were used for the secondary air (SA) inlets with these values being obtained from a detailed burner model supplied by the burner manufacturer, which included the vanes. The fuel/PA mixture is injected through the inner annulus of the burner while the SA air is fed through the outer annulus as seen in Fig. </w:t>
      </w:r>
      <w:r>
        <w:rPr>
          <w:color w:val="0000FF"/>
        </w:rPr>
        <w:t>2</w:t>
      </w:r>
      <w:r>
        <w:t>.</w:t>
      </w:r>
    </w:p>
    <w:p w14:paraId="302C6493" w14:textId="27FDFF26" w:rsidR="00CD21A2" w:rsidRDefault="002656DE" w:rsidP="00A46405">
      <w:pPr>
        <w:ind w:left="-15" w:right="1005"/>
      </w:pPr>
      <w:r>
        <w:tab/>
        <w:t xml:space="preserve">The CFD wall boundary conditions were modelled using ANSYS Fluent v19.5’s convection boundary condition type, which requires the internal free stream temperature, the internal heat transfer coefficient, wall thicknesses and material </w:t>
      </w:r>
      <w:proofErr w:type="spellStart"/>
      <w:r>
        <w:t>conductivities.Being</w:t>
      </w:r>
      <w:proofErr w:type="spellEnd"/>
      <w:r>
        <w:t xml:space="preserve"> a flux boundary condition the wall heat flux (</w:t>
      </w:r>
      <w:proofErr w:type="spellStart"/>
      <w:r>
        <w:rPr>
          <w:rFonts w:ascii="Cambria" w:eastAsia="Cambria" w:hAnsi="Cambria" w:cs="Cambria"/>
          <w:i/>
        </w:rPr>
        <w:t>q</w:t>
      </w:r>
      <w:r>
        <w:rPr>
          <w:rFonts w:ascii="Cambria" w:eastAsia="Cambria" w:hAnsi="Cambria" w:cs="Cambria"/>
        </w:rPr>
        <w:t>˙</w:t>
      </w:r>
      <w:r>
        <w:rPr>
          <w:rFonts w:ascii="Cambria" w:eastAsia="Cambria" w:hAnsi="Cambria" w:cs="Cambria"/>
          <w:i/>
          <w:vertAlign w:val="subscript"/>
        </w:rPr>
        <w:t>wall</w:t>
      </w:r>
      <w:proofErr w:type="spellEnd"/>
      <w:r>
        <w:t>) can be calculated using Eqn. 23.</w:t>
      </w:r>
    </w:p>
    <w:p w14:paraId="321B2DC0" w14:textId="77777777" w:rsidR="00CD21A2" w:rsidRDefault="002656DE">
      <w:pPr>
        <w:tabs>
          <w:tab w:val="center" w:pos="4680"/>
          <w:tab w:val="center" w:pos="9166"/>
        </w:tabs>
        <w:spacing w:after="518" w:line="259" w:lineRule="auto"/>
        <w:ind w:left="0" w:firstLine="0"/>
        <w:jc w:val="left"/>
      </w:pPr>
      <w:r>
        <w:tab/>
      </w:r>
      <w:proofErr w:type="spellStart"/>
      <w:r>
        <w:rPr>
          <w:rFonts w:ascii="Cambria" w:eastAsia="Cambria" w:hAnsi="Cambria" w:cs="Cambria"/>
          <w:i/>
        </w:rPr>
        <w:t>q</w:t>
      </w:r>
      <w:r>
        <w:rPr>
          <w:rFonts w:ascii="Cambria" w:eastAsia="Cambria" w:hAnsi="Cambria" w:cs="Cambria"/>
        </w:rPr>
        <w:t>˙</w:t>
      </w:r>
      <w:r>
        <w:rPr>
          <w:rFonts w:ascii="Cambria" w:eastAsia="Cambria" w:hAnsi="Cambria" w:cs="Cambria"/>
          <w:i/>
          <w:sz w:val="16"/>
        </w:rPr>
        <w:t>wall</w:t>
      </w:r>
      <w:proofErr w:type="spellEnd"/>
      <w:r>
        <w:rPr>
          <w:rFonts w:ascii="Cambria" w:eastAsia="Cambria" w:hAnsi="Cambria" w:cs="Cambria"/>
          <w:i/>
          <w:sz w:val="16"/>
        </w:rPr>
        <w:t xml:space="preserve"> </w:t>
      </w:r>
      <w:r>
        <w:rPr>
          <w:rFonts w:ascii="Cambria" w:eastAsia="Cambria" w:hAnsi="Cambria" w:cs="Cambria"/>
        </w:rPr>
        <w:t xml:space="preserve">= </w:t>
      </w:r>
      <w:r>
        <w:rPr>
          <w:rFonts w:ascii="Cambria" w:eastAsia="Cambria" w:hAnsi="Cambria" w:cs="Cambria"/>
          <w:i/>
        </w:rPr>
        <w:t>U</w:t>
      </w:r>
      <w:r>
        <w:rPr>
          <w:rFonts w:ascii="Cambria" w:eastAsia="Cambria" w:hAnsi="Cambria" w:cs="Cambria"/>
          <w:i/>
          <w:sz w:val="16"/>
        </w:rPr>
        <w:t>i</w:t>
      </w:r>
      <w:r>
        <w:rPr>
          <w:rFonts w:ascii="Cambria" w:eastAsia="Cambria" w:hAnsi="Cambria" w:cs="Cambria"/>
        </w:rPr>
        <w:t>(</w:t>
      </w:r>
      <w:proofErr w:type="spellStart"/>
      <w:r>
        <w:rPr>
          <w:rFonts w:ascii="Cambria" w:eastAsia="Cambria" w:hAnsi="Cambria" w:cs="Cambria"/>
          <w:i/>
        </w:rPr>
        <w:t>T</w:t>
      </w:r>
      <w:r>
        <w:rPr>
          <w:rFonts w:ascii="Cambria" w:eastAsia="Cambria" w:hAnsi="Cambria" w:cs="Cambria"/>
          <w:i/>
          <w:sz w:val="16"/>
        </w:rPr>
        <w:t>wall,i</w:t>
      </w:r>
      <w:proofErr w:type="spellEnd"/>
      <w:r>
        <w:rPr>
          <w:rFonts w:ascii="Cambria" w:eastAsia="Cambria" w:hAnsi="Cambria" w:cs="Cambria"/>
          <w:i/>
          <w:sz w:val="16"/>
        </w:rPr>
        <w:t xml:space="preserve"> </w:t>
      </w:r>
      <w:r>
        <w:rPr>
          <w:rFonts w:ascii="Cambria" w:eastAsia="Cambria" w:hAnsi="Cambria" w:cs="Cambria"/>
        </w:rPr>
        <w:t xml:space="preserve">− </w:t>
      </w:r>
      <w:proofErr w:type="spellStart"/>
      <w:r>
        <w:rPr>
          <w:rFonts w:ascii="Cambria" w:eastAsia="Cambria" w:hAnsi="Cambria" w:cs="Cambria"/>
          <w:i/>
        </w:rPr>
        <w:t>T</w:t>
      </w:r>
      <w:r>
        <w:rPr>
          <w:rFonts w:ascii="Cambria" w:eastAsia="Cambria" w:hAnsi="Cambria" w:cs="Cambria"/>
          <w:i/>
          <w:sz w:val="16"/>
        </w:rPr>
        <w:t>water</w:t>
      </w:r>
      <w:proofErr w:type="spellEnd"/>
      <w:r>
        <w:rPr>
          <w:rFonts w:ascii="Cambria" w:eastAsia="Cambria" w:hAnsi="Cambria" w:cs="Cambria"/>
        </w:rPr>
        <w:t>)</w:t>
      </w:r>
      <w:r>
        <w:rPr>
          <w:rFonts w:ascii="Cambria" w:eastAsia="Cambria" w:hAnsi="Cambria" w:cs="Cambria"/>
        </w:rPr>
        <w:tab/>
      </w:r>
      <w:r>
        <w:t>(23)</w:t>
      </w:r>
    </w:p>
    <w:p w14:paraId="57B6EA20" w14:textId="77777777" w:rsidR="00CD21A2" w:rsidRDefault="002656DE">
      <w:pPr>
        <w:ind w:left="-15" w:right="1005"/>
      </w:pPr>
      <w:r>
        <w:t>The overall heat transfer coefficient (</w:t>
      </w:r>
      <w:r>
        <w:rPr>
          <w:rFonts w:ascii="Cambria" w:eastAsia="Cambria" w:hAnsi="Cambria" w:cs="Cambria"/>
          <w:i/>
        </w:rPr>
        <w:t>U</w:t>
      </w:r>
      <w:r>
        <w:rPr>
          <w:rFonts w:ascii="Cambria" w:eastAsia="Cambria" w:hAnsi="Cambria" w:cs="Cambria"/>
          <w:i/>
          <w:vertAlign w:val="subscript"/>
        </w:rPr>
        <w:t>i</w:t>
      </w:r>
      <w:r>
        <w:t>) is subsequently determined using the following expression.</w:t>
      </w:r>
    </w:p>
    <w:p w14:paraId="1F40C37D" w14:textId="77777777" w:rsidR="00CD21A2" w:rsidRDefault="002656DE">
      <w:pPr>
        <w:tabs>
          <w:tab w:val="center" w:pos="4696"/>
          <w:tab w:val="center" w:pos="9166"/>
        </w:tabs>
        <w:spacing w:after="327" w:line="259" w:lineRule="auto"/>
        <w:ind w:left="0" w:firstLine="0"/>
        <w:jc w:val="left"/>
      </w:pPr>
      <w:r>
        <w:tab/>
      </w:r>
      <w:r>
        <w:rPr>
          <w:noProof/>
        </w:rPr>
        <w:drawing>
          <wp:inline distT="0" distB="0" distL="0" distR="0" wp14:anchorId="057F96C1" wp14:editId="0AC726BC">
            <wp:extent cx="1853184" cy="362712"/>
            <wp:effectExtent l="0" t="0" r="0" b="0"/>
            <wp:docPr id="43934" name="Picture 43934"/>
            <wp:cNvGraphicFramePr/>
            <a:graphic xmlns:a="http://schemas.openxmlformats.org/drawingml/2006/main">
              <a:graphicData uri="http://schemas.openxmlformats.org/drawingml/2006/picture">
                <pic:pic xmlns:pic="http://schemas.openxmlformats.org/drawingml/2006/picture">
                  <pic:nvPicPr>
                    <pic:cNvPr id="43934" name="Picture 43934"/>
                    <pic:cNvPicPr/>
                  </pic:nvPicPr>
                  <pic:blipFill>
                    <a:blip r:embed="rId32"/>
                    <a:stretch>
                      <a:fillRect/>
                    </a:stretch>
                  </pic:blipFill>
                  <pic:spPr>
                    <a:xfrm>
                      <a:off x="0" y="0"/>
                      <a:ext cx="1853184" cy="362712"/>
                    </a:xfrm>
                    <a:prstGeom prst="rect">
                      <a:avLst/>
                    </a:prstGeom>
                  </pic:spPr>
                </pic:pic>
              </a:graphicData>
            </a:graphic>
          </wp:inline>
        </w:drawing>
      </w:r>
      <w:r>
        <w:tab/>
        <w:t>(24)</w:t>
      </w:r>
    </w:p>
    <w:p w14:paraId="1298618A" w14:textId="77777777" w:rsidR="00CD21A2" w:rsidRDefault="002656DE">
      <w:pPr>
        <w:spacing w:after="8" w:line="413" w:lineRule="auto"/>
        <w:ind w:left="-15" w:right="899"/>
        <w:jc w:val="left"/>
      </w:pPr>
      <w:r>
        <w:t>A 1D process model was used to estimate the furnace, platen and final SH internal heat transfer coefficients and internal temperatures for the low load case.</w:t>
      </w:r>
      <w:r>
        <w:tab/>
        <w:t>For the validation cases the experimental data from site was used to estimate the mean water temperature in the heat exchangers.</w:t>
      </w:r>
    </w:p>
    <w:p w14:paraId="28D88C02" w14:textId="77777777" w:rsidR="00CD21A2" w:rsidRDefault="002656DE">
      <w:pPr>
        <w:ind w:left="-15" w:right="1005"/>
      </w:pPr>
      <w:r>
        <w:t xml:space="preserve">The process model of the boiler configuration is shown in Fig. </w:t>
      </w:r>
      <w:r>
        <w:rPr>
          <w:color w:val="0000FF"/>
        </w:rPr>
        <w:t>3</w:t>
      </w:r>
      <w:r>
        <w:t xml:space="preserve">. The process model includes all the heat exchangers up to and downstream of the final SH, which include the secondary reheater (RH2), primary SH (SH1), primary reheater (RH1), economiser (EC) and the SA air heaters (SA-AH). The model includes all the relevant attemperators (ATT1, ATT2 and ATT-RH), inlets and outlets. The process model is used to determine the required </w:t>
      </w:r>
      <w:proofErr w:type="spellStart"/>
      <w:r>
        <w:t>attemperation</w:t>
      </w:r>
      <w:proofErr w:type="spellEnd"/>
      <w:r>
        <w:t xml:space="preserve"> flowrates and water/steam side thermal response. The furnace water-walls are represented by a single lumped pipe flow component and forms part of the natural circulation system that includes the downcomers and steam drum. As with the furnace walls, the platen and final SHs are similarly represented by a single lumped parameter pipe flow component, interconnected with nodes that introduce the </w:t>
      </w:r>
      <w:proofErr w:type="spellStart"/>
      <w:r>
        <w:t>attemperation</w:t>
      </w:r>
      <w:proofErr w:type="spellEnd"/>
      <w:r>
        <w:t xml:space="preserve"> flows to the water/steam side.</w:t>
      </w:r>
    </w:p>
    <w:p w14:paraId="6958E563" w14:textId="499F746B" w:rsidR="00CD21A2" w:rsidRDefault="002656DE" w:rsidP="00A46405">
      <w:pPr>
        <w:ind w:left="-15" w:right="1005"/>
      </w:pPr>
      <w:r>
        <w:lastRenderedPageBreak/>
        <w:t xml:space="preserve">The coupling interface between the simulation models are the heat-exchanger external tube surfaces, namely the furnace, platen and final SH walls. The CFD heat loads are used as energy sources for these components as indicated in Fig. </w:t>
      </w:r>
      <w:r>
        <w:rPr>
          <w:color w:val="0000FF"/>
        </w:rPr>
        <w:t>3</w:t>
      </w:r>
      <w:r>
        <w:t>. The furnace heat load to the evaporator walls determines the circulation rate through the evaporator. The steam drum separates the gas from</w:t>
      </w:r>
      <w:r w:rsidR="00A46405">
        <w:t xml:space="preserve"> </w:t>
      </w:r>
      <w:r>
        <w:t xml:space="preserve">the liquid, with the liquid water being recirculated through the evaporator and the saturated vapour (steam) being sent through the main steam line for superheating. Thus the steam generation is calculated. Furthermore, the CFD flue-gas results (i.e. composition, mass flow and temperature) exiting the final SH are used as boundary values for the heat exchangers downstream of the final SH (SH3), as shown in Fig. </w:t>
      </w:r>
      <w:r>
        <w:rPr>
          <w:color w:val="0000FF"/>
        </w:rPr>
        <w:t>3</w:t>
      </w:r>
      <w:r>
        <w:t>. The steam flow boundary values for the RH and EC sections are fixed inlet mass flows and temperatures with the corresponding outlets set to a fixed pressure.</w:t>
      </w:r>
    </w:p>
    <w:p w14:paraId="12650167" w14:textId="77777777" w:rsidR="00CD21A2" w:rsidRDefault="002656DE">
      <w:pPr>
        <w:spacing w:after="346"/>
        <w:ind w:left="-15" w:right="1005"/>
      </w:pPr>
      <w:r>
        <w:t xml:space="preserve">Figure </w:t>
      </w:r>
      <w:r>
        <w:rPr>
          <w:color w:val="0000FF"/>
        </w:rPr>
        <w:t xml:space="preserve">4 </w:t>
      </w:r>
      <w:r>
        <w:t xml:space="preserve">illustrates the heat exchanger component process model. This component is used for the heat exchangers downstream of SH3 (refer to Fig. </w:t>
      </w:r>
      <w:r>
        <w:rPr>
          <w:color w:val="0000FF"/>
        </w:rPr>
        <w:t>3</w:t>
      </w:r>
      <w:r>
        <w:t xml:space="preserve">). The component model accounts for the radiative (gas and direct), convective and conduction heat transfer mechanisms to and from the gas-side and steam-side control volumes, as well as between up- and downstream heat exchangers on the gas side. The total heat transferred to the water-side control volume can be written as the sum of the absorbed direct radiation and the combined convective and gas radiative heat transfer (i.e. </w:t>
      </w:r>
      <w:r>
        <w:rPr>
          <w:rFonts w:ascii="Cambria" w:eastAsia="Cambria" w:hAnsi="Cambria" w:cs="Cambria"/>
          <w:i/>
          <w:sz w:val="34"/>
          <w:vertAlign w:val="superscript"/>
        </w:rPr>
        <w:t>Q</w:t>
      </w:r>
      <w:r>
        <w:rPr>
          <w:rFonts w:ascii="Cambria" w:eastAsia="Cambria" w:hAnsi="Cambria" w:cs="Cambria"/>
          <w:sz w:val="34"/>
          <w:vertAlign w:val="superscript"/>
        </w:rPr>
        <w:t xml:space="preserve">˙ </w:t>
      </w:r>
      <w:r>
        <w:rPr>
          <w:rFonts w:ascii="Cambria" w:eastAsia="Cambria" w:hAnsi="Cambria" w:cs="Cambria"/>
          <w:i/>
          <w:vertAlign w:val="subscript"/>
        </w:rPr>
        <w:t xml:space="preserve">steam </w:t>
      </w:r>
      <w:r>
        <w:rPr>
          <w:rFonts w:ascii="Cambria" w:eastAsia="Cambria" w:hAnsi="Cambria" w:cs="Cambria"/>
        </w:rPr>
        <w:t xml:space="preserve">= </w:t>
      </w:r>
      <w:r>
        <w:rPr>
          <w:rFonts w:ascii="Cambria" w:eastAsia="Cambria" w:hAnsi="Cambria" w:cs="Cambria"/>
          <w:i/>
          <w:sz w:val="34"/>
          <w:vertAlign w:val="superscript"/>
        </w:rPr>
        <w:t>Q</w:t>
      </w:r>
      <w:r>
        <w:rPr>
          <w:rFonts w:ascii="Cambria" w:eastAsia="Cambria" w:hAnsi="Cambria" w:cs="Cambria"/>
          <w:sz w:val="34"/>
          <w:vertAlign w:val="superscript"/>
        </w:rPr>
        <w:t xml:space="preserve">˙ </w:t>
      </w:r>
      <w:r>
        <w:rPr>
          <w:rFonts w:ascii="Cambria" w:eastAsia="Cambria" w:hAnsi="Cambria" w:cs="Cambria"/>
          <w:i/>
          <w:vertAlign w:val="subscript"/>
        </w:rPr>
        <w:t xml:space="preserve">abs </w:t>
      </w:r>
      <w:r>
        <w:rPr>
          <w:rFonts w:ascii="Cambria" w:eastAsia="Cambria" w:hAnsi="Cambria" w:cs="Cambria"/>
        </w:rPr>
        <w:t xml:space="preserve">+ </w:t>
      </w:r>
      <w:r>
        <w:rPr>
          <w:rFonts w:ascii="Cambria" w:eastAsia="Cambria" w:hAnsi="Cambria" w:cs="Cambria"/>
          <w:i/>
          <w:sz w:val="34"/>
          <w:vertAlign w:val="superscript"/>
        </w:rPr>
        <w:t>Q</w:t>
      </w:r>
      <w:r>
        <w:rPr>
          <w:rFonts w:ascii="Cambria" w:eastAsia="Cambria" w:hAnsi="Cambria" w:cs="Cambria"/>
          <w:sz w:val="34"/>
          <w:vertAlign w:val="superscript"/>
        </w:rPr>
        <w:t xml:space="preserve">˙ </w:t>
      </w:r>
      <w:proofErr w:type="spellStart"/>
      <w:r>
        <w:rPr>
          <w:rFonts w:ascii="Cambria" w:eastAsia="Cambria" w:hAnsi="Cambria" w:cs="Cambria"/>
          <w:i/>
          <w:vertAlign w:val="subscript"/>
        </w:rPr>
        <w:t>cr</w:t>
      </w:r>
      <w:proofErr w:type="spellEnd"/>
      <w:r>
        <w:t xml:space="preserve">). The external heat transfer coefficient, from the flue-gas to the heat-exchanger walls makes use of the </w:t>
      </w:r>
      <w:proofErr w:type="spellStart"/>
      <w:r>
        <w:t>Gnielinski</w:t>
      </w:r>
      <w:proofErr w:type="spellEnd"/>
      <w:r>
        <w:t xml:space="preserve"> correlation [</w:t>
      </w:r>
      <w:r>
        <w:rPr>
          <w:color w:val="0000FF"/>
        </w:rPr>
        <w:t>31</w:t>
      </w:r>
      <w:r>
        <w:t xml:space="preserve">] for the various heat-exchanger tube arrangements. Figure </w:t>
      </w:r>
      <w:r>
        <w:rPr>
          <w:color w:val="0000FF"/>
        </w:rPr>
        <w:t xml:space="preserve">4 </w:t>
      </w:r>
      <w:r>
        <w:t>incorporates the direct radiative interactions in each heat-exchanger. It shows that the portion of direct radiation from the preceding heat exchanger that is not absorbed is joined by the bypass radiation (</w:t>
      </w:r>
      <w:r>
        <w:rPr>
          <w:rFonts w:ascii="Cambria" w:eastAsia="Cambria" w:hAnsi="Cambria" w:cs="Cambria"/>
          <w:i/>
          <w:sz w:val="34"/>
          <w:vertAlign w:val="superscript"/>
        </w:rPr>
        <w:t>Q</w:t>
      </w:r>
      <w:r>
        <w:rPr>
          <w:rFonts w:ascii="Cambria" w:eastAsia="Cambria" w:hAnsi="Cambria" w:cs="Cambria"/>
          <w:sz w:val="34"/>
          <w:vertAlign w:val="superscript"/>
        </w:rPr>
        <w:t xml:space="preserve">˙ </w:t>
      </w:r>
      <w:r>
        <w:rPr>
          <w:rFonts w:ascii="Cambria" w:eastAsia="Cambria" w:hAnsi="Cambria" w:cs="Cambria"/>
          <w:i/>
          <w:vertAlign w:val="subscript"/>
        </w:rPr>
        <w:t>bypass</w:t>
      </w:r>
      <w:r>
        <w:t>) of the flue-gas control volume which together make up the direct radiation passed on to the downstream components.</w:t>
      </w:r>
    </w:p>
    <w:p w14:paraId="47F37840" w14:textId="77777777" w:rsidR="00CD21A2" w:rsidRDefault="002656DE">
      <w:pPr>
        <w:pStyle w:val="Heading2"/>
        <w:ind w:left="506" w:hanging="521"/>
      </w:pPr>
      <w:r>
        <w:t>Model inputs</w:t>
      </w:r>
    </w:p>
    <w:p w14:paraId="6259130D" w14:textId="77777777" w:rsidR="00CD21A2" w:rsidRDefault="002656DE">
      <w:pPr>
        <w:spacing w:after="209"/>
        <w:ind w:left="-15" w:right="1005"/>
      </w:pPr>
      <w:r>
        <w:t xml:space="preserve">Table </w:t>
      </w:r>
      <w:r>
        <w:rPr>
          <w:color w:val="0000FF"/>
        </w:rPr>
        <w:t xml:space="preserve">2 </w:t>
      </w:r>
      <w:r>
        <w:t>presents the coal characteristics utilized in the current study along with the higher heating value (HHV) of the fuel.</w:t>
      </w:r>
    </w:p>
    <w:p w14:paraId="64ADE632" w14:textId="75016303" w:rsidR="00CD21A2" w:rsidRDefault="002656DE">
      <w:pPr>
        <w:spacing w:after="132"/>
        <w:ind w:left="-15" w:right="1005"/>
      </w:pPr>
      <w:r>
        <w:lastRenderedPageBreak/>
        <w:t>For a boiler load 32% MCR the current operational protocol is to use the bottom front and rear burner rows to meet the low-load demand during start-up. For this study six cases are simulated with the following three burner firing configurations being investigated:</w:t>
      </w:r>
    </w:p>
    <w:p w14:paraId="7E64F74F" w14:textId="77777777" w:rsidR="00CD21A2" w:rsidRDefault="002656DE">
      <w:pPr>
        <w:numPr>
          <w:ilvl w:val="0"/>
          <w:numId w:val="1"/>
        </w:numPr>
        <w:spacing w:after="180" w:line="259" w:lineRule="auto"/>
        <w:ind w:right="1005" w:hanging="282"/>
      </w:pPr>
      <w:r>
        <w:t>Bottom front and rear row burners are fired (Case 1 &amp; Case 4)</w:t>
      </w:r>
    </w:p>
    <w:p w14:paraId="0270882A" w14:textId="77777777" w:rsidR="00CD21A2" w:rsidRDefault="002656DE">
      <w:pPr>
        <w:numPr>
          <w:ilvl w:val="0"/>
          <w:numId w:val="1"/>
        </w:numPr>
        <w:spacing w:after="180" w:line="259" w:lineRule="auto"/>
        <w:ind w:right="1005" w:hanging="282"/>
      </w:pPr>
      <w:r>
        <w:t>Middle front and rear row burners are fired (Case 2 &amp; Case 5)</w:t>
      </w:r>
    </w:p>
    <w:p w14:paraId="32246D7A" w14:textId="2F1AF258" w:rsidR="00CD21A2" w:rsidRDefault="002656DE">
      <w:pPr>
        <w:numPr>
          <w:ilvl w:val="0"/>
          <w:numId w:val="1"/>
        </w:numPr>
        <w:spacing w:line="259" w:lineRule="auto"/>
        <w:ind w:right="1005" w:hanging="282"/>
      </w:pPr>
      <w:r>
        <w:t>Bottom front and middle rear row burners are fired (Case 3 &amp; Case 6)</w:t>
      </w:r>
    </w:p>
    <w:p w14:paraId="37CFD3F7" w14:textId="77777777" w:rsidR="00A46405" w:rsidRDefault="00A46405" w:rsidP="007A6E95">
      <w:pPr>
        <w:spacing w:line="259" w:lineRule="auto"/>
        <w:ind w:left="360" w:right="1005" w:firstLine="0"/>
      </w:pPr>
    </w:p>
    <w:p w14:paraId="4B5A4B29" w14:textId="0541F987" w:rsidR="00CD21A2" w:rsidRDefault="002656DE">
      <w:pPr>
        <w:spacing w:after="374"/>
        <w:ind w:left="-15" w:right="1005"/>
      </w:pPr>
      <w:r>
        <w:t>A secondary air flow rate of 5 kg/s is typically fed through the non-firing burners, to ensure sufficient cooling of the burner and mixing of fuel and air in the combustion chamber, with these three cases numbered 1, 2 and 3. The result is a high air-fuel ratio in the furnace, which leads to higher boiler dry gas loss. To lower this loss, this study will investigate the effect of reducing the air-fuel ratio by lowering the non-firing burner SA flowrate from 5 to 2.5 kg/s, with these three cases numbered 4, 5 and 6. Two permutations of the SA flowrate, at the non-firing burners, are used for each of the firing configurations mentioned above. Table 3 shows the input conditions for Cases 1 to 6. This data was obtained via conventional boiler mass and energy balance calculations.</w:t>
      </w:r>
    </w:p>
    <w:p w14:paraId="62024201" w14:textId="77777777" w:rsidR="00CD21A2" w:rsidRDefault="002656DE">
      <w:pPr>
        <w:pStyle w:val="Heading2"/>
        <w:ind w:left="506" w:hanging="521"/>
      </w:pPr>
      <w:r>
        <w:t>Numerical solution strategy</w:t>
      </w:r>
    </w:p>
    <w:p w14:paraId="0BAAFF9A" w14:textId="77777777" w:rsidR="00CD21A2" w:rsidRDefault="002656DE">
      <w:pPr>
        <w:ind w:left="-15" w:right="1005"/>
      </w:pPr>
      <w:r>
        <w:t xml:space="preserve">A numerical mesh consisting of approximately 6 million cells was used for the CFD simulations of this current study. To ensure that the results are grid size independent, simulations were also performed for mesh sizes of 3.5 million and 10 million cells during the validation study, discusses in Section </w:t>
      </w:r>
      <w:r>
        <w:rPr>
          <w:color w:val="0000FF"/>
        </w:rPr>
        <w:t>4.1</w:t>
      </w:r>
      <w:r>
        <w:t>. To ensure numerical stability during simulation the aspect ratio and mesh orthogonality quality where kept below 20 and above 0.2 respectively.</w:t>
      </w:r>
    </w:p>
    <w:p w14:paraId="3A1C6540" w14:textId="77777777" w:rsidR="00CD21A2" w:rsidRDefault="002656DE">
      <w:pPr>
        <w:spacing w:after="169"/>
        <w:ind w:left="-15" w:right="1005"/>
      </w:pPr>
      <w:r>
        <w:t>The CFD simulations were performed using ANSYS Fluent v19.5</w:t>
      </w:r>
      <w:r>
        <w:rPr>
          <w:vertAlign w:val="superscript"/>
        </w:rPr>
        <w:t xml:space="preserve">® </w:t>
      </w:r>
      <w:r>
        <w:t xml:space="preserve">pressure-based solver. The pressure-momentum coupling utilised the SIMPLE method. Second-order </w:t>
      </w:r>
      <w:proofErr w:type="spellStart"/>
      <w:r>
        <w:t>upwinding</w:t>
      </w:r>
      <w:proofErr w:type="spellEnd"/>
      <w:r>
        <w:t xml:space="preserve"> was used to discretize the momentum, energy and species equations, whereas PRESTO! was used to discretize the pressure equation. The scalar field equations used a second-order upwind scheme.</w:t>
      </w:r>
    </w:p>
    <w:p w14:paraId="6E652BD4" w14:textId="77777777" w:rsidR="00CD21A2" w:rsidRDefault="002656DE">
      <w:pPr>
        <w:spacing w:after="486"/>
        <w:ind w:left="-15" w:right="1005"/>
      </w:pPr>
      <w:r>
        <w:lastRenderedPageBreak/>
        <w:t>The spatial discretization for all fields (except pressure) was set to first-order upwind for the first 1000 iterations to ensure a stable solution, after which the discretization order was increased to the above mentioned criteria. For all cases the maximum mass imbalance was 0.024 [</w:t>
      </w:r>
      <w:r>
        <w:rPr>
          <w:rFonts w:ascii="Cambria" w:eastAsia="Cambria" w:hAnsi="Cambria" w:cs="Cambria"/>
          <w:i/>
        </w:rPr>
        <w:t>kg/s</w:t>
      </w:r>
      <w:r>
        <w:t>] for a total gas flowrate of 190 [</w:t>
      </w:r>
      <w:r>
        <w:rPr>
          <w:rFonts w:ascii="Cambria" w:eastAsia="Cambria" w:hAnsi="Cambria" w:cs="Cambria"/>
          <w:i/>
        </w:rPr>
        <w:t>kg/s</w:t>
      </w:r>
      <w:r>
        <w:t>], and a heat imbalance of 1770 [</w:t>
      </w:r>
      <w:r>
        <w:rPr>
          <w:rFonts w:ascii="Cambria" w:eastAsia="Cambria" w:hAnsi="Cambria" w:cs="Cambria"/>
          <w:i/>
        </w:rPr>
        <w:t>kW</w:t>
      </w:r>
      <w:r>
        <w:t>] for a total heat input of 283 [</w:t>
      </w:r>
      <w:r>
        <w:rPr>
          <w:rFonts w:ascii="Cambria" w:eastAsia="Cambria" w:hAnsi="Cambria" w:cs="Cambria"/>
          <w:i/>
        </w:rPr>
        <w:t>MW</w:t>
      </w:r>
      <w:r>
        <w:t>]. The remaining fields were solved till convergence.</w:t>
      </w:r>
    </w:p>
    <w:p w14:paraId="3A4F4D37" w14:textId="77777777" w:rsidR="00CD21A2" w:rsidRDefault="002656DE">
      <w:pPr>
        <w:pStyle w:val="Heading1"/>
        <w:ind w:left="324" w:hanging="339"/>
      </w:pPr>
      <w:r>
        <w:t>RESULTS &amp; DISCUSSION</w:t>
      </w:r>
    </w:p>
    <w:p w14:paraId="0F5211B9" w14:textId="77777777" w:rsidR="00CD21A2" w:rsidRDefault="002656DE">
      <w:pPr>
        <w:pStyle w:val="Heading2"/>
        <w:ind w:left="506" w:hanging="521"/>
      </w:pPr>
      <w:r>
        <w:t>Model validation</w:t>
      </w:r>
    </w:p>
    <w:p w14:paraId="5A7E9868" w14:textId="255730F3" w:rsidR="00CD21A2" w:rsidRDefault="002656DE">
      <w:pPr>
        <w:ind w:left="-15" w:right="1005"/>
      </w:pPr>
      <w:r>
        <w:t>The validation of the proposed model was conducted for three steady-state MCR loads of 100%, 80% and 60% respectively. Actual plant measurements were used to calculate the thermal heat loads of the three heat exchangers, namely the furnace, platen and final SH, to quantify the accuracy. The model inputs and thermal boundary conditions can be obtained from the studies conducted by Laubscher and Rousseau [</w:t>
      </w:r>
      <w:r>
        <w:rPr>
          <w:color w:val="0000FF"/>
        </w:rPr>
        <w:t>6</w:t>
      </w:r>
      <w:r w:rsidR="00584939">
        <w:t xml:space="preserve">, </w:t>
      </w:r>
      <w:r>
        <w:rPr>
          <w:color w:val="0000FF"/>
        </w:rPr>
        <w:t>32</w:t>
      </w:r>
      <w:r>
        <w:t>], where using the same boiler of the present study, they evaluated the thermal performance of the heat exchanging components at full and reduced</w:t>
      </w:r>
    </w:p>
    <w:p w14:paraId="45A9C272" w14:textId="77777777" w:rsidR="00CD21A2" w:rsidRDefault="002656DE">
      <w:pPr>
        <w:spacing w:after="148" w:line="259" w:lineRule="auto"/>
        <w:ind w:left="-15" w:right="1005" w:firstLine="0"/>
      </w:pPr>
      <w:r>
        <w:t>boiler loads.</w:t>
      </w:r>
    </w:p>
    <w:p w14:paraId="7636E24B" w14:textId="77777777" w:rsidR="00CD21A2" w:rsidRDefault="002656DE">
      <w:pPr>
        <w:spacing w:after="58"/>
        <w:ind w:left="-15" w:right="1005"/>
      </w:pPr>
      <w:r>
        <w:t xml:space="preserve">Figure </w:t>
      </w:r>
      <w:r>
        <w:rPr>
          <w:color w:val="0000FF"/>
        </w:rPr>
        <w:t xml:space="preserve">5 </w:t>
      </w:r>
      <w:r>
        <w:t>shows that the calculated overall heat loads are in good agreement with the measured values where the model results are within the associated uncertainty range in all but one case. The simulation systematically under predicts the furnace heat loads, with a maximum percentage error of 2%, while predominating overpredicting the platen SH loads, with a maximum percentage error of 7%.</w:t>
      </w:r>
    </w:p>
    <w:p w14:paraId="32944E9C" w14:textId="77777777" w:rsidR="00CD21A2" w:rsidRDefault="002656DE">
      <w:pPr>
        <w:spacing w:after="48"/>
        <w:ind w:left="-15" w:right="1005"/>
      </w:pPr>
      <w:r>
        <w:t xml:space="preserve">The CFD model was further validated by comparing the </w:t>
      </w:r>
      <w:proofErr w:type="spellStart"/>
      <w:r>
        <w:rPr>
          <w:rFonts w:ascii="Cambria" w:eastAsia="Cambria" w:hAnsi="Cambria" w:cs="Cambria"/>
          <w:i/>
        </w:rPr>
        <w:t>CO</w:t>
      </w:r>
      <w:r>
        <w:rPr>
          <w:rFonts w:ascii="Cambria" w:eastAsia="Cambria" w:hAnsi="Cambria" w:cs="Cambria"/>
          <w:i/>
          <w:vertAlign w:val="subscript"/>
        </w:rPr>
        <w:t>ppm</w:t>
      </w:r>
      <w:proofErr w:type="spellEnd"/>
      <w:r>
        <w:rPr>
          <w:rFonts w:ascii="Cambria" w:eastAsia="Cambria" w:hAnsi="Cambria" w:cs="Cambria"/>
          <w:i/>
          <w:vertAlign w:val="subscript"/>
        </w:rPr>
        <w:t xml:space="preserve"> </w:t>
      </w:r>
      <w:r>
        <w:t xml:space="preserve">and </w:t>
      </w:r>
      <w:r>
        <w:rPr>
          <w:rFonts w:ascii="Cambria" w:eastAsia="Cambria" w:hAnsi="Cambria" w:cs="Cambria"/>
          <w:i/>
        </w:rPr>
        <w:t>X</w:t>
      </w:r>
      <w:r>
        <w:rPr>
          <w:rFonts w:ascii="Cambria" w:eastAsia="Cambria" w:hAnsi="Cambria" w:cs="Cambria"/>
          <w:i/>
          <w:vertAlign w:val="subscript"/>
        </w:rPr>
        <w:t>O</w:t>
      </w:r>
      <w:r>
        <w:rPr>
          <w:rFonts w:ascii="Cambria" w:eastAsia="Cambria" w:hAnsi="Cambria" w:cs="Cambria"/>
          <w:sz w:val="18"/>
          <w:vertAlign w:val="subscript"/>
        </w:rPr>
        <w:t xml:space="preserve">2 </w:t>
      </w:r>
      <w:r>
        <w:t>measurements against the CFD results. The probe measurements were taken at a furnace height of 37.5 [</w:t>
      </w:r>
      <w:r>
        <w:rPr>
          <w:rFonts w:ascii="Cambria" w:eastAsia="Cambria" w:hAnsi="Cambria" w:cs="Cambria"/>
          <w:i/>
        </w:rPr>
        <w:t>m</w:t>
      </w:r>
      <w:r>
        <w:t xml:space="preserve">] near the </w:t>
      </w:r>
      <w:proofErr w:type="spellStart"/>
      <w:r>
        <w:t>center</w:t>
      </w:r>
      <w:proofErr w:type="spellEnd"/>
      <w:r>
        <w:t xml:space="preserve"> of the boiler during full load (100% MCR) operating conditions. The probe is inserted from the side walls to a depth of 4.5 [</w:t>
      </w:r>
      <w:r>
        <w:rPr>
          <w:rFonts w:ascii="Cambria" w:eastAsia="Cambria" w:hAnsi="Cambria" w:cs="Cambria"/>
          <w:i/>
        </w:rPr>
        <w:t>m</w:t>
      </w:r>
      <w:r>
        <w:t>], and measurements were taken every 0.5 [</w:t>
      </w:r>
      <w:r>
        <w:rPr>
          <w:rFonts w:ascii="Cambria" w:eastAsia="Cambria" w:hAnsi="Cambria" w:cs="Cambria"/>
          <w:i/>
        </w:rPr>
        <w:t>m</w:t>
      </w:r>
      <w:r>
        <w:t>].</w:t>
      </w:r>
    </w:p>
    <w:p w14:paraId="7FA8033E" w14:textId="77777777" w:rsidR="00CD21A2" w:rsidRDefault="002656DE">
      <w:pPr>
        <w:ind w:left="-15" w:right="1005"/>
      </w:pPr>
      <w:r>
        <w:t xml:space="preserve">Figure </w:t>
      </w:r>
      <w:r>
        <w:rPr>
          <w:color w:val="0000FF"/>
        </w:rPr>
        <w:t xml:space="preserve">6 </w:t>
      </w:r>
      <w:r>
        <w:t xml:space="preserve">shows the averaged measurement values compared to the CFD predictions. It can be seen that the CFD model can resolve the </w:t>
      </w:r>
      <w:proofErr w:type="spellStart"/>
      <w:r>
        <w:rPr>
          <w:rFonts w:ascii="Cambria" w:eastAsia="Cambria" w:hAnsi="Cambria" w:cs="Cambria"/>
          <w:i/>
        </w:rPr>
        <w:t>CO</w:t>
      </w:r>
      <w:r>
        <w:rPr>
          <w:rFonts w:ascii="Cambria" w:eastAsia="Cambria" w:hAnsi="Cambria" w:cs="Cambria"/>
          <w:i/>
          <w:vertAlign w:val="subscript"/>
        </w:rPr>
        <w:t>ppm</w:t>
      </w:r>
      <w:proofErr w:type="spellEnd"/>
      <w:r>
        <w:rPr>
          <w:rFonts w:ascii="Cambria" w:eastAsia="Cambria" w:hAnsi="Cambria" w:cs="Cambria"/>
          <w:i/>
          <w:vertAlign w:val="subscript"/>
        </w:rPr>
        <w:t xml:space="preserve"> </w:t>
      </w:r>
      <w:r>
        <w:t xml:space="preserve">and </w:t>
      </w:r>
      <w:r>
        <w:rPr>
          <w:rFonts w:ascii="Cambria" w:eastAsia="Cambria" w:hAnsi="Cambria" w:cs="Cambria"/>
          <w:i/>
        </w:rPr>
        <w:t>X</w:t>
      </w:r>
      <w:r>
        <w:rPr>
          <w:rFonts w:ascii="Cambria" w:eastAsia="Cambria" w:hAnsi="Cambria" w:cs="Cambria"/>
          <w:i/>
          <w:vertAlign w:val="subscript"/>
        </w:rPr>
        <w:t>O</w:t>
      </w:r>
      <w:r>
        <w:rPr>
          <w:rFonts w:ascii="Cambria" w:eastAsia="Cambria" w:hAnsi="Cambria" w:cs="Cambria"/>
          <w:sz w:val="18"/>
          <w:vertAlign w:val="subscript"/>
        </w:rPr>
        <w:t xml:space="preserve">2 </w:t>
      </w:r>
      <w:r>
        <w:t>concentrations at the given probe</w:t>
      </w:r>
    </w:p>
    <w:p w14:paraId="6B915EE0" w14:textId="77777777" w:rsidR="00CD21A2" w:rsidRDefault="002656DE">
      <w:pPr>
        <w:spacing w:after="465"/>
        <w:ind w:left="-15" w:right="1005" w:firstLine="0"/>
      </w:pPr>
      <w:r>
        <w:t>location with sufficient accuracy.</w:t>
      </w:r>
    </w:p>
    <w:p w14:paraId="42F1B33B" w14:textId="77777777" w:rsidR="00CD21A2" w:rsidRDefault="002656DE">
      <w:pPr>
        <w:pStyle w:val="Heading2"/>
        <w:ind w:left="506" w:hanging="521"/>
      </w:pPr>
      <w:r>
        <w:lastRenderedPageBreak/>
        <w:t>Simulation results for various burner firing arrangements at 32% MCR</w:t>
      </w:r>
    </w:p>
    <w:p w14:paraId="502CEFA5" w14:textId="4BA9D2B3" w:rsidR="00CD21A2" w:rsidRDefault="002656DE" w:rsidP="00A46405">
      <w:pPr>
        <w:spacing w:after="50"/>
        <w:ind w:left="-15" w:right="1005"/>
      </w:pPr>
      <w:r>
        <w:t xml:space="preserve">The temperature and velocity profiles for the various firing arrangements are shown in Fig. </w:t>
      </w:r>
      <w:r>
        <w:rPr>
          <w:color w:val="0000FF"/>
        </w:rPr>
        <w:t xml:space="preserve">7 </w:t>
      </w:r>
      <w:r>
        <w:t xml:space="preserve">and Fig. </w:t>
      </w:r>
      <w:r>
        <w:rPr>
          <w:color w:val="0000FF"/>
        </w:rPr>
        <w:t xml:space="preserve">8 </w:t>
      </w:r>
      <w:r>
        <w:t xml:space="preserve">respectively. With the middle burner rows firing (Cases 2 and 5) a substantial cold region is formed in the lower half the furnace, resulting in the lowest heat uptake. This is further exacerbated when considering Tab. </w:t>
      </w:r>
      <w:r>
        <w:rPr>
          <w:color w:val="0000FF"/>
        </w:rPr>
        <w:t xml:space="preserve">5 </w:t>
      </w:r>
      <w:r>
        <w:t>where it is illustrated that the mid-firing arrangements produce the lowest steam flow rates resulting in the lowest boiler efficiencies. The bottom firing</w:t>
      </w:r>
      <w:r w:rsidR="00A46405">
        <w:t xml:space="preserve"> </w:t>
      </w:r>
      <w:r>
        <w:t xml:space="preserve">arrangement (Cases 1 and 4) results in a high temperature zone located in the bottom half on the burner, while the mixed firing arrangement (Cases 3 and 6) results is an even distribution of high temperature gases across the furnace domain (Fig. </w:t>
      </w:r>
      <w:r>
        <w:rPr>
          <w:color w:val="0000FF"/>
        </w:rPr>
        <w:t>7</w:t>
      </w:r>
      <w:r>
        <w:t xml:space="preserve">). This leads to the highest steam generation rate in the furnace and boiler efficiency as shown in Tab. </w:t>
      </w:r>
      <w:r>
        <w:rPr>
          <w:color w:val="0000FF"/>
        </w:rPr>
        <w:t>5</w:t>
      </w:r>
      <w:r>
        <w:t>.</w:t>
      </w:r>
    </w:p>
    <w:p w14:paraId="1DFD8977" w14:textId="789839DE" w:rsidR="00CD21A2" w:rsidRDefault="002656DE" w:rsidP="00A46405">
      <w:pPr>
        <w:spacing w:after="59"/>
        <w:ind w:left="-15" w:right="1005"/>
      </w:pPr>
      <w:r>
        <w:t xml:space="preserve">Figure </w:t>
      </w:r>
      <w:r>
        <w:rPr>
          <w:color w:val="0000FF"/>
        </w:rPr>
        <w:t xml:space="preserve">9 </w:t>
      </w:r>
      <w:r>
        <w:t>illustrates the heat flux profiles for the simulated cases. Both cases 1 and 4 highlight high heat flux zones near the burner inlets which, in the presence of high temperatures and incomplete combustion near these regions, can lead to high-temperature corrosion [</w:t>
      </w:r>
      <w:r>
        <w:rPr>
          <w:color w:val="0000FF"/>
        </w:rPr>
        <w:t>1</w:t>
      </w:r>
      <w:r>
        <w:t xml:space="preserve">]. An even distribution of heat fluxes is seen in Cases 3 and 6 with minimal localised heat flux concentrations being observed. Cases 2 and 5 show that most of the heat is absorbed in the upper half of the boiler with Case 5 showing a higher heat flux on the rear wall. This could be due the use of a lower SA flowrate leading to higher velocity profiles developing closer to the rear wall, as seen in Fig. </w:t>
      </w:r>
      <w:r>
        <w:rPr>
          <w:color w:val="0000FF"/>
        </w:rPr>
        <w:t>8</w:t>
      </w:r>
      <w:r>
        <w:t xml:space="preserve">. With this in mind a lower SA flowrate, in general leads to hot gases and velocity profiles impinging closer to the furnace walls, which can be seen in Cases 4, 5 and 6 of Fig. </w:t>
      </w:r>
      <w:r>
        <w:rPr>
          <w:color w:val="0000FF"/>
        </w:rPr>
        <w:t xml:space="preserve">7 </w:t>
      </w:r>
      <w:r>
        <w:t>and Fig.</w:t>
      </w:r>
      <w:r>
        <w:rPr>
          <w:color w:val="0000FF"/>
        </w:rPr>
        <w:t xml:space="preserve">8 </w:t>
      </w:r>
      <w:r>
        <w:t xml:space="preserve">respectively. With high gas temperatures and high velocity impingement, Cases 4, 5 and 6 (of Fig. </w:t>
      </w:r>
      <w:r>
        <w:rPr>
          <w:color w:val="0000FF"/>
        </w:rPr>
        <w:t>9</w:t>
      </w:r>
      <w:r>
        <w:t>) experience concentrated heat fluxes around the burner inlets in comparison to the corresponding Cases 1, 2 and 3.</w:t>
      </w:r>
    </w:p>
    <w:p w14:paraId="57338717" w14:textId="77777777" w:rsidR="007A6E95" w:rsidRDefault="002656DE" w:rsidP="007A6E95">
      <w:pPr>
        <w:spacing w:after="220"/>
        <w:ind w:left="-15" w:right="1005"/>
      </w:pPr>
      <w:r>
        <w:t xml:space="preserve">The works of </w:t>
      </w:r>
      <w:proofErr w:type="spellStart"/>
      <w:r>
        <w:t>Dugum</w:t>
      </w:r>
      <w:proofErr w:type="spellEnd"/>
      <w:r>
        <w:t xml:space="preserve"> et al [</w:t>
      </w:r>
      <w:r>
        <w:rPr>
          <w:color w:val="0000FF"/>
        </w:rPr>
        <w:t>1</w:t>
      </w:r>
      <w:r>
        <w:t xml:space="preserve">], highlights the issue of high-temperature corrosion caused by significant levels of </w:t>
      </w:r>
      <w:r>
        <w:rPr>
          <w:rFonts w:ascii="Cambria" w:eastAsia="Cambria" w:hAnsi="Cambria" w:cs="Cambria"/>
          <w:i/>
        </w:rPr>
        <w:t xml:space="preserve">CO </w:t>
      </w:r>
      <w:r>
        <w:t>(</w:t>
      </w:r>
      <w:r>
        <w:rPr>
          <w:rFonts w:ascii="Cambria" w:eastAsia="Cambria" w:hAnsi="Cambria" w:cs="Cambria"/>
          <w:i/>
        </w:rPr>
        <w:t>X</w:t>
      </w:r>
      <w:r>
        <w:rPr>
          <w:rFonts w:ascii="Cambria" w:eastAsia="Cambria" w:hAnsi="Cambria" w:cs="Cambria"/>
          <w:i/>
          <w:vertAlign w:val="subscript"/>
        </w:rPr>
        <w:t xml:space="preserve">CO </w:t>
      </w:r>
      <w:r>
        <w:t xml:space="preserve">0.01 - 0.1) and no-free </w:t>
      </w:r>
      <w:r>
        <w:rPr>
          <w:rFonts w:ascii="Cambria" w:eastAsia="Cambria" w:hAnsi="Cambria" w:cs="Cambria"/>
          <w:i/>
        </w:rPr>
        <w:t>O</w:t>
      </w:r>
      <w:r>
        <w:rPr>
          <w:rFonts w:ascii="Cambria" w:eastAsia="Cambria" w:hAnsi="Cambria" w:cs="Cambria"/>
          <w:vertAlign w:val="subscript"/>
        </w:rPr>
        <w:t xml:space="preserve">2 </w:t>
      </w:r>
      <w:r>
        <w:t xml:space="preserve">near regions of high wall temperatures. For low-load operation this phenomenon becomes important to avoid since combustion instability can lead to these non-ideal circumstances. Figure </w:t>
      </w:r>
      <w:r>
        <w:rPr>
          <w:color w:val="0000FF"/>
        </w:rPr>
        <w:t xml:space="preserve">10 </w:t>
      </w:r>
      <w:r>
        <w:t xml:space="preserve">shows the </w:t>
      </w:r>
      <w:r>
        <w:rPr>
          <w:rFonts w:ascii="Cambria" w:eastAsia="Cambria" w:hAnsi="Cambria" w:cs="Cambria"/>
          <w:i/>
        </w:rPr>
        <w:t xml:space="preserve">CO </w:t>
      </w:r>
      <w:r>
        <w:t xml:space="preserve">molar concentration in the domain located on an iso-surface set 1600 </w:t>
      </w:r>
      <w:r>
        <w:rPr>
          <w:rFonts w:ascii="Cambria" w:eastAsia="Cambria" w:hAnsi="Cambria" w:cs="Cambria"/>
        </w:rPr>
        <w:t>[</w:t>
      </w:r>
      <w:r>
        <w:rPr>
          <w:rFonts w:ascii="Cambria" w:eastAsia="Cambria" w:hAnsi="Cambria" w:cs="Cambria"/>
          <w:i/>
        </w:rPr>
        <w:t>K</w:t>
      </w:r>
      <w:r>
        <w:rPr>
          <w:rFonts w:ascii="Cambria" w:eastAsia="Cambria" w:hAnsi="Cambria" w:cs="Cambria"/>
        </w:rPr>
        <w:t>]</w:t>
      </w:r>
      <w:r>
        <w:t>. The figures generally highlight the location and distribution of the flame core for each case. Cases 1 and 4 illustrate the highest likelihood of high-temperature corrosion occurring near the furnace hopper, due to the high concentration and temperatures in that region.</w:t>
      </w:r>
    </w:p>
    <w:p w14:paraId="6BC51F2B" w14:textId="4179D385" w:rsidR="00A46405" w:rsidRDefault="002656DE" w:rsidP="007A6E95">
      <w:pPr>
        <w:spacing w:after="220"/>
        <w:ind w:left="-15" w:right="1005"/>
      </w:pPr>
      <w:r>
        <w:lastRenderedPageBreak/>
        <w:t xml:space="preserve">Investigating the combustion stability for all the cases, the symmetry and offset vertical probe plots (as highlighted in Fig. </w:t>
      </w:r>
      <w:r>
        <w:rPr>
          <w:color w:val="0000FF"/>
        </w:rPr>
        <w:t>1</w:t>
      </w:r>
      <w:r>
        <w:t xml:space="preserve">) are given in Fig. </w:t>
      </w:r>
      <w:r>
        <w:rPr>
          <w:color w:val="0000FF"/>
        </w:rPr>
        <w:t>11</w:t>
      </w:r>
      <w:r>
        <w:t xml:space="preserve">. Cases 2 and 5 illustrates the highest </w:t>
      </w:r>
      <w:r>
        <w:rPr>
          <w:rFonts w:ascii="Cambria" w:eastAsia="Cambria" w:hAnsi="Cambria" w:cs="Cambria"/>
          <w:i/>
        </w:rPr>
        <w:t>X</w:t>
      </w:r>
      <w:r>
        <w:rPr>
          <w:rFonts w:ascii="Cambria" w:eastAsia="Cambria" w:hAnsi="Cambria" w:cs="Cambria"/>
          <w:i/>
          <w:vertAlign w:val="subscript"/>
        </w:rPr>
        <w:t>O</w:t>
      </w:r>
      <w:r>
        <w:rPr>
          <w:rFonts w:ascii="Cambria" w:eastAsia="Cambria" w:hAnsi="Cambria" w:cs="Cambria"/>
          <w:sz w:val="18"/>
          <w:vertAlign w:val="subscript"/>
        </w:rPr>
        <w:t xml:space="preserve">2 </w:t>
      </w:r>
      <w:r>
        <w:t xml:space="preserve">concentration in the lower half of the burner since there is minimal combustion occurring. The unburnt carbon content and exit flue-gas temperatures for each case are reported in Tab. </w:t>
      </w:r>
      <w:r>
        <w:rPr>
          <w:color w:val="0000FF"/>
        </w:rPr>
        <w:t>4</w:t>
      </w:r>
      <w:r>
        <w:t>. With the use of the middle burners (Cases 2 and 5) the highest exit temperature and unburnt carbon content is observed, since the flame core is located in the upper half of the furnace leading to the least possibility of complete combustion due to the shorter residence time. Cases 3 and 6</w:t>
      </w:r>
      <w:r w:rsidR="00A46405">
        <w:t xml:space="preserve"> exhibit the best characteristics with the least amount of unburnt carbon content being observed. It is important to note the effects of a lower SA mass flow rate has on the furnace exit conditions for non-firing burners, which generally leads to a hotter exit gas temperature as seen with Cases 4 to 6</w:t>
      </w:r>
    </w:p>
    <w:p w14:paraId="0B23E8F4" w14:textId="1ED851C1" w:rsidR="00CD21A2" w:rsidRDefault="002656DE">
      <w:pPr>
        <w:ind w:left="-15" w:right="1005"/>
      </w:pPr>
      <w:r>
        <w:t xml:space="preserve">The external tube metal temperatures, shown in Tab. </w:t>
      </w:r>
      <w:r>
        <w:rPr>
          <w:color w:val="0000FF"/>
        </w:rPr>
        <w:t xml:space="preserve">4 </w:t>
      </w:r>
      <w:r>
        <w:t xml:space="preserve">were calculated using Eqn. </w:t>
      </w:r>
      <w:r>
        <w:rPr>
          <w:color w:val="0000FF"/>
        </w:rPr>
        <w:t>25</w:t>
      </w:r>
      <w:r>
        <w:t>, which takes into account the temperature drop due to the ash deposit present on platen and final SH. Fouling thermal resistances of 0.0067 and 0.015 [</w:t>
      </w:r>
      <w:r>
        <w:rPr>
          <w:rFonts w:ascii="Cambria" w:eastAsia="Cambria" w:hAnsi="Cambria" w:cs="Cambria"/>
          <w:i/>
        </w:rPr>
        <w:t>m</w:t>
      </w:r>
      <w:r>
        <w:rPr>
          <w:rFonts w:ascii="Cambria" w:eastAsia="Cambria" w:hAnsi="Cambria" w:cs="Cambria"/>
          <w:vertAlign w:val="superscript"/>
        </w:rPr>
        <w:t>2</w:t>
      </w:r>
      <w:r>
        <w:rPr>
          <w:rFonts w:ascii="Cambria" w:eastAsia="Cambria" w:hAnsi="Cambria" w:cs="Cambria"/>
          <w:i/>
        </w:rPr>
        <w:t>K/W</w:t>
      </w:r>
      <w:r>
        <w:t>] were used for the platen and final SH</w:t>
      </w:r>
    </w:p>
    <w:p w14:paraId="7BAC7E54" w14:textId="77777777" w:rsidR="00CD21A2" w:rsidRDefault="002656DE">
      <w:pPr>
        <w:spacing w:after="271" w:line="259" w:lineRule="auto"/>
        <w:ind w:left="-15" w:right="1005" w:firstLine="0"/>
      </w:pPr>
      <w:r>
        <w:t>respectively.</w:t>
      </w:r>
    </w:p>
    <w:p w14:paraId="2377445E" w14:textId="77777777" w:rsidR="00CD21A2" w:rsidRDefault="002656DE">
      <w:pPr>
        <w:tabs>
          <w:tab w:val="center" w:pos="4698"/>
          <w:tab w:val="center" w:pos="9166"/>
        </w:tabs>
        <w:spacing w:after="368" w:line="259" w:lineRule="auto"/>
        <w:ind w:left="0" w:firstLine="0"/>
        <w:jc w:val="left"/>
      </w:pPr>
      <w:r>
        <w:tab/>
      </w:r>
      <w:r>
        <w:rPr>
          <w:noProof/>
        </w:rPr>
        <w:drawing>
          <wp:inline distT="0" distB="0" distL="0" distR="0" wp14:anchorId="5941B218" wp14:editId="485A1F41">
            <wp:extent cx="1752600" cy="335280"/>
            <wp:effectExtent l="0" t="0" r="0" b="0"/>
            <wp:docPr id="43935" name="Picture 43935"/>
            <wp:cNvGraphicFramePr/>
            <a:graphic xmlns:a="http://schemas.openxmlformats.org/drawingml/2006/main">
              <a:graphicData uri="http://schemas.openxmlformats.org/drawingml/2006/picture">
                <pic:pic xmlns:pic="http://schemas.openxmlformats.org/drawingml/2006/picture">
                  <pic:nvPicPr>
                    <pic:cNvPr id="43935" name="Picture 43935"/>
                    <pic:cNvPicPr/>
                  </pic:nvPicPr>
                  <pic:blipFill>
                    <a:blip r:embed="rId33"/>
                    <a:stretch>
                      <a:fillRect/>
                    </a:stretch>
                  </pic:blipFill>
                  <pic:spPr>
                    <a:xfrm>
                      <a:off x="0" y="0"/>
                      <a:ext cx="1752600" cy="335280"/>
                    </a:xfrm>
                    <a:prstGeom prst="rect">
                      <a:avLst/>
                    </a:prstGeom>
                  </pic:spPr>
                </pic:pic>
              </a:graphicData>
            </a:graphic>
          </wp:inline>
        </w:drawing>
      </w:r>
      <w:r>
        <w:tab/>
        <w:t>(25)</w:t>
      </w:r>
    </w:p>
    <w:p w14:paraId="31869AB3" w14:textId="77777777" w:rsidR="00CD21A2" w:rsidRDefault="002656DE">
      <w:pPr>
        <w:spacing w:after="58"/>
        <w:ind w:left="-15" w:right="1005"/>
      </w:pPr>
      <w:r>
        <w:t xml:space="preserve">For the platen and final SH the maximum surface temperature are observed for Cases 2 and 5. For comparison, at 100% MCR load the maximum and mean temperatures reported for the platen and final SH are 500 &amp; 446 </w:t>
      </w:r>
      <w:r>
        <w:rPr>
          <w:rFonts w:ascii="Cambria" w:eastAsia="Cambria" w:hAnsi="Cambria" w:cs="Cambria"/>
        </w:rPr>
        <w:t>[</w:t>
      </w:r>
      <w:r>
        <w:rPr>
          <w:rFonts w:ascii="Cambria" w:eastAsia="Cambria" w:hAnsi="Cambria" w:cs="Cambria"/>
          <w:vertAlign w:val="superscript"/>
        </w:rPr>
        <w:t>◦</w:t>
      </w:r>
      <w:r>
        <w:rPr>
          <w:rFonts w:ascii="Cambria" w:eastAsia="Cambria" w:hAnsi="Cambria" w:cs="Cambria"/>
          <w:i/>
        </w:rPr>
        <w:t>C</w:t>
      </w:r>
      <w:r>
        <w:rPr>
          <w:rFonts w:ascii="Cambria" w:eastAsia="Cambria" w:hAnsi="Cambria" w:cs="Cambria"/>
        </w:rPr>
        <w:t xml:space="preserve">] </w:t>
      </w:r>
      <w:r>
        <w:t xml:space="preserve">and 623 &amp; 531 </w:t>
      </w:r>
      <w:r>
        <w:rPr>
          <w:rFonts w:ascii="Cambria" w:eastAsia="Cambria" w:hAnsi="Cambria" w:cs="Cambria"/>
        </w:rPr>
        <w:t>[</w:t>
      </w:r>
      <w:r>
        <w:rPr>
          <w:rFonts w:ascii="Cambria" w:eastAsia="Cambria" w:hAnsi="Cambria" w:cs="Cambria"/>
          <w:vertAlign w:val="superscript"/>
        </w:rPr>
        <w:t>◦</w:t>
      </w:r>
      <w:r>
        <w:rPr>
          <w:rFonts w:ascii="Cambria" w:eastAsia="Cambria" w:hAnsi="Cambria" w:cs="Cambria"/>
          <w:i/>
        </w:rPr>
        <w:t>C</w:t>
      </w:r>
      <w:r>
        <w:rPr>
          <w:rFonts w:ascii="Cambria" w:eastAsia="Cambria" w:hAnsi="Cambria" w:cs="Cambria"/>
        </w:rPr>
        <w:t xml:space="preserve">] </w:t>
      </w:r>
      <w:r>
        <w:t>respectively, with the final SH operating in the materials creep range [</w:t>
      </w:r>
      <w:r>
        <w:rPr>
          <w:color w:val="0000FF"/>
        </w:rPr>
        <w:t>6</w:t>
      </w:r>
      <w:r>
        <w:t>]. Thus, continued operation using the firing arrangement of Cases 2 and 5, could lead to SH failure.</w:t>
      </w:r>
    </w:p>
    <w:p w14:paraId="4D53EC7C" w14:textId="3A9F51E5" w:rsidR="00CD21A2" w:rsidRDefault="002656DE" w:rsidP="00A46405">
      <w:pPr>
        <w:ind w:left="-15" w:right="1005"/>
      </w:pPr>
      <w:r>
        <w:t xml:space="preserve">Using the process model of Fig. </w:t>
      </w:r>
      <w:r>
        <w:rPr>
          <w:color w:val="0000FF"/>
        </w:rPr>
        <w:t xml:space="preserve">3 </w:t>
      </w:r>
      <w:r>
        <w:t xml:space="preserve">and the results of the CFD simulations the important process control parameters were determined. Table </w:t>
      </w:r>
      <w:r>
        <w:rPr>
          <w:color w:val="0000FF"/>
        </w:rPr>
        <w:t xml:space="preserve">5 </w:t>
      </w:r>
      <w:r>
        <w:t>summarizes the results with the highest boiler</w:t>
      </w:r>
      <w:r w:rsidR="00A46405">
        <w:t xml:space="preserve"> </w:t>
      </w:r>
      <w:r>
        <w:t>efficiencies observed for Cases 3 and 6. With a lower SA flowrate Cases 4 to 6 exhibit a higher boiler efficiency due to the decrease in dry gas losses, when compared to Cases 1 to 3. All cases exhibit adequate control of the main steam exit temperature by use of ATT1 and ATT2. The exit temperature of the reheaters, for all Cases, are determined to within the 20 [</w:t>
      </w:r>
      <w:r>
        <w:rPr>
          <w:rFonts w:ascii="Cambria" w:eastAsia="Cambria" w:hAnsi="Cambria" w:cs="Cambria"/>
          <w:vertAlign w:val="superscript"/>
        </w:rPr>
        <w:t>◦</w:t>
      </w:r>
      <w:r>
        <w:rPr>
          <w:rFonts w:ascii="Cambria" w:eastAsia="Cambria" w:hAnsi="Cambria" w:cs="Cambria"/>
          <w:i/>
        </w:rPr>
        <w:t>C</w:t>
      </w:r>
      <w:r>
        <w:t xml:space="preserve">] tolerance for the intermediate turbine inlet conditions, as stipulated in </w:t>
      </w:r>
      <w:r>
        <w:lastRenderedPageBreak/>
        <w:t>the design C-schedules for the plant. However, with the lack of ATT-RH control, a sudden decrease in steam generation can lead to RH overheating and possible RH failure. Considering all of the above, Cases 3 and 6 are seen as the best firing arrangements for continuous low-load operation at a load of 32% MCR.</w:t>
      </w:r>
    </w:p>
    <w:p w14:paraId="7DE99E7F" w14:textId="56F17A42" w:rsidR="00A46405" w:rsidRPr="00A46405" w:rsidRDefault="002656DE" w:rsidP="007A6E95">
      <w:pPr>
        <w:spacing w:after="556"/>
        <w:ind w:left="-15" w:right="1005" w:firstLine="0"/>
      </w:pPr>
      <w:r>
        <w:t xml:space="preserve">Table </w:t>
      </w:r>
      <w:r>
        <w:rPr>
          <w:color w:val="0000FF"/>
        </w:rPr>
        <w:t xml:space="preserve">6 </w:t>
      </w:r>
      <w:r>
        <w:t xml:space="preserve">shows the radiative heat percentage of the total heat input into each heat-exchanger for Cases 3 and 6. It can be seen that heat transfer to the furnace and radiant SHs are dominated by radiation, with approximately </w:t>
      </w:r>
      <w:r>
        <w:rPr>
          <w:rFonts w:ascii="Cambria" w:eastAsia="Cambria" w:hAnsi="Cambria" w:cs="Cambria"/>
        </w:rPr>
        <w:t>±</w:t>
      </w:r>
      <w:r>
        <w:t>10% being transferred via convection at low-load. Considering the</w:t>
      </w:r>
      <w:r w:rsidR="00A46405">
        <w:t xml:space="preserve"> convective pass heat exchangers (RH2 through to the EC, refer to Figure </w:t>
      </w:r>
      <w:r w:rsidR="00A46405">
        <w:rPr>
          <w:color w:val="0000FF"/>
        </w:rPr>
        <w:t>3</w:t>
      </w:r>
      <w:r w:rsidR="00A46405">
        <w:t>) the convective heat transfer becomes more apparent as seen with the reduction in radiative heat transfer percentage. Case 6 involves less convective heat transfer due to the SA flowrate for non-firing burners. This will reduce the total amount of flue-gas flowing through the boiler, thereby reducing the convective heat transfer.</w:t>
      </w:r>
    </w:p>
    <w:p w14:paraId="2F03765C" w14:textId="68FC8804" w:rsidR="00CD21A2" w:rsidRDefault="002656DE">
      <w:pPr>
        <w:pStyle w:val="Heading1"/>
        <w:ind w:left="324" w:hanging="339"/>
      </w:pPr>
      <w:r>
        <w:t>CONCLUSIONS</w:t>
      </w:r>
    </w:p>
    <w:p w14:paraId="32E0610B" w14:textId="77777777" w:rsidR="00CD21A2" w:rsidRDefault="002656DE">
      <w:pPr>
        <w:ind w:left="-15" w:right="1005"/>
      </w:pPr>
      <w:r>
        <w:t>The present study demonstrates the use of a coupled CFD/process model to study the effects of burner configuration at a boiler load of 32% MCR. A validation case was first performed for the CFD model, which showed adequate results for heat fluxes to the walls, with a general tendency of the model to under-predict the heat fluxes to the furnace. The model also showed sufficient accuracy in determining the combustion characteristics at the 100 % MCR load.</w:t>
      </w:r>
    </w:p>
    <w:p w14:paraId="64F7B09F" w14:textId="77777777" w:rsidR="00CD21A2" w:rsidRDefault="002656DE">
      <w:pPr>
        <w:ind w:left="-15" w:right="1005"/>
      </w:pPr>
      <w:r>
        <w:t>The subsequent analysis results show that using a burner arrangement that raises the position of the flame core (Cases 2 and 5) increases the exit flue-gas temperature and runs the risk of final SH failure due to overheating. This firing arrangement also results in a higher unburnt carbon percentage at the exit flue-gas stream and therefore the lowest boiler utilization efficiency.</w:t>
      </w:r>
    </w:p>
    <w:p w14:paraId="0D3FA47F" w14:textId="77777777" w:rsidR="00CD21A2" w:rsidRDefault="002656DE">
      <w:pPr>
        <w:spacing w:after="184"/>
        <w:ind w:left="-15" w:right="1005"/>
      </w:pPr>
      <w:r>
        <w:t xml:space="preserve">Operation of the boiler using firing arrangements of Cases 1 and 4 also results in a lower boiler utilization efficiency and exit flue-gas temperature compared to Cases 3 and 6. Higher </w:t>
      </w:r>
      <w:r>
        <w:rPr>
          <w:rFonts w:ascii="Cambria" w:eastAsia="Cambria" w:hAnsi="Cambria" w:cs="Cambria"/>
          <w:i/>
        </w:rPr>
        <w:t>X</w:t>
      </w:r>
      <w:r>
        <w:rPr>
          <w:rFonts w:ascii="Cambria" w:eastAsia="Cambria" w:hAnsi="Cambria" w:cs="Cambria"/>
          <w:i/>
          <w:vertAlign w:val="subscript"/>
        </w:rPr>
        <w:t xml:space="preserve">CO </w:t>
      </w:r>
      <w:r>
        <w:t>concentrations are observed near the bottom half of the furnace, along with high temperatures, which can lead to a high risk of fire side corrosion occurring at continuous low-load operation.</w:t>
      </w:r>
    </w:p>
    <w:p w14:paraId="5D9662B8" w14:textId="77777777" w:rsidR="00CD21A2" w:rsidRDefault="002656DE">
      <w:pPr>
        <w:ind w:left="-15" w:right="1005"/>
      </w:pPr>
      <w:r>
        <w:t xml:space="preserve">The mixed firing arrangements, of Cases 3 and 6, exhibit the best boiler utilization efficiencies. Cases 3 and 6 display the best </w:t>
      </w:r>
      <w:r>
        <w:rPr>
          <w:rFonts w:ascii="Cambria" w:eastAsia="Cambria" w:hAnsi="Cambria" w:cs="Cambria"/>
          <w:i/>
        </w:rPr>
        <w:t>X</w:t>
      </w:r>
      <w:r>
        <w:rPr>
          <w:rFonts w:ascii="Cambria" w:eastAsia="Cambria" w:hAnsi="Cambria" w:cs="Cambria"/>
          <w:i/>
          <w:vertAlign w:val="subscript"/>
        </w:rPr>
        <w:t xml:space="preserve">CO </w:t>
      </w:r>
      <w:r>
        <w:t xml:space="preserve">molar concentration distribution which highlights the minimal likelihood of </w:t>
      </w:r>
      <w:r>
        <w:lastRenderedPageBreak/>
        <w:t xml:space="preserve">inducing fire-side corrosion in the furnace when utilizing this firing configuration. A 4.8% decrease in unburnt carbon percentage is observed when operating using Case 3 in relation to Case 6. The predicted re-heater exit steam temperature of Case 3 is substantially closer to the desired temperature of 535 </w:t>
      </w:r>
      <w:r>
        <w:rPr>
          <w:rFonts w:ascii="Cambria" w:eastAsia="Cambria" w:hAnsi="Cambria" w:cs="Cambria"/>
        </w:rPr>
        <w:t>[</w:t>
      </w:r>
      <w:r>
        <w:rPr>
          <w:rFonts w:ascii="Cambria" w:eastAsia="Cambria" w:hAnsi="Cambria" w:cs="Cambria"/>
          <w:vertAlign w:val="superscript"/>
        </w:rPr>
        <w:t>◦</w:t>
      </w:r>
      <w:r>
        <w:rPr>
          <w:rFonts w:ascii="Cambria" w:eastAsia="Cambria" w:hAnsi="Cambria" w:cs="Cambria"/>
          <w:i/>
        </w:rPr>
        <w:t>C</w:t>
      </w:r>
      <w:r>
        <w:rPr>
          <w:rFonts w:ascii="Cambria" w:eastAsia="Cambria" w:hAnsi="Cambria" w:cs="Cambria"/>
        </w:rPr>
        <w:t>]</w:t>
      </w:r>
      <w:r>
        <w:t>, thus allowing for better control.</w:t>
      </w:r>
    </w:p>
    <w:p w14:paraId="6D560ABA" w14:textId="77777777" w:rsidR="00CD21A2" w:rsidRDefault="002656DE">
      <w:pPr>
        <w:spacing w:after="571"/>
        <w:ind w:left="-15" w:right="1005"/>
      </w:pPr>
      <w:r>
        <w:t>Based on analyses of combustion stability, boiler efficiency and the safe operation of heat exchanger components, Case 3 is considered to be the best operational strategy at this low load for the boiler under investigation.</w:t>
      </w:r>
    </w:p>
    <w:p w14:paraId="18E67244" w14:textId="77777777" w:rsidR="00CD21A2" w:rsidRDefault="002656DE">
      <w:pPr>
        <w:pStyle w:val="Heading1"/>
        <w:numPr>
          <w:ilvl w:val="0"/>
          <w:numId w:val="0"/>
        </w:numPr>
        <w:ind w:left="-5"/>
      </w:pPr>
      <w:r>
        <w:t>ACKNOWLEDGEMENTS</w:t>
      </w:r>
    </w:p>
    <w:p w14:paraId="5BBA555F" w14:textId="4870DAFD" w:rsidR="00CD21A2" w:rsidRDefault="002656DE">
      <w:pPr>
        <w:spacing w:after="571"/>
        <w:ind w:left="-15" w:right="1005"/>
      </w:pPr>
      <w:r>
        <w:t>The authors would like to thank the Eskom EPPEI program for financially supporting the present study and acknowledge the computational resources provided by the Centre for High Performance Computing (CHPC), South Africa.</w:t>
      </w:r>
    </w:p>
    <w:p w14:paraId="2C8E032A" w14:textId="5F1C2145" w:rsidR="00BA445A" w:rsidRDefault="00BA445A">
      <w:pPr>
        <w:spacing w:after="160" w:line="259" w:lineRule="auto"/>
        <w:ind w:left="0" w:firstLine="0"/>
        <w:jc w:val="left"/>
      </w:pPr>
      <w:r>
        <w:br w:type="page"/>
      </w:r>
    </w:p>
    <w:p w14:paraId="1669FFF8" w14:textId="77777777" w:rsidR="00CD21A2" w:rsidRDefault="002656DE">
      <w:pPr>
        <w:pStyle w:val="Heading1"/>
        <w:numPr>
          <w:ilvl w:val="0"/>
          <w:numId w:val="0"/>
        </w:numPr>
        <w:ind w:left="-5"/>
      </w:pPr>
      <w:r>
        <w:lastRenderedPageBreak/>
        <w:t>REFERENCES</w:t>
      </w:r>
    </w:p>
    <w:p w14:paraId="7B8D9A7E" w14:textId="77777777" w:rsidR="00CD21A2" w:rsidRDefault="002656DE">
      <w:pPr>
        <w:numPr>
          <w:ilvl w:val="0"/>
          <w:numId w:val="2"/>
        </w:numPr>
        <w:ind w:right="1005" w:hanging="464"/>
      </w:pPr>
      <w:proofErr w:type="spellStart"/>
      <w:r>
        <w:t>Dugum</w:t>
      </w:r>
      <w:proofErr w:type="spellEnd"/>
      <w:r>
        <w:t xml:space="preserve">, A., and </w:t>
      </w:r>
      <w:proofErr w:type="spellStart"/>
      <w:r>
        <w:t>Hanjalic</w:t>
      </w:r>
      <w:proofErr w:type="spellEnd"/>
      <w:r>
        <w:t xml:space="preserve">, K., 2019, “Numerical simulation of coal-air mixture flow in a real´ double-swirl burner and implications on combustion anomalies in a utility boiler,” </w:t>
      </w:r>
      <w:r>
        <w:rPr>
          <w:i/>
        </w:rPr>
        <w:t xml:space="preserve">Energy, </w:t>
      </w:r>
      <w:r>
        <w:rPr>
          <w:b/>
        </w:rPr>
        <w:t>170</w:t>
      </w:r>
      <w:r>
        <w:t>, pp. 942–953.</w:t>
      </w:r>
    </w:p>
    <w:p w14:paraId="026CC5F8" w14:textId="6DB54026" w:rsidR="00CD21A2" w:rsidRDefault="00A46405">
      <w:pPr>
        <w:numPr>
          <w:ilvl w:val="0"/>
          <w:numId w:val="2"/>
        </w:numPr>
        <w:spacing w:after="180" w:line="259" w:lineRule="auto"/>
        <w:ind w:right="1005" w:hanging="464"/>
      </w:pPr>
      <w:r>
        <w:t>Eskom Power Generation</w:t>
      </w:r>
      <w:r w:rsidR="002656DE">
        <w:t xml:space="preserve"> accessed June 18, 2020, http://www.eskom.co.za/ElectricityGeneration.aspx.</w:t>
      </w:r>
    </w:p>
    <w:p w14:paraId="21F367AE" w14:textId="77777777" w:rsidR="00CD21A2" w:rsidRDefault="002656DE">
      <w:pPr>
        <w:numPr>
          <w:ilvl w:val="0"/>
          <w:numId w:val="2"/>
        </w:numPr>
        <w:ind w:right="1005" w:hanging="464"/>
      </w:pPr>
      <w:proofErr w:type="spellStart"/>
      <w:r>
        <w:t>Hernik</w:t>
      </w:r>
      <w:proofErr w:type="spellEnd"/>
      <w:r>
        <w:t xml:space="preserve">, B., and </w:t>
      </w:r>
      <w:proofErr w:type="spellStart"/>
      <w:r>
        <w:t>Zabłocki</w:t>
      </w:r>
      <w:proofErr w:type="spellEnd"/>
      <w:r>
        <w:t xml:space="preserve">, W., 2020, “Numerical research of combustion with a minimum boiler load,” </w:t>
      </w:r>
      <w:r>
        <w:rPr>
          <w:i/>
        </w:rPr>
        <w:t xml:space="preserve">Archives of Thermodynamics, </w:t>
      </w:r>
      <w:r>
        <w:rPr>
          <w:b/>
        </w:rPr>
        <w:t>41</w:t>
      </w:r>
      <w:r>
        <w:t>(4), pp. 93–114.</w:t>
      </w:r>
    </w:p>
    <w:p w14:paraId="11DD349D" w14:textId="77777777" w:rsidR="00CD21A2" w:rsidRDefault="002656DE">
      <w:pPr>
        <w:numPr>
          <w:ilvl w:val="0"/>
          <w:numId w:val="2"/>
        </w:numPr>
        <w:ind w:right="1005" w:hanging="464"/>
      </w:pPr>
      <w:r>
        <w:t xml:space="preserve">Chang, J., Wang, X., Zhou, Z., Chen, H., and </w:t>
      </w:r>
      <w:proofErr w:type="spellStart"/>
      <w:r>
        <w:t>Niu</w:t>
      </w:r>
      <w:proofErr w:type="spellEnd"/>
      <w:r>
        <w:t xml:space="preserve">, Y., 2021, “CFD </w:t>
      </w:r>
      <w:proofErr w:type="spellStart"/>
      <w:r>
        <w:t>modeling</w:t>
      </w:r>
      <w:proofErr w:type="spellEnd"/>
      <w:r>
        <w:t xml:space="preserve"> of hydrodynamics, combustion and NOx emission in a tangentially fired pulverized-coal boiler at low load operating conditions,” </w:t>
      </w:r>
      <w:r>
        <w:rPr>
          <w:i/>
        </w:rPr>
        <w:t xml:space="preserve">Advanced Powder Technology, </w:t>
      </w:r>
      <w:r>
        <w:rPr>
          <w:b/>
        </w:rPr>
        <w:t>32</w:t>
      </w:r>
      <w:r>
        <w:t>(2), pp. 290–303.</w:t>
      </w:r>
    </w:p>
    <w:p w14:paraId="6E383091" w14:textId="77777777" w:rsidR="00CD21A2" w:rsidRDefault="002656DE">
      <w:pPr>
        <w:numPr>
          <w:ilvl w:val="0"/>
          <w:numId w:val="2"/>
        </w:numPr>
        <w:ind w:right="1005" w:hanging="464"/>
      </w:pPr>
      <w:proofErr w:type="spellStart"/>
      <w:r>
        <w:t>Modlinski</w:t>
      </w:r>
      <w:proofErr w:type="spellEnd"/>
      <w:r>
        <w:t xml:space="preserve">, N., </w:t>
      </w:r>
      <w:proofErr w:type="spellStart"/>
      <w:r>
        <w:t>Szczepanek</w:t>
      </w:r>
      <w:proofErr w:type="spellEnd"/>
      <w:r>
        <w:t xml:space="preserve">, K., </w:t>
      </w:r>
      <w:proofErr w:type="spellStart"/>
      <w:r>
        <w:t>Nabagło</w:t>
      </w:r>
      <w:proofErr w:type="spellEnd"/>
      <w:r>
        <w:t xml:space="preserve">, D., </w:t>
      </w:r>
      <w:proofErr w:type="spellStart"/>
      <w:r>
        <w:t>Madejski</w:t>
      </w:r>
      <w:proofErr w:type="spellEnd"/>
      <w:r>
        <w:t xml:space="preserve">, P., and </w:t>
      </w:r>
      <w:proofErr w:type="spellStart"/>
      <w:r>
        <w:t>Modli</w:t>
      </w:r>
      <w:proofErr w:type="spellEnd"/>
      <w:r>
        <w:t>´</w:t>
      </w:r>
      <w:r>
        <w:tab/>
      </w:r>
      <w:proofErr w:type="spellStart"/>
      <w:r>
        <w:t>nski</w:t>
      </w:r>
      <w:proofErr w:type="spellEnd"/>
      <w:r>
        <w:t>, Z., 2019, “</w:t>
      </w:r>
      <w:proofErr w:type="spellStart"/>
      <w:r>
        <w:t>Mathe</w:t>
      </w:r>
      <w:proofErr w:type="spellEnd"/>
      <w:r>
        <w:t xml:space="preserve">-´ </w:t>
      </w:r>
      <w:proofErr w:type="spellStart"/>
      <w:r>
        <w:t>matical</w:t>
      </w:r>
      <w:proofErr w:type="spellEnd"/>
      <w:r>
        <w:t xml:space="preserve"> procedure for predicting tube metal temperature in the second stage reheater of the operating flexibly steam boiler,” </w:t>
      </w:r>
      <w:r>
        <w:rPr>
          <w:i/>
        </w:rPr>
        <w:t xml:space="preserve">Applied Thermal Engineering, </w:t>
      </w:r>
      <w:r>
        <w:rPr>
          <w:b/>
        </w:rPr>
        <w:t>146</w:t>
      </w:r>
      <w:r>
        <w:t>(October 2018), pp. 854– 865.</w:t>
      </w:r>
    </w:p>
    <w:p w14:paraId="7CAC1A17" w14:textId="77777777" w:rsidR="00CD21A2" w:rsidRDefault="002656DE">
      <w:pPr>
        <w:numPr>
          <w:ilvl w:val="0"/>
          <w:numId w:val="2"/>
        </w:numPr>
        <w:ind w:right="1005" w:hanging="464"/>
      </w:pPr>
      <w:r>
        <w:t xml:space="preserve">Laubscher, R., and Rousseau, P., 2019, “CFD study of pulverized coal-fired boiler evaporator and radiant superheaters at varying loads,” </w:t>
      </w:r>
      <w:r>
        <w:rPr>
          <w:i/>
        </w:rPr>
        <w:t xml:space="preserve">Applied Thermal Engineering, </w:t>
      </w:r>
      <w:r>
        <w:rPr>
          <w:b/>
        </w:rPr>
        <w:t>160</w:t>
      </w:r>
      <w:r>
        <w:t>.</w:t>
      </w:r>
    </w:p>
    <w:p w14:paraId="7171E874" w14:textId="77777777" w:rsidR="00CD21A2" w:rsidRDefault="002656DE">
      <w:pPr>
        <w:numPr>
          <w:ilvl w:val="0"/>
          <w:numId w:val="2"/>
        </w:numPr>
        <w:ind w:right="1005" w:hanging="464"/>
      </w:pPr>
      <w:r>
        <w:t xml:space="preserve">Laubscher, R., and Rousseau, P., 2019, “Numerical investigation into the effect of burner swirl direction on furnace and superheater heat absorption for a 620 MWe opposing wall-fired pulverized coal boiler,” </w:t>
      </w:r>
      <w:r>
        <w:rPr>
          <w:i/>
        </w:rPr>
        <w:t xml:space="preserve">International Journal of Heat and Mass Transfer, </w:t>
      </w:r>
      <w:r>
        <w:rPr>
          <w:b/>
        </w:rPr>
        <w:t>137</w:t>
      </w:r>
      <w:r>
        <w:t>, pp. 506–522.</w:t>
      </w:r>
    </w:p>
    <w:p w14:paraId="39EF8CF9" w14:textId="77777777" w:rsidR="00CD21A2" w:rsidRDefault="002656DE">
      <w:pPr>
        <w:numPr>
          <w:ilvl w:val="0"/>
          <w:numId w:val="2"/>
        </w:numPr>
        <w:ind w:right="1005" w:hanging="464"/>
      </w:pPr>
      <w:r>
        <w:t xml:space="preserve">Gu, J., Liu, Q., Zhong, W., and Yu, A., 2020, “Study on scale-up characteristics of oxyfuel combustion in circulating fluidized bed boiler by 3D CFD simulation,” </w:t>
      </w:r>
      <w:r>
        <w:rPr>
          <w:i/>
        </w:rPr>
        <w:t xml:space="preserve">Advanced Powder Technology, </w:t>
      </w:r>
      <w:r>
        <w:rPr>
          <w:b/>
        </w:rPr>
        <w:t>31</w:t>
      </w:r>
      <w:r>
        <w:t>(5), pp. 2136–2151.</w:t>
      </w:r>
    </w:p>
    <w:p w14:paraId="35FFF66A" w14:textId="77777777" w:rsidR="00CD21A2" w:rsidRDefault="002656DE">
      <w:pPr>
        <w:numPr>
          <w:ilvl w:val="0"/>
          <w:numId w:val="2"/>
        </w:numPr>
        <w:ind w:right="1005" w:hanging="464"/>
      </w:pPr>
      <w:r>
        <w:t xml:space="preserve">Du, Y., Wang, C., </w:t>
      </w:r>
      <w:proofErr w:type="spellStart"/>
      <w:r>
        <w:t>Lv</w:t>
      </w:r>
      <w:proofErr w:type="spellEnd"/>
      <w:r>
        <w:t xml:space="preserve">, Q., Li, D., Liu, H., and Che, D., 2017, “CFD investigation on combustion and NOx emission characteristics in a 600 MW wall-fired boiler under high temperature and strong reducing atmosphere,” </w:t>
      </w:r>
      <w:r>
        <w:rPr>
          <w:i/>
        </w:rPr>
        <w:t xml:space="preserve">Applied Thermal Engineering, </w:t>
      </w:r>
      <w:r>
        <w:rPr>
          <w:b/>
        </w:rPr>
        <w:t>126</w:t>
      </w:r>
      <w:r>
        <w:t>(x), pp. 407–418.</w:t>
      </w:r>
    </w:p>
    <w:p w14:paraId="379CFEB3" w14:textId="77777777" w:rsidR="00CD21A2" w:rsidRDefault="002656DE">
      <w:pPr>
        <w:numPr>
          <w:ilvl w:val="0"/>
          <w:numId w:val="2"/>
        </w:numPr>
        <w:ind w:right="1005" w:hanging="464"/>
      </w:pPr>
      <w:r>
        <w:t xml:space="preserve">Fan, J., Qian, L., Ma, Y., Sun, P., and Cen, K., 2001, “Computational </w:t>
      </w:r>
      <w:proofErr w:type="spellStart"/>
      <w:r>
        <w:t>modeling</w:t>
      </w:r>
      <w:proofErr w:type="spellEnd"/>
      <w:r>
        <w:t xml:space="preserve"> of pulverized coal combustion processes in tangentially fired furnaces,” </w:t>
      </w:r>
      <w:r>
        <w:rPr>
          <w:i/>
        </w:rPr>
        <w:t xml:space="preserve">Chemical Engineering Journal, </w:t>
      </w:r>
      <w:r>
        <w:rPr>
          <w:b/>
        </w:rPr>
        <w:t>81</w:t>
      </w:r>
      <w:r>
        <w:t>(1-3), pp. 261–269.</w:t>
      </w:r>
    </w:p>
    <w:p w14:paraId="1CE3E9BA" w14:textId="77777777" w:rsidR="00CD21A2" w:rsidRDefault="002656DE">
      <w:pPr>
        <w:numPr>
          <w:ilvl w:val="0"/>
          <w:numId w:val="2"/>
        </w:numPr>
        <w:ind w:right="1005" w:hanging="464"/>
      </w:pPr>
      <w:r>
        <w:lastRenderedPageBreak/>
        <w:t xml:space="preserve">Chen, S., He, B., He, D., Cao, Y., Ding, G., Liu, X., Duan, Z., Zhang, X., Song, J., and Li, X., 2017, “Numerical investigations on different tangential arrangements of burners for a 600 MW utility boiler,” </w:t>
      </w:r>
      <w:r>
        <w:rPr>
          <w:i/>
        </w:rPr>
        <w:t xml:space="preserve">Energy, </w:t>
      </w:r>
      <w:r>
        <w:rPr>
          <w:b/>
        </w:rPr>
        <w:t>122</w:t>
      </w:r>
      <w:r>
        <w:t>(x), pp. 287–300.</w:t>
      </w:r>
    </w:p>
    <w:p w14:paraId="6E8A5018" w14:textId="77777777" w:rsidR="00CD21A2" w:rsidRDefault="002656DE">
      <w:pPr>
        <w:numPr>
          <w:ilvl w:val="0"/>
          <w:numId w:val="2"/>
        </w:numPr>
        <w:ind w:right="1005" w:hanging="464"/>
      </w:pPr>
      <w:r>
        <w:t xml:space="preserve">He, B., Zhu, L., Wang, J., Liu, S., Liu, B., Cui, Y., Wang, L., and Wei, G., 2007, “Computational fluid dynamics based retrofits to reheater panel overheating of No. 3 boiler of </w:t>
      </w:r>
      <w:proofErr w:type="spellStart"/>
      <w:r>
        <w:t>Dagang</w:t>
      </w:r>
      <w:proofErr w:type="spellEnd"/>
      <w:r>
        <w:t xml:space="preserve"> Power Plant,” </w:t>
      </w:r>
      <w:r>
        <w:rPr>
          <w:i/>
        </w:rPr>
        <w:t xml:space="preserve">Computers and Fluids, </w:t>
      </w:r>
      <w:r>
        <w:rPr>
          <w:b/>
        </w:rPr>
        <w:t>36</w:t>
      </w:r>
      <w:r>
        <w:t>(2), pp. 435–444.</w:t>
      </w:r>
    </w:p>
    <w:p w14:paraId="4B2FAC84" w14:textId="77777777" w:rsidR="00CD21A2" w:rsidRDefault="002656DE">
      <w:pPr>
        <w:numPr>
          <w:ilvl w:val="0"/>
          <w:numId w:val="2"/>
        </w:numPr>
        <w:ind w:right="1005" w:hanging="464"/>
      </w:pPr>
      <w:r>
        <w:t xml:space="preserve">Jiang, Y., Lee, B.-H., Oh, D.-H., and Jeon, C.-H., 2021, “Optimization of operating conditions to achieve combustion stability and reduce NOx emission at half-load for a 550-MW tangentially fired pulverized coal boiler,” </w:t>
      </w:r>
      <w:r>
        <w:rPr>
          <w:i/>
        </w:rPr>
        <w:t xml:space="preserve">Fuel, </w:t>
      </w:r>
      <w:r>
        <w:rPr>
          <w:b/>
        </w:rPr>
        <w:t>306</w:t>
      </w:r>
      <w:r>
        <w:t>(February), p. 121727.</w:t>
      </w:r>
    </w:p>
    <w:p w14:paraId="7EFA3145" w14:textId="77777777" w:rsidR="00CD21A2" w:rsidRDefault="002656DE">
      <w:pPr>
        <w:numPr>
          <w:ilvl w:val="0"/>
          <w:numId w:val="2"/>
        </w:numPr>
        <w:ind w:right="1005" w:hanging="464"/>
      </w:pPr>
      <w:proofErr w:type="spellStart"/>
      <w:r>
        <w:t>Belosevi</w:t>
      </w:r>
      <w:proofErr w:type="spellEnd"/>
      <w:r>
        <w:t xml:space="preserve">ˇ c, S., </w:t>
      </w:r>
      <w:proofErr w:type="spellStart"/>
      <w:r>
        <w:t>Tomanovi</w:t>
      </w:r>
      <w:proofErr w:type="spellEnd"/>
      <w:r>
        <w:t xml:space="preserve">´ c, I., </w:t>
      </w:r>
      <w:proofErr w:type="spellStart"/>
      <w:r>
        <w:t>Crnomarkovi</w:t>
      </w:r>
      <w:proofErr w:type="spellEnd"/>
      <w:r>
        <w:t xml:space="preserve">´ c, N., and </w:t>
      </w:r>
      <w:proofErr w:type="spellStart"/>
      <w:r>
        <w:t>Mili</w:t>
      </w:r>
      <w:proofErr w:type="spellEnd"/>
      <w:r>
        <w:t xml:space="preserve">´ </w:t>
      </w:r>
      <w:proofErr w:type="spellStart"/>
      <w:r>
        <w:t>cevi</w:t>
      </w:r>
      <w:proofErr w:type="spellEnd"/>
      <w:r>
        <w:t xml:space="preserve">´ c, A., 2019,´ “Full-scale CFD investigation of gas-particle flow, interactions and combustion in tangentially fired pulverized coal furnace,” </w:t>
      </w:r>
      <w:r>
        <w:rPr>
          <w:i/>
        </w:rPr>
        <w:t xml:space="preserve">Energy, </w:t>
      </w:r>
      <w:r>
        <w:rPr>
          <w:b/>
        </w:rPr>
        <w:t>179</w:t>
      </w:r>
      <w:r>
        <w:t>.</w:t>
      </w:r>
    </w:p>
    <w:p w14:paraId="5F4124CB" w14:textId="77777777" w:rsidR="00CD21A2" w:rsidRDefault="002656DE">
      <w:pPr>
        <w:numPr>
          <w:ilvl w:val="0"/>
          <w:numId w:val="2"/>
        </w:numPr>
        <w:ind w:right="1005" w:hanging="464"/>
      </w:pPr>
      <w:proofErr w:type="spellStart"/>
      <w:r>
        <w:t>Alobaid</w:t>
      </w:r>
      <w:proofErr w:type="spellEnd"/>
      <w:r>
        <w:t xml:space="preserve">, F., Mertens, N., </w:t>
      </w:r>
      <w:proofErr w:type="spellStart"/>
      <w:r>
        <w:t>Starkloff</w:t>
      </w:r>
      <w:proofErr w:type="spellEnd"/>
      <w:r>
        <w:t xml:space="preserve">, R., </w:t>
      </w:r>
      <w:proofErr w:type="spellStart"/>
      <w:r>
        <w:t>Lanz</w:t>
      </w:r>
      <w:proofErr w:type="spellEnd"/>
      <w:r>
        <w:t xml:space="preserve">, T., Heinze, C., and </w:t>
      </w:r>
      <w:proofErr w:type="spellStart"/>
      <w:r>
        <w:t>Epple</w:t>
      </w:r>
      <w:proofErr w:type="spellEnd"/>
      <w:r>
        <w:t xml:space="preserve">, B., 2017, “Progress in dynamic simulation of thermal power plants,” </w:t>
      </w:r>
      <w:r>
        <w:rPr>
          <w:i/>
        </w:rPr>
        <w:t xml:space="preserve">Progress in Energy and Combustion Science, </w:t>
      </w:r>
      <w:r>
        <w:rPr>
          <w:b/>
        </w:rPr>
        <w:t>59</w:t>
      </w:r>
      <w:r>
        <w:t>, pp. 79–162.</w:t>
      </w:r>
    </w:p>
    <w:p w14:paraId="612D5BFB" w14:textId="77777777" w:rsidR="00CD21A2" w:rsidRDefault="002656DE">
      <w:pPr>
        <w:numPr>
          <w:ilvl w:val="0"/>
          <w:numId w:val="2"/>
        </w:numPr>
        <w:ind w:right="1005" w:hanging="464"/>
      </w:pPr>
      <w:r>
        <w:t xml:space="preserve">Laubscher, R., and Rousseau, P., 2020, “Numerical investigation on the impact of variable particle radiation properties on the heat transfer in high ash pulverized coal boiler through co-simulation,” </w:t>
      </w:r>
      <w:r>
        <w:rPr>
          <w:i/>
        </w:rPr>
        <w:t xml:space="preserve">Energy, </w:t>
      </w:r>
      <w:r>
        <w:rPr>
          <w:b/>
        </w:rPr>
        <w:t>195</w:t>
      </w:r>
      <w:r>
        <w:t>, p. 117006.</w:t>
      </w:r>
    </w:p>
    <w:p w14:paraId="242E9D07" w14:textId="77777777" w:rsidR="00CD21A2" w:rsidRDefault="002656DE">
      <w:pPr>
        <w:numPr>
          <w:ilvl w:val="0"/>
          <w:numId w:val="2"/>
        </w:numPr>
        <w:ind w:right="1005" w:hanging="464"/>
      </w:pPr>
      <w:r>
        <w:t xml:space="preserve">Yu, C., </w:t>
      </w:r>
      <w:proofErr w:type="spellStart"/>
      <w:r>
        <w:t>Xiong</w:t>
      </w:r>
      <w:proofErr w:type="spellEnd"/>
      <w:r>
        <w:t xml:space="preserve">, W., Ma, H., Zhou, J., Si, F., Jiang, X., and Fang, X., 2019, “Numerical investigation of combustion optimization in a tangential firing boiler considering steam tube overheating,” </w:t>
      </w:r>
      <w:r>
        <w:rPr>
          <w:i/>
        </w:rPr>
        <w:t xml:space="preserve">Applied Thermal Engineering, </w:t>
      </w:r>
      <w:r>
        <w:rPr>
          <w:b/>
        </w:rPr>
        <w:t>154</w:t>
      </w:r>
      <w:r>
        <w:t>(2), pp. 87–101.</w:t>
      </w:r>
    </w:p>
    <w:p w14:paraId="2B4ADE26" w14:textId="77777777" w:rsidR="00CD21A2" w:rsidRDefault="002656DE">
      <w:pPr>
        <w:numPr>
          <w:ilvl w:val="0"/>
          <w:numId w:val="2"/>
        </w:numPr>
        <w:spacing w:after="180" w:line="259" w:lineRule="auto"/>
        <w:ind w:right="1005" w:hanging="464"/>
      </w:pPr>
      <w:r>
        <w:t xml:space="preserve">Ranade, V., and Gupta, D., 2015, </w:t>
      </w:r>
      <w:r>
        <w:rPr>
          <w:i/>
        </w:rPr>
        <w:t xml:space="preserve">Computational </w:t>
      </w:r>
      <w:proofErr w:type="spellStart"/>
      <w:r>
        <w:rPr>
          <w:i/>
        </w:rPr>
        <w:t>modeling</w:t>
      </w:r>
      <w:proofErr w:type="spellEnd"/>
      <w:r>
        <w:rPr>
          <w:i/>
        </w:rPr>
        <w:t xml:space="preserve"> of pulverized coal fired boilers</w:t>
      </w:r>
      <w:r>
        <w:t>,</w:t>
      </w:r>
    </w:p>
    <w:p w14:paraId="72393204" w14:textId="77777777" w:rsidR="00CD21A2" w:rsidRDefault="002656DE">
      <w:pPr>
        <w:spacing w:after="180" w:line="259" w:lineRule="auto"/>
        <w:ind w:left="464" w:right="1005" w:firstLine="0"/>
      </w:pPr>
      <w:r>
        <w:t>1 ed. Taylor &amp; Francis, Boca Raton.</w:t>
      </w:r>
    </w:p>
    <w:p w14:paraId="1740B7F8" w14:textId="77777777" w:rsidR="00CD21A2" w:rsidRDefault="002656DE">
      <w:pPr>
        <w:numPr>
          <w:ilvl w:val="0"/>
          <w:numId w:val="2"/>
        </w:numPr>
        <w:ind w:right="1005" w:hanging="464"/>
      </w:pPr>
      <w:r>
        <w:t xml:space="preserve">Sheng, C., </w:t>
      </w:r>
      <w:proofErr w:type="spellStart"/>
      <w:r>
        <w:t>Moghtaderi</w:t>
      </w:r>
      <w:proofErr w:type="spellEnd"/>
      <w:r>
        <w:t xml:space="preserve">, B., Gupta, R., and Wall, T. F., 2004, “A computational fluid dynamics based study of the combustion characteristics of coal blends in pulverised coal-fired furnace,” </w:t>
      </w:r>
      <w:r>
        <w:rPr>
          <w:i/>
        </w:rPr>
        <w:t xml:space="preserve">Fuel, </w:t>
      </w:r>
      <w:r>
        <w:rPr>
          <w:b/>
        </w:rPr>
        <w:t>83</w:t>
      </w:r>
      <w:r>
        <w:t>(11-12), pp. 1543–1552.</w:t>
      </w:r>
    </w:p>
    <w:p w14:paraId="28DE69F4" w14:textId="77777777" w:rsidR="00CD21A2" w:rsidRDefault="002656DE">
      <w:pPr>
        <w:numPr>
          <w:ilvl w:val="0"/>
          <w:numId w:val="2"/>
        </w:numPr>
        <w:spacing w:after="180" w:line="259" w:lineRule="auto"/>
        <w:ind w:right="1005" w:hanging="464"/>
      </w:pPr>
      <w:r>
        <w:t>Baum, M., and Street, P., 1971,</w:t>
      </w:r>
      <w:r>
        <w:tab/>
        <w:t>“Predicting the combustion behaviour of coal particles,”</w:t>
      </w:r>
    </w:p>
    <w:p w14:paraId="77938CB4" w14:textId="77777777" w:rsidR="00CD21A2" w:rsidRDefault="002656DE">
      <w:pPr>
        <w:spacing w:after="180" w:line="259" w:lineRule="auto"/>
        <w:ind w:left="474" w:hanging="10"/>
      </w:pPr>
      <w:r>
        <w:rPr>
          <w:i/>
        </w:rPr>
        <w:t xml:space="preserve">Combustion science and </w:t>
      </w:r>
      <w:proofErr w:type="spellStart"/>
      <w:r>
        <w:rPr>
          <w:i/>
        </w:rPr>
        <w:t>Technolodgy</w:t>
      </w:r>
      <w:proofErr w:type="spellEnd"/>
      <w:r>
        <w:rPr>
          <w:i/>
        </w:rPr>
        <w:t xml:space="preserve">, </w:t>
      </w:r>
      <w:r>
        <w:rPr>
          <w:b/>
        </w:rPr>
        <w:t>3</w:t>
      </w:r>
      <w:r>
        <w:t>(43), p. 231.</w:t>
      </w:r>
    </w:p>
    <w:p w14:paraId="7289D823" w14:textId="77777777" w:rsidR="00CD21A2" w:rsidRDefault="002656DE">
      <w:pPr>
        <w:numPr>
          <w:ilvl w:val="0"/>
          <w:numId w:val="2"/>
        </w:numPr>
        <w:spacing w:after="180" w:line="259" w:lineRule="auto"/>
        <w:ind w:right="1005" w:hanging="464"/>
      </w:pPr>
      <w:proofErr w:type="spellStart"/>
      <w:r>
        <w:lastRenderedPageBreak/>
        <w:t>Knaus</w:t>
      </w:r>
      <w:proofErr w:type="spellEnd"/>
      <w:r>
        <w:t>, H., Schnell, U., and Klaus, R., 2001,</w:t>
      </w:r>
      <w:r>
        <w:tab/>
        <w:t>“On the modelling of coal combustion in a</w:t>
      </w:r>
    </w:p>
    <w:p w14:paraId="2D35B592" w14:textId="77777777" w:rsidR="00CD21A2" w:rsidRDefault="002656DE">
      <w:pPr>
        <w:spacing w:after="180" w:line="259" w:lineRule="auto"/>
        <w:ind w:left="10" w:right="1005" w:hanging="10"/>
        <w:jc w:val="right"/>
      </w:pPr>
      <w:r>
        <w:t xml:space="preserve">550MWe coal fired utility boiler,” </w:t>
      </w:r>
      <w:r>
        <w:rPr>
          <w:i/>
        </w:rPr>
        <w:t xml:space="preserve">Progress in Computational Fluid Dynamics, </w:t>
      </w:r>
      <w:r>
        <w:rPr>
          <w:b/>
        </w:rPr>
        <w:t>1</w:t>
      </w:r>
      <w:r>
        <w:t>, pp. 194–207.</w:t>
      </w:r>
    </w:p>
    <w:p w14:paraId="00836973" w14:textId="77777777" w:rsidR="00CD21A2" w:rsidRDefault="002656DE">
      <w:pPr>
        <w:numPr>
          <w:ilvl w:val="0"/>
          <w:numId w:val="2"/>
        </w:numPr>
        <w:spacing w:after="8" w:line="413" w:lineRule="auto"/>
        <w:ind w:right="1005" w:hanging="464"/>
      </w:pPr>
      <w:proofErr w:type="spellStart"/>
      <w:r>
        <w:t>Benim</w:t>
      </w:r>
      <w:proofErr w:type="spellEnd"/>
      <w:r>
        <w:t xml:space="preserve">, A. C., </w:t>
      </w:r>
      <w:proofErr w:type="spellStart"/>
      <w:r>
        <w:t>Epple</w:t>
      </w:r>
      <w:proofErr w:type="spellEnd"/>
      <w:r>
        <w:t xml:space="preserve">, B., and </w:t>
      </w:r>
      <w:proofErr w:type="spellStart"/>
      <w:r>
        <w:t>Krohmer</w:t>
      </w:r>
      <w:proofErr w:type="spellEnd"/>
      <w:r>
        <w:t xml:space="preserve">, B., 2005, “Modelling of pulverised coal combustion by a Eulerian-Eulerian two-phase flow formulation,” </w:t>
      </w:r>
      <w:r>
        <w:rPr>
          <w:i/>
        </w:rPr>
        <w:t xml:space="preserve">Progress in Computational Fluid Dynamics, </w:t>
      </w:r>
      <w:r>
        <w:rPr>
          <w:b/>
        </w:rPr>
        <w:t>5</w:t>
      </w:r>
      <w:r>
        <w:t>(6), pp. 345–361.</w:t>
      </w:r>
    </w:p>
    <w:p w14:paraId="4C711839" w14:textId="77777777" w:rsidR="00CD21A2" w:rsidRDefault="002656DE">
      <w:pPr>
        <w:numPr>
          <w:ilvl w:val="0"/>
          <w:numId w:val="2"/>
        </w:numPr>
        <w:spacing w:after="156" w:line="259" w:lineRule="auto"/>
        <w:ind w:right="1005" w:hanging="464"/>
      </w:pPr>
      <w:r>
        <w:t xml:space="preserve">Versteeg, H., and </w:t>
      </w:r>
      <w:proofErr w:type="spellStart"/>
      <w:r>
        <w:t>Malalasekera</w:t>
      </w:r>
      <w:proofErr w:type="spellEnd"/>
      <w:r>
        <w:t>, W., 2007,</w:t>
      </w:r>
      <w:r>
        <w:tab/>
      </w:r>
      <w:r>
        <w:rPr>
          <w:i/>
        </w:rPr>
        <w:t>Introduction to Computational Fluid Dynamics,</w:t>
      </w:r>
    </w:p>
    <w:p w14:paraId="29BB2C6F" w14:textId="77777777" w:rsidR="00CD21A2" w:rsidRDefault="002656DE">
      <w:pPr>
        <w:spacing w:after="173" w:line="259" w:lineRule="auto"/>
        <w:ind w:left="464" w:right="1005" w:firstLine="0"/>
      </w:pPr>
      <w:r>
        <w:rPr>
          <w:i/>
        </w:rPr>
        <w:t>The finite volume method</w:t>
      </w:r>
      <w:r>
        <w:t>, second ed. Pearson Prentice Hall.</w:t>
      </w:r>
    </w:p>
    <w:p w14:paraId="0CA46895" w14:textId="170CE7AD" w:rsidR="00CD21A2" w:rsidRDefault="002656DE">
      <w:pPr>
        <w:numPr>
          <w:ilvl w:val="0"/>
          <w:numId w:val="2"/>
        </w:numPr>
        <w:ind w:right="1005" w:hanging="464"/>
      </w:pPr>
      <w:r>
        <w:t xml:space="preserve">Vicente, W., Ochoa, S., </w:t>
      </w:r>
      <w:proofErr w:type="spellStart"/>
      <w:r>
        <w:t>Aguillon</w:t>
      </w:r>
      <w:proofErr w:type="spellEnd"/>
      <w:r>
        <w:t xml:space="preserve">, J., and Barrios, E., 2003, “An Eulerian model for the simulation of an entrained flow coal gasifier,” </w:t>
      </w:r>
      <w:r>
        <w:rPr>
          <w:i/>
        </w:rPr>
        <w:t xml:space="preserve">Applied Thermal Engineering, </w:t>
      </w:r>
      <w:r>
        <w:rPr>
          <w:b/>
        </w:rPr>
        <w:t>23</w:t>
      </w:r>
      <w:r>
        <w:t>(15), pp. 1993–2008.</w:t>
      </w:r>
    </w:p>
    <w:p w14:paraId="1A4CCFD5" w14:textId="77777777" w:rsidR="00CD21A2" w:rsidRDefault="002656DE">
      <w:pPr>
        <w:numPr>
          <w:ilvl w:val="0"/>
          <w:numId w:val="2"/>
        </w:numPr>
        <w:ind w:right="1005" w:hanging="464"/>
      </w:pPr>
      <w:r>
        <w:t xml:space="preserve">Cai, J., </w:t>
      </w:r>
      <w:proofErr w:type="spellStart"/>
      <w:r>
        <w:t>Handa</w:t>
      </w:r>
      <w:proofErr w:type="spellEnd"/>
      <w:r>
        <w:t xml:space="preserve">, M., and Modest, M. F., 2015, “Eulerian-Eulerian multi-fluid methods for pulverized coal flames with nongray radiation,” </w:t>
      </w:r>
      <w:r>
        <w:rPr>
          <w:i/>
        </w:rPr>
        <w:t xml:space="preserve">Combustion and Flame, </w:t>
      </w:r>
      <w:r>
        <w:rPr>
          <w:b/>
        </w:rPr>
        <w:t>162</w:t>
      </w:r>
      <w:r>
        <w:t>(4), pp. 1550–1565.</w:t>
      </w:r>
    </w:p>
    <w:p w14:paraId="0FCDDE99" w14:textId="77777777" w:rsidR="00CD21A2" w:rsidRDefault="002656DE">
      <w:pPr>
        <w:numPr>
          <w:ilvl w:val="0"/>
          <w:numId w:val="2"/>
        </w:numPr>
        <w:spacing w:line="259" w:lineRule="auto"/>
        <w:ind w:right="1005" w:hanging="464"/>
      </w:pPr>
      <w:proofErr w:type="spellStart"/>
      <w:r>
        <w:t>Basu</w:t>
      </w:r>
      <w:proofErr w:type="spellEnd"/>
      <w:r>
        <w:t xml:space="preserve">, P., </w:t>
      </w:r>
      <w:proofErr w:type="spellStart"/>
      <w:r>
        <w:t>Kefa</w:t>
      </w:r>
      <w:proofErr w:type="spellEnd"/>
      <w:r>
        <w:t xml:space="preserve">, C., and </w:t>
      </w:r>
      <w:proofErr w:type="spellStart"/>
      <w:r>
        <w:t>Jestin</w:t>
      </w:r>
      <w:proofErr w:type="spellEnd"/>
      <w:r>
        <w:t>, L., 2000,</w:t>
      </w:r>
      <w:r>
        <w:tab/>
      </w:r>
      <w:r>
        <w:rPr>
          <w:i/>
        </w:rPr>
        <w:t>Boilers and burners: Design and theory</w:t>
      </w:r>
      <w:r>
        <w:t>, 1 ed.</w:t>
      </w:r>
    </w:p>
    <w:p w14:paraId="67E13A3E" w14:textId="77777777" w:rsidR="00CD21A2" w:rsidRDefault="002656DE">
      <w:pPr>
        <w:spacing w:after="173" w:line="259" w:lineRule="auto"/>
        <w:ind w:left="464" w:right="1005" w:firstLine="0"/>
      </w:pPr>
      <w:r>
        <w:t>Springer, New York.</w:t>
      </w:r>
    </w:p>
    <w:p w14:paraId="4684523C" w14:textId="77777777" w:rsidR="00CD21A2" w:rsidRDefault="002656DE">
      <w:pPr>
        <w:numPr>
          <w:ilvl w:val="0"/>
          <w:numId w:val="2"/>
        </w:numPr>
        <w:ind w:right="1005" w:hanging="464"/>
      </w:pPr>
      <w:r>
        <w:t xml:space="preserve">Modest, M. F., 2013, </w:t>
      </w:r>
      <w:r>
        <w:rPr>
          <w:i/>
        </w:rPr>
        <w:t>Radiative Heat Transfer</w:t>
      </w:r>
      <w:r>
        <w:t>, third ed. Academic Press, Kidlington, Oxford, U.K.</w:t>
      </w:r>
    </w:p>
    <w:p w14:paraId="5D53AF59" w14:textId="031DDBB2" w:rsidR="00CD21A2" w:rsidRDefault="002656DE">
      <w:pPr>
        <w:numPr>
          <w:ilvl w:val="0"/>
          <w:numId w:val="2"/>
        </w:numPr>
        <w:ind w:right="1005" w:hanging="464"/>
      </w:pPr>
      <w:r>
        <w:t>Smith, T., Shen, Z., and Friedman, J., 1982, “Evaluation of Coefficients for the Weighted Sum of Gray Gases Model,</w:t>
      </w:r>
      <w:r w:rsidR="006C7D9B">
        <w:t xml:space="preserve"> </w:t>
      </w:r>
      <w:r>
        <w:t>”</w:t>
      </w:r>
      <w:r w:rsidR="00584939" w:rsidRPr="003D0FEE">
        <w:rPr>
          <w:i/>
          <w:iCs/>
        </w:rPr>
        <w:t>ASME</w:t>
      </w:r>
      <w:r w:rsidR="00584939">
        <w:t xml:space="preserve"> </w:t>
      </w:r>
      <w:r>
        <w:rPr>
          <w:i/>
        </w:rPr>
        <w:t xml:space="preserve">Journal of Heat transfer, </w:t>
      </w:r>
      <w:r>
        <w:rPr>
          <w:b/>
        </w:rPr>
        <w:t>104</w:t>
      </w:r>
      <w:r>
        <w:t>, pp. 602–608.</w:t>
      </w:r>
    </w:p>
    <w:p w14:paraId="6E7AC438" w14:textId="77777777" w:rsidR="00CD21A2" w:rsidRDefault="002656DE">
      <w:pPr>
        <w:numPr>
          <w:ilvl w:val="0"/>
          <w:numId w:val="2"/>
        </w:numPr>
        <w:ind w:right="1005" w:hanging="464"/>
      </w:pPr>
      <w:r>
        <w:t xml:space="preserve">Lockwood, F., Rizvi, S., and Shah, N., 1986, “Comparative predictive experience of coal firing,” </w:t>
      </w:r>
      <w:r>
        <w:rPr>
          <w:i/>
        </w:rPr>
        <w:t xml:space="preserve">Proceedings of the Institution of Mechanical Engineers, </w:t>
      </w:r>
      <w:r>
        <w:rPr>
          <w:b/>
        </w:rPr>
        <w:t>200</w:t>
      </w:r>
      <w:r>
        <w:t>, pp. 79–87.</w:t>
      </w:r>
    </w:p>
    <w:p w14:paraId="76C67ED8" w14:textId="77777777" w:rsidR="00CD21A2" w:rsidRDefault="002656DE">
      <w:pPr>
        <w:numPr>
          <w:ilvl w:val="0"/>
          <w:numId w:val="2"/>
        </w:numPr>
        <w:spacing w:after="180" w:line="259" w:lineRule="auto"/>
        <w:ind w:right="1005" w:hanging="464"/>
      </w:pPr>
      <w:r>
        <w:t xml:space="preserve">Yin, C., 2015, “On gas and particle radiation in pulverized fuel combustion furnaces,” </w:t>
      </w:r>
      <w:r>
        <w:rPr>
          <w:i/>
        </w:rPr>
        <w:t>Applied</w:t>
      </w:r>
    </w:p>
    <w:p w14:paraId="37FD10E4" w14:textId="77777777" w:rsidR="00CD21A2" w:rsidRDefault="002656DE">
      <w:pPr>
        <w:spacing w:after="180" w:line="259" w:lineRule="auto"/>
        <w:ind w:left="464" w:right="1005" w:firstLine="0"/>
      </w:pPr>
      <w:r>
        <w:rPr>
          <w:i/>
        </w:rPr>
        <w:t xml:space="preserve">Energy, </w:t>
      </w:r>
      <w:r>
        <w:rPr>
          <w:b/>
        </w:rPr>
        <w:t>157</w:t>
      </w:r>
      <w:r>
        <w:t>, pp. 554–561.</w:t>
      </w:r>
    </w:p>
    <w:p w14:paraId="027DCE61" w14:textId="77777777" w:rsidR="00CD21A2" w:rsidRDefault="002656DE">
      <w:pPr>
        <w:numPr>
          <w:ilvl w:val="0"/>
          <w:numId w:val="2"/>
        </w:numPr>
        <w:ind w:right="1005" w:hanging="464"/>
      </w:pPr>
      <w:proofErr w:type="spellStart"/>
      <w:r>
        <w:t>Gnielinski</w:t>
      </w:r>
      <w:proofErr w:type="spellEnd"/>
      <w:r>
        <w:t xml:space="preserve">, V., 2016, “Heat transfer in cross-flow around single rows of tubes and through tube bundles,” In </w:t>
      </w:r>
      <w:r>
        <w:rPr>
          <w:i/>
        </w:rPr>
        <w:t>VDI Heat Atlas</w:t>
      </w:r>
      <w:r>
        <w:t>. Springer-Verlag, Berlin, pp. 756–760.</w:t>
      </w:r>
    </w:p>
    <w:p w14:paraId="2F6300A8" w14:textId="5D6AD8C1" w:rsidR="00CD21A2" w:rsidRDefault="002656DE">
      <w:pPr>
        <w:numPr>
          <w:ilvl w:val="0"/>
          <w:numId w:val="2"/>
        </w:numPr>
        <w:ind w:right="1005" w:hanging="464"/>
      </w:pPr>
      <w:r>
        <w:t xml:space="preserve">Laubscher, R., and Rousseau, P., 2020, “Coupled simulation and validation of a utility-scale pulverized coal-fired boiler radiant final-stage superheater,” </w:t>
      </w:r>
      <w:r>
        <w:rPr>
          <w:i/>
        </w:rPr>
        <w:t xml:space="preserve">Thermal Science and Engineering Progress, </w:t>
      </w:r>
      <w:r>
        <w:rPr>
          <w:b/>
        </w:rPr>
        <w:t>18</w:t>
      </w:r>
      <w:r>
        <w:t>(August 2019), p. 100512.</w:t>
      </w:r>
    </w:p>
    <w:p w14:paraId="66599585" w14:textId="634EA98B" w:rsidR="007A6E95" w:rsidRDefault="007A6E95">
      <w:pPr>
        <w:spacing w:after="160" w:line="259" w:lineRule="auto"/>
        <w:ind w:left="0" w:firstLine="0"/>
        <w:jc w:val="left"/>
      </w:pPr>
      <w:r>
        <w:br w:type="page"/>
      </w:r>
    </w:p>
    <w:p w14:paraId="7E19742A" w14:textId="0AF0FA41" w:rsidR="00A46405" w:rsidRDefault="00A46405" w:rsidP="00D1475C">
      <w:pPr>
        <w:pStyle w:val="Heading1"/>
      </w:pPr>
      <w:r>
        <w:lastRenderedPageBreak/>
        <w:t>List of Tables</w:t>
      </w:r>
    </w:p>
    <w:p w14:paraId="59BD4D34" w14:textId="516F45E5" w:rsidR="00A46405" w:rsidRDefault="00A46405" w:rsidP="00A46405">
      <w:pPr>
        <w:ind w:right="1005"/>
      </w:pPr>
      <w:r>
        <w:t xml:space="preserve">Table 1: </w:t>
      </w:r>
      <w:r w:rsidR="00D1475C" w:rsidRPr="00D1475C">
        <w:t>Scalar field equation descriptions</w:t>
      </w:r>
    </w:p>
    <w:p w14:paraId="550F9C6E" w14:textId="48608CE7" w:rsidR="00A46405" w:rsidRDefault="00A46405" w:rsidP="00A46405">
      <w:pPr>
        <w:ind w:right="1005"/>
      </w:pPr>
      <w:r>
        <w:t xml:space="preserve">Table 2: </w:t>
      </w:r>
      <w:r w:rsidR="00D1475C" w:rsidRPr="00D1475C">
        <w:t>Utility boiler fuel characteristics</w:t>
      </w:r>
    </w:p>
    <w:p w14:paraId="31CC60C2" w14:textId="22E0DD82" w:rsidR="00A46405" w:rsidRDefault="00A46405" w:rsidP="00A46405">
      <w:pPr>
        <w:ind w:right="1005"/>
      </w:pPr>
      <w:r>
        <w:t xml:space="preserve">Table:3 </w:t>
      </w:r>
      <w:r w:rsidR="00D1475C" w:rsidRPr="00D1475C">
        <w:t>Case 1 to 6 model inputs on a per burner basis</w:t>
      </w:r>
    </w:p>
    <w:p w14:paraId="2C0C20EA" w14:textId="33F37197" w:rsidR="00A46405" w:rsidRDefault="00A46405" w:rsidP="00A46405">
      <w:pPr>
        <w:ind w:right="1005"/>
      </w:pPr>
      <w:r>
        <w:t xml:space="preserve">Table 4: </w:t>
      </w:r>
      <w:r w:rsidR="00D1475C" w:rsidRPr="00D1475C">
        <w:t>Furnace exit conditions and SH wall temperatures</w:t>
      </w:r>
    </w:p>
    <w:p w14:paraId="28BCDB3C" w14:textId="0599810A" w:rsidR="00A46405" w:rsidRDefault="00A46405" w:rsidP="00A46405">
      <w:pPr>
        <w:ind w:right="1005"/>
      </w:pPr>
      <w:r>
        <w:t xml:space="preserve">Table 5: </w:t>
      </w:r>
      <w:r w:rsidRPr="00A46405">
        <w:t>Process model control parameters</w:t>
      </w:r>
    </w:p>
    <w:p w14:paraId="0AF6AE8F" w14:textId="34D93729" w:rsidR="00A46405" w:rsidRDefault="00A46405" w:rsidP="00A46405">
      <w:pPr>
        <w:ind w:right="1005"/>
      </w:pPr>
      <w:r>
        <w:t xml:space="preserve">Table 6: </w:t>
      </w:r>
      <w:r w:rsidRPr="00A46405">
        <w:t>Radiative heat transfer percentage for Cases 3 and 6</w:t>
      </w:r>
    </w:p>
    <w:p w14:paraId="0C25F8FD" w14:textId="1D7A852C" w:rsidR="00D1475C" w:rsidRDefault="00D1475C" w:rsidP="00D1475C">
      <w:pPr>
        <w:pStyle w:val="Heading1"/>
      </w:pPr>
      <w:r>
        <w:t>List of Figures</w:t>
      </w:r>
    </w:p>
    <w:p w14:paraId="0053AD53" w14:textId="5F05109F" w:rsidR="00D1475C" w:rsidRDefault="00D1475C" w:rsidP="00D1475C">
      <w:r>
        <w:t xml:space="preserve">Figure 1: </w:t>
      </w:r>
      <w:r w:rsidRPr="00D1475C">
        <w:t>Boiler geometry and layout</w:t>
      </w:r>
    </w:p>
    <w:p w14:paraId="5DACF1EB" w14:textId="723A11E1" w:rsidR="00D1475C" w:rsidRPr="00D1475C" w:rsidRDefault="00D1475C" w:rsidP="00D1475C">
      <w:r>
        <w:t xml:space="preserve">Figure 2: </w:t>
      </w:r>
      <w:r w:rsidRPr="00D1475C">
        <w:t>Burner layout and mesh details</w:t>
      </w:r>
    </w:p>
    <w:p w14:paraId="514E60EB" w14:textId="04CB38AC" w:rsidR="00D1475C" w:rsidRPr="00D1475C" w:rsidRDefault="00D1475C" w:rsidP="00D1475C">
      <w:r>
        <w:t xml:space="preserve">Figure 3: </w:t>
      </w:r>
      <w:r w:rsidRPr="00D1475C">
        <w:t xml:space="preserve">Process model of boiler set-up including the downstream convective components using </w:t>
      </w:r>
      <w:proofErr w:type="spellStart"/>
      <w:r w:rsidRPr="00D1475C">
        <w:t>Flownex</w:t>
      </w:r>
      <w:proofErr w:type="spellEnd"/>
      <w:r w:rsidRPr="00D1475C">
        <w:t xml:space="preserve"> SE</w:t>
      </w:r>
      <w:r>
        <w:t>®</w:t>
      </w:r>
      <w:r w:rsidRPr="00D1475C">
        <w:t xml:space="preserve"> 2021</w:t>
      </w:r>
    </w:p>
    <w:p w14:paraId="120A9D6E" w14:textId="0B45A41F" w:rsidR="00D1475C" w:rsidRPr="00D1475C" w:rsidRDefault="00D1475C" w:rsidP="00D1475C">
      <w:r>
        <w:t>Figure 4:</w:t>
      </w:r>
      <w:r w:rsidR="00A53208">
        <w:t xml:space="preserve"> </w:t>
      </w:r>
      <w:r w:rsidR="00A53208" w:rsidRPr="00A53208">
        <w:t>Heat-exchanger component model</w:t>
      </w:r>
    </w:p>
    <w:p w14:paraId="5262AD6E" w14:textId="497C2D3F" w:rsidR="00D1475C" w:rsidRPr="00D1475C" w:rsidRDefault="00D1475C" w:rsidP="00D1475C">
      <w:r>
        <w:t>Figure 5:</w:t>
      </w:r>
      <w:r w:rsidR="00A53208">
        <w:t xml:space="preserve"> </w:t>
      </w:r>
      <w:r w:rsidR="00A53208" w:rsidRPr="00A53208">
        <w:t>Comparison of experimentally calculated and model heat loads for the furnace, platen SH and final SH</w:t>
      </w:r>
    </w:p>
    <w:p w14:paraId="2EA4370B" w14:textId="5D6E85A7" w:rsidR="00D1475C" w:rsidRPr="00D1475C" w:rsidRDefault="00D1475C" w:rsidP="00D1475C">
      <w:r>
        <w:t>Figure 6:</w:t>
      </w:r>
      <w:r w:rsidR="00A53208">
        <w:t xml:space="preserve"> Measured and predicted</w:t>
      </w:r>
      <w:r w:rsidR="00A53208">
        <w:rPr>
          <w:color w:val="008000"/>
        </w:rPr>
        <w:t xml:space="preserve"> </w:t>
      </w:r>
      <w:r w:rsidR="00A53208">
        <w:rPr>
          <w:color w:val="auto"/>
        </w:rPr>
        <w:t>CO</w:t>
      </w:r>
      <w:r w:rsidR="00A53208">
        <w:rPr>
          <w:color w:val="auto"/>
          <w:vertAlign w:val="subscript"/>
        </w:rPr>
        <w:t>PPM</w:t>
      </w:r>
      <w:r w:rsidR="00A53208">
        <w:t xml:space="preserve"> (a) and </w:t>
      </w:r>
      <w:r w:rsidR="00A53208">
        <w:rPr>
          <w:color w:val="auto"/>
        </w:rPr>
        <w:t>X</w:t>
      </w:r>
      <w:r w:rsidR="00A53208">
        <w:rPr>
          <w:color w:val="auto"/>
          <w:vertAlign w:val="subscript"/>
        </w:rPr>
        <w:t>O2</w:t>
      </w:r>
      <w:r w:rsidR="00A53208">
        <w:rPr>
          <w:color w:val="auto"/>
        </w:rPr>
        <w:t xml:space="preserve"> </w:t>
      </w:r>
      <w:r w:rsidR="00A53208">
        <w:t>(b) concentrations</w:t>
      </w:r>
    </w:p>
    <w:p w14:paraId="6CE071EB" w14:textId="38CE6896" w:rsidR="00D1475C" w:rsidRPr="00D1475C" w:rsidRDefault="00D1475C" w:rsidP="00D1475C">
      <w:r>
        <w:t>Figure 7:</w:t>
      </w:r>
      <w:r w:rsidR="00A53208">
        <w:t xml:space="preserve"> </w:t>
      </w:r>
      <w:r w:rsidR="00A53208" w:rsidRPr="00A53208">
        <w:t>Temperature fields for Cases 1 through 6 [(a)-(f)]</w:t>
      </w:r>
    </w:p>
    <w:p w14:paraId="797F24CD" w14:textId="43AF5C65" w:rsidR="00D1475C" w:rsidRPr="00D1475C" w:rsidRDefault="00D1475C" w:rsidP="00D1475C">
      <w:r>
        <w:t>Figure 8:</w:t>
      </w:r>
      <w:r w:rsidR="00A53208">
        <w:t xml:space="preserve"> </w:t>
      </w:r>
      <w:r w:rsidR="00A53208" w:rsidRPr="00A53208">
        <w:t>Velocity fields for Cases 1 through 6 [(a)-(f)]</w:t>
      </w:r>
    </w:p>
    <w:p w14:paraId="1DB3C3FC" w14:textId="08E52D74" w:rsidR="00D1475C" w:rsidRPr="00D1475C" w:rsidRDefault="00D1475C" w:rsidP="00D1475C">
      <w:r>
        <w:t>Figure 9:</w:t>
      </w:r>
      <w:r w:rsidR="00A53208">
        <w:t xml:space="preserve"> </w:t>
      </w:r>
      <w:r w:rsidR="00A53208" w:rsidRPr="00A53208">
        <w:t>Heat fluxes profiles for Cases 1 through 6 [(a)-(f)]</w:t>
      </w:r>
    </w:p>
    <w:p w14:paraId="14726999" w14:textId="4C2BD07E" w:rsidR="00D1475C" w:rsidRPr="00D1475C" w:rsidRDefault="00D1475C" w:rsidP="00A53208">
      <w:r>
        <w:t>Figure 10:</w:t>
      </w:r>
      <w:r w:rsidR="00A53208">
        <w:t xml:space="preserve"> CO molar fraction </w:t>
      </w:r>
      <w:r w:rsidR="00A53208">
        <w:rPr>
          <w:color w:val="auto"/>
        </w:rPr>
        <w:t>X</w:t>
      </w:r>
      <w:r w:rsidR="00A53208">
        <w:rPr>
          <w:color w:val="auto"/>
          <w:vertAlign w:val="subscript"/>
        </w:rPr>
        <w:t>O2</w:t>
      </w:r>
      <w:r w:rsidR="00A53208">
        <w:rPr>
          <w:color w:val="auto"/>
        </w:rPr>
        <w:t xml:space="preserve"> </w:t>
      </w:r>
      <w:r w:rsidR="00A53208">
        <w:t>concentrations for Cases 1 through 6 [(a)-(f)] on a temperature iso-surface of 1600 [K]</w:t>
      </w:r>
    </w:p>
    <w:p w14:paraId="0449DE43" w14:textId="28E47397" w:rsidR="00D1475C" w:rsidRPr="00D1475C" w:rsidRDefault="00D1475C" w:rsidP="00D1475C">
      <w:r>
        <w:t>Figure 11:</w:t>
      </w:r>
      <w:r w:rsidR="00A53208">
        <w:t xml:space="preserve"> </w:t>
      </w:r>
      <w:r w:rsidR="00A53208">
        <w:rPr>
          <w:color w:val="auto"/>
        </w:rPr>
        <w:t>CO</w:t>
      </w:r>
      <w:r w:rsidR="00A53208">
        <w:rPr>
          <w:color w:val="auto"/>
          <w:vertAlign w:val="subscript"/>
        </w:rPr>
        <w:t>PPM</w:t>
      </w:r>
      <w:r w:rsidR="00A53208">
        <w:t xml:space="preserve"> </w:t>
      </w:r>
      <w:r w:rsidR="00A53208" w:rsidRPr="00A53208">
        <w:t xml:space="preserve">[(a) and (b)] and </w:t>
      </w:r>
      <w:r w:rsidR="00A53208">
        <w:rPr>
          <w:color w:val="auto"/>
        </w:rPr>
        <w:t>X</w:t>
      </w:r>
      <w:r w:rsidR="00A53208">
        <w:rPr>
          <w:color w:val="auto"/>
          <w:vertAlign w:val="subscript"/>
        </w:rPr>
        <w:t>O2</w:t>
      </w:r>
      <w:r w:rsidR="00A53208" w:rsidRPr="00A53208">
        <w:t xml:space="preserve"> [(c) and (d)] line plots on symmetry and offset vertical probe lines</w:t>
      </w:r>
    </w:p>
    <w:p w14:paraId="2D506C51" w14:textId="5F4BF1B1" w:rsidR="007A6E95" w:rsidRDefault="007A6E95">
      <w:pPr>
        <w:spacing w:after="160" w:line="259" w:lineRule="auto"/>
        <w:ind w:left="0" w:firstLine="0"/>
        <w:jc w:val="left"/>
      </w:pPr>
      <w:r>
        <w:br w:type="page"/>
      </w:r>
    </w:p>
    <w:p w14:paraId="7F840676" w14:textId="56D135D5" w:rsidR="007A6E95" w:rsidRDefault="00C3570C" w:rsidP="00C3570C">
      <w:pPr>
        <w:spacing w:after="266"/>
        <w:ind w:left="-15" w:right="1005"/>
        <w:jc w:val="center"/>
      </w:pPr>
      <w:r>
        <w:rPr>
          <w:sz w:val="16"/>
        </w:rPr>
        <w:lastRenderedPageBreak/>
        <w:t>Table 1.</w:t>
      </w:r>
      <w:r>
        <w:rPr>
          <w:sz w:val="16"/>
        </w:rPr>
        <w:tab/>
        <w:t>Scalar field equation descriptions</w:t>
      </w:r>
    </w:p>
    <w:p w14:paraId="0CE7CF46" w14:textId="77777777" w:rsidR="00C3570C" w:rsidRDefault="00C3570C" w:rsidP="007A6E95">
      <w:pPr>
        <w:tabs>
          <w:tab w:val="center" w:pos="3430"/>
          <w:tab w:val="center" w:pos="5037"/>
        </w:tabs>
        <w:spacing w:after="3" w:line="265" w:lineRule="auto"/>
        <w:ind w:left="0" w:firstLine="0"/>
        <w:jc w:val="left"/>
      </w:pPr>
    </w:p>
    <w:tbl>
      <w:tblPr>
        <w:tblStyle w:val="TableGrid0"/>
        <w:tblpPr w:leftFromText="180" w:rightFromText="180" w:horzAnchor="margin" w:tblpY="355"/>
        <w:tblW w:w="0" w:type="auto"/>
        <w:tblLook w:val="04A0" w:firstRow="1" w:lastRow="0" w:firstColumn="1" w:lastColumn="0" w:noHBand="0" w:noVBand="1"/>
      </w:tblPr>
      <w:tblGrid>
        <w:gridCol w:w="2547"/>
        <w:gridCol w:w="4367"/>
        <w:gridCol w:w="3457"/>
      </w:tblGrid>
      <w:tr w:rsidR="00C3570C" w14:paraId="3D08A3DE" w14:textId="77777777" w:rsidTr="00BA445A">
        <w:tc>
          <w:tcPr>
            <w:tcW w:w="2547" w:type="dxa"/>
            <w:tcBorders>
              <w:left w:val="single" w:sz="4" w:space="0" w:color="FFFFFF" w:themeColor="background1"/>
              <w:right w:val="single" w:sz="4" w:space="0" w:color="FFFFFF" w:themeColor="background1"/>
            </w:tcBorders>
          </w:tcPr>
          <w:p w14:paraId="64AA3ABE" w14:textId="496256AC" w:rsidR="00C3570C" w:rsidRDefault="00C3570C" w:rsidP="00C3570C">
            <w:pPr>
              <w:spacing w:after="160" w:line="259" w:lineRule="auto"/>
              <w:ind w:left="0" w:firstLine="0"/>
              <w:jc w:val="left"/>
            </w:pPr>
            <w:r>
              <w:t>Variable</w:t>
            </w:r>
          </w:p>
        </w:tc>
        <w:tc>
          <w:tcPr>
            <w:tcW w:w="4367" w:type="dxa"/>
            <w:tcBorders>
              <w:left w:val="single" w:sz="4" w:space="0" w:color="FFFFFF" w:themeColor="background1"/>
              <w:right w:val="single" w:sz="4" w:space="0" w:color="FFFFFF" w:themeColor="background1"/>
            </w:tcBorders>
          </w:tcPr>
          <w:p w14:paraId="719C6F80" w14:textId="13F953DD" w:rsidR="00C3570C" w:rsidRDefault="00C3570C" w:rsidP="00C3570C">
            <w:pPr>
              <w:spacing w:after="160" w:line="259" w:lineRule="auto"/>
              <w:ind w:left="0" w:firstLine="0"/>
              <w:jc w:val="left"/>
            </w:pPr>
            <w:r>
              <w:t>Description</w:t>
            </w:r>
          </w:p>
        </w:tc>
        <w:tc>
          <w:tcPr>
            <w:tcW w:w="3457" w:type="dxa"/>
            <w:tcBorders>
              <w:left w:val="single" w:sz="4" w:space="0" w:color="FFFFFF" w:themeColor="background1"/>
            </w:tcBorders>
          </w:tcPr>
          <w:p w14:paraId="196E7198" w14:textId="78960AC6" w:rsidR="00C3570C" w:rsidRDefault="00C3570C" w:rsidP="00C3570C">
            <w:pPr>
              <w:spacing w:after="160" w:line="259" w:lineRule="auto"/>
              <w:ind w:left="0" w:firstLine="0"/>
              <w:jc w:val="left"/>
            </w:pPr>
            <w:r>
              <w:t>Transport equation</w:t>
            </w:r>
          </w:p>
        </w:tc>
      </w:tr>
      <w:tr w:rsidR="00C3570C" w14:paraId="1E6007C3" w14:textId="77777777" w:rsidTr="00BA445A">
        <w:tc>
          <w:tcPr>
            <w:tcW w:w="2547" w:type="dxa"/>
            <w:tcBorders>
              <w:left w:val="single" w:sz="4" w:space="0" w:color="FFFFFF" w:themeColor="background1"/>
              <w:bottom w:val="single" w:sz="4" w:space="0" w:color="FFFFFF" w:themeColor="background1"/>
              <w:right w:val="single" w:sz="4" w:space="0" w:color="FFFFFF" w:themeColor="background1"/>
            </w:tcBorders>
          </w:tcPr>
          <w:p w14:paraId="0F8358B6" w14:textId="778CD0F4" w:rsidR="00C3570C" w:rsidRDefault="00C3570C" w:rsidP="00C3570C">
            <w:pPr>
              <w:spacing w:after="160" w:line="259" w:lineRule="auto"/>
              <w:ind w:left="0" w:firstLine="0"/>
              <w:jc w:val="left"/>
            </w:pPr>
            <w:r w:rsidRPr="00C3570C">
              <w:rPr>
                <w:rFonts w:ascii="Cambria" w:eastAsia="Cambria" w:hAnsi="Cambria" w:cs="Cambria"/>
                <w:i/>
                <w:sz w:val="28"/>
                <w:szCs w:val="28"/>
              </w:rPr>
              <w:t>φ</w:t>
            </w:r>
            <w:r>
              <w:rPr>
                <w:rFonts w:ascii="Cambria" w:eastAsia="Cambria" w:hAnsi="Cambria" w:cs="Cambria"/>
                <w:i/>
                <w:sz w:val="20"/>
                <w:szCs w:val="28"/>
                <w:vertAlign w:val="subscript"/>
              </w:rPr>
              <w:t>mp0</w:t>
            </w:r>
          </w:p>
        </w:tc>
        <w:tc>
          <w:tcPr>
            <w:tcW w:w="4367" w:type="dxa"/>
            <w:tcBorders>
              <w:left w:val="single" w:sz="4" w:space="0" w:color="FFFFFF" w:themeColor="background1"/>
              <w:bottom w:val="single" w:sz="4" w:space="0" w:color="FFFFFF" w:themeColor="background1"/>
              <w:right w:val="single" w:sz="4" w:space="0" w:color="FFFFFF" w:themeColor="background1"/>
            </w:tcBorders>
          </w:tcPr>
          <w:p w14:paraId="3CEF0886" w14:textId="3501F754" w:rsidR="00C3570C" w:rsidRDefault="00C3570C" w:rsidP="00C3570C">
            <w:pPr>
              <w:spacing w:after="160" w:line="259" w:lineRule="auto"/>
              <w:ind w:left="0" w:firstLine="0"/>
              <w:jc w:val="left"/>
            </w:pPr>
            <w:r>
              <w:t>Original/initial mass of particles</w:t>
            </w:r>
          </w:p>
        </w:tc>
        <w:tc>
          <w:tcPr>
            <w:tcW w:w="3457" w:type="dxa"/>
            <w:tcBorders>
              <w:left w:val="single" w:sz="4" w:space="0" w:color="FFFFFF" w:themeColor="background1"/>
              <w:bottom w:val="single" w:sz="4" w:space="0" w:color="FFFFFF" w:themeColor="background1"/>
              <w:right w:val="single" w:sz="4" w:space="0" w:color="FFFFFF" w:themeColor="background1"/>
            </w:tcBorders>
          </w:tcPr>
          <w:p w14:paraId="3926BE51" w14:textId="73BC440A" w:rsidR="00C3570C" w:rsidRPr="00C3570C" w:rsidRDefault="00757B79" w:rsidP="00C3570C">
            <w:pPr>
              <w:spacing w:after="160" w:line="259" w:lineRule="auto"/>
              <w:ind w:left="0" w:firstLine="0"/>
            </w:pPr>
            <m:oMathPara>
              <m:oMathParaPr>
                <m:jc m:val="left"/>
              </m:oMathParaP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φ</m:t>
                        </m:r>
                      </m:e>
                      <m:sub>
                        <m:r>
                          <w:rPr>
                            <w:rFonts w:ascii="Cambria Math" w:hAnsi="Cambria Math"/>
                          </w:rPr>
                          <m:t>mp0</m:t>
                        </m:r>
                      </m:sub>
                    </m:sSub>
                  </m:e>
                </m:d>
                <m:r>
                  <w:rPr>
                    <w:rFonts w:ascii="Cambria Math" w:hAnsi="Cambria Math"/>
                  </w:rPr>
                  <m:t>=0</m:t>
                </m:r>
              </m:oMath>
            </m:oMathPara>
          </w:p>
        </w:tc>
      </w:tr>
      <w:tr w:rsidR="00C3570C" w14:paraId="0639CF5B" w14:textId="77777777" w:rsidTr="00BA445A">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16919D" w14:textId="44E314A7" w:rsidR="00C3570C" w:rsidRDefault="00C3570C" w:rsidP="00C3570C">
            <w:pPr>
              <w:spacing w:after="160" w:line="259" w:lineRule="auto"/>
              <w:ind w:left="0" w:firstLine="0"/>
              <w:jc w:val="left"/>
            </w:pPr>
            <w:proofErr w:type="spellStart"/>
            <w:r w:rsidRPr="00C3570C">
              <w:rPr>
                <w:rFonts w:ascii="Cambria" w:eastAsia="Cambria" w:hAnsi="Cambria" w:cs="Cambria"/>
                <w:i/>
                <w:sz w:val="28"/>
                <w:szCs w:val="28"/>
              </w:rPr>
              <w:t>φ</w:t>
            </w:r>
            <w:r>
              <w:rPr>
                <w:rFonts w:ascii="Cambria" w:eastAsia="Cambria" w:hAnsi="Cambria" w:cs="Cambria"/>
                <w:i/>
                <w:sz w:val="20"/>
                <w:szCs w:val="28"/>
                <w:vertAlign w:val="subscript"/>
              </w:rPr>
              <w:t>M</w:t>
            </w:r>
            <w:proofErr w:type="spellEnd"/>
          </w:p>
        </w:tc>
        <w:tc>
          <w:tcPr>
            <w:tcW w:w="4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DD22B5" w14:textId="58567FA7" w:rsidR="00C3570C" w:rsidRDefault="00C3570C" w:rsidP="00C3570C">
            <w:pPr>
              <w:spacing w:after="160" w:line="259" w:lineRule="auto"/>
              <w:ind w:left="0" w:firstLine="0"/>
              <w:jc w:val="left"/>
            </w:pPr>
            <w:r>
              <w:t>Moisture present in particles</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893819" w14:textId="25024E5F" w:rsidR="00C3570C" w:rsidRPr="00C3570C" w:rsidRDefault="00757B79" w:rsidP="00C3570C">
            <w:pPr>
              <w:spacing w:after="160" w:line="259" w:lineRule="auto"/>
              <w:ind w:left="0" w:firstLine="0"/>
            </w:pPr>
            <m:oMathPara>
              <m:oMathParaPr>
                <m:jc m:val="left"/>
              </m:oMathParaP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φ</m:t>
                        </m:r>
                      </m:e>
                      <m:sub>
                        <m:r>
                          <w:rPr>
                            <w:rFonts w:ascii="Cambria Math" w:hAnsi="Cambria Math"/>
                          </w:rPr>
                          <m:t>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evap</m:t>
                        </m:r>
                      </m:sub>
                    </m:sSub>
                  </m:num>
                  <m:den>
                    <m:r>
                      <w:rPr>
                        <w:rFonts w:ascii="Cambria Math" w:hAnsi="Cambria Math"/>
                      </w:rPr>
                      <m:t>dt</m:t>
                    </m:r>
                  </m:den>
                </m:f>
              </m:oMath>
            </m:oMathPara>
          </w:p>
        </w:tc>
      </w:tr>
      <w:tr w:rsidR="00C3570C" w14:paraId="1F9AEDEF" w14:textId="77777777" w:rsidTr="00BA445A">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D49957" w14:textId="4C70FCE0" w:rsidR="00C3570C" w:rsidRDefault="00C3570C" w:rsidP="00C3570C">
            <w:pPr>
              <w:spacing w:after="160" w:line="259" w:lineRule="auto"/>
              <w:ind w:left="0" w:firstLine="0"/>
              <w:jc w:val="left"/>
            </w:pPr>
            <w:proofErr w:type="spellStart"/>
            <w:r w:rsidRPr="00C3570C">
              <w:rPr>
                <w:rFonts w:ascii="Cambria" w:eastAsia="Cambria" w:hAnsi="Cambria" w:cs="Cambria"/>
                <w:i/>
                <w:sz w:val="28"/>
                <w:szCs w:val="28"/>
              </w:rPr>
              <w:t>φ</w:t>
            </w:r>
            <w:r>
              <w:rPr>
                <w:rFonts w:ascii="Cambria" w:eastAsia="Cambria" w:hAnsi="Cambria" w:cs="Cambria"/>
                <w:i/>
                <w:sz w:val="20"/>
                <w:szCs w:val="28"/>
                <w:vertAlign w:val="subscript"/>
              </w:rPr>
              <w:t>VM</w:t>
            </w:r>
            <w:proofErr w:type="spellEnd"/>
          </w:p>
        </w:tc>
        <w:tc>
          <w:tcPr>
            <w:tcW w:w="4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0BA327" w14:textId="247AB5BA" w:rsidR="00C3570C" w:rsidRDefault="00C3570C" w:rsidP="00C3570C">
            <w:pPr>
              <w:spacing w:after="160" w:line="259" w:lineRule="auto"/>
              <w:ind w:left="0" w:firstLine="0"/>
              <w:jc w:val="left"/>
            </w:pPr>
            <w:r>
              <w:t>Volatile matter present in particles</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7EF573" w14:textId="335A4681" w:rsidR="00C3570C" w:rsidRPr="00C3570C" w:rsidRDefault="00757B79" w:rsidP="00C3570C">
            <w:pPr>
              <w:spacing w:after="160" w:line="259" w:lineRule="auto"/>
              <w:ind w:left="0" w:firstLine="0"/>
              <w:jc w:val="left"/>
            </w:pPr>
            <m:oMathPara>
              <m:oMathParaPr>
                <m:jc m:val="left"/>
              </m:oMathParaP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φ</m:t>
                        </m:r>
                      </m:e>
                      <m:sub>
                        <m:r>
                          <w:rPr>
                            <w:rFonts w:ascii="Cambria Math" w:hAnsi="Cambria Math"/>
                          </w:rPr>
                          <m:t>VM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vol</m:t>
                        </m:r>
                      </m:sub>
                    </m:sSub>
                  </m:num>
                  <m:den>
                    <m:r>
                      <w:rPr>
                        <w:rFonts w:ascii="Cambria Math" w:hAnsi="Cambria Math"/>
                      </w:rPr>
                      <m:t>dt</m:t>
                    </m:r>
                  </m:den>
                </m:f>
              </m:oMath>
            </m:oMathPara>
          </w:p>
        </w:tc>
      </w:tr>
      <w:tr w:rsidR="00C3570C" w14:paraId="37A28654" w14:textId="77777777" w:rsidTr="00BA445A">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A6A34C" w14:textId="477C2659" w:rsidR="00C3570C" w:rsidRDefault="00C3570C" w:rsidP="00C3570C">
            <w:pPr>
              <w:spacing w:after="160" w:line="259" w:lineRule="auto"/>
              <w:ind w:left="0" w:firstLine="0"/>
              <w:jc w:val="left"/>
            </w:pPr>
            <w:proofErr w:type="spellStart"/>
            <w:r w:rsidRPr="00C3570C">
              <w:rPr>
                <w:rFonts w:ascii="Cambria" w:eastAsia="Cambria" w:hAnsi="Cambria" w:cs="Cambria"/>
                <w:i/>
                <w:sz w:val="28"/>
                <w:szCs w:val="28"/>
              </w:rPr>
              <w:t>φ</w:t>
            </w:r>
            <w:r>
              <w:rPr>
                <w:rFonts w:ascii="Cambria" w:eastAsia="Cambria" w:hAnsi="Cambria" w:cs="Cambria"/>
                <w:i/>
                <w:sz w:val="20"/>
                <w:szCs w:val="28"/>
                <w:vertAlign w:val="subscript"/>
              </w:rPr>
              <w:t>FC</w:t>
            </w:r>
            <w:proofErr w:type="spellEnd"/>
          </w:p>
        </w:tc>
        <w:tc>
          <w:tcPr>
            <w:tcW w:w="4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D35A4D" w14:textId="0A35EFE7" w:rsidR="00C3570C" w:rsidRDefault="00C3570C" w:rsidP="00C3570C">
            <w:pPr>
              <w:spacing w:after="160" w:line="259" w:lineRule="auto"/>
              <w:ind w:left="0" w:firstLine="0"/>
              <w:jc w:val="left"/>
            </w:pPr>
            <w:r>
              <w:t>Fixed carbon present in particles</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3BFE96" w14:textId="6D34D9C4" w:rsidR="00C3570C" w:rsidRPr="00C3570C" w:rsidRDefault="00757B79" w:rsidP="00C3570C">
            <w:pPr>
              <w:spacing w:after="160" w:line="259" w:lineRule="auto"/>
              <w:ind w:left="0" w:firstLine="0"/>
              <w:jc w:val="left"/>
            </w:pPr>
            <m:oMathPara>
              <m:oMathParaPr>
                <m:jc m:val="left"/>
              </m:oMathParaP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φ</m:t>
                        </m:r>
                      </m:e>
                      <m:sub>
                        <m:r>
                          <w:rPr>
                            <w:rFonts w:ascii="Cambria Math" w:hAnsi="Cambria Math"/>
                          </w:rPr>
                          <m:t>FC</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c</m:t>
                        </m:r>
                      </m:sub>
                    </m:sSub>
                  </m:num>
                  <m:den>
                    <m:r>
                      <w:rPr>
                        <w:rFonts w:ascii="Cambria Math" w:hAnsi="Cambria Math"/>
                      </w:rPr>
                      <m:t>dt</m:t>
                    </m:r>
                  </m:den>
                </m:f>
              </m:oMath>
            </m:oMathPara>
          </w:p>
        </w:tc>
      </w:tr>
      <w:tr w:rsidR="00C3570C" w14:paraId="7B91A14F" w14:textId="77777777" w:rsidTr="00BA445A">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080314" w14:textId="57EC855C" w:rsidR="00C3570C" w:rsidRPr="00C3570C" w:rsidRDefault="00C3570C" w:rsidP="00C3570C">
            <w:pPr>
              <w:spacing w:after="160" w:line="259" w:lineRule="auto"/>
              <w:ind w:left="0" w:firstLine="0"/>
              <w:jc w:val="left"/>
              <w:rPr>
                <w:vertAlign w:val="subscript"/>
              </w:rPr>
            </w:pPr>
            <w:proofErr w:type="spellStart"/>
            <w:r w:rsidRPr="00C3570C">
              <w:rPr>
                <w:rFonts w:ascii="Cambria" w:eastAsia="Cambria" w:hAnsi="Cambria" w:cs="Cambria"/>
                <w:i/>
                <w:sz w:val="28"/>
                <w:szCs w:val="28"/>
              </w:rPr>
              <w:t>φ</w:t>
            </w:r>
            <w:r w:rsidRPr="00C3570C">
              <w:rPr>
                <w:rFonts w:ascii="Cambria" w:eastAsia="Cambria" w:hAnsi="Cambria" w:cs="Cambria"/>
                <w:i/>
                <w:sz w:val="20"/>
                <w:szCs w:val="28"/>
                <w:vertAlign w:val="subscript"/>
              </w:rPr>
              <w:t>ASH</w:t>
            </w:r>
            <w:proofErr w:type="spellEnd"/>
          </w:p>
        </w:tc>
        <w:tc>
          <w:tcPr>
            <w:tcW w:w="4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6B09CE" w14:textId="083695C3" w:rsidR="00C3570C" w:rsidRDefault="00C3570C" w:rsidP="00C3570C">
            <w:pPr>
              <w:spacing w:after="160" w:line="259" w:lineRule="auto"/>
              <w:ind w:left="0" w:firstLine="0"/>
              <w:jc w:val="left"/>
            </w:pPr>
            <w:r>
              <w:t>Ash present in particles</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40146" w14:textId="403C8088" w:rsidR="00C3570C" w:rsidRPr="00C3570C" w:rsidRDefault="00757B79" w:rsidP="00C3570C">
            <w:pPr>
              <w:spacing w:after="160" w:line="259" w:lineRule="auto"/>
              <w:ind w:left="0" w:firstLine="0"/>
              <w:jc w:val="left"/>
            </w:pPr>
            <m:oMathPara>
              <m:oMathParaPr>
                <m:jc m:val="left"/>
              </m:oMathParaP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φ</m:t>
                        </m:r>
                      </m:e>
                      <m:sub>
                        <m:r>
                          <w:rPr>
                            <w:rFonts w:ascii="Cambria Math" w:hAnsi="Cambria Math"/>
                          </w:rPr>
                          <m:t>ASH</m:t>
                        </m:r>
                      </m:sub>
                    </m:sSub>
                  </m:e>
                </m:d>
                <m:r>
                  <w:rPr>
                    <w:rFonts w:ascii="Cambria Math" w:hAnsi="Cambria Math"/>
                  </w:rPr>
                  <m:t>=0</m:t>
                </m:r>
              </m:oMath>
            </m:oMathPara>
          </w:p>
        </w:tc>
      </w:tr>
      <w:tr w:rsidR="00C3570C" w14:paraId="2641CF91" w14:textId="77777777" w:rsidTr="00BA445A">
        <w:tc>
          <w:tcPr>
            <w:tcW w:w="2547" w:type="dxa"/>
            <w:tcBorders>
              <w:top w:val="single" w:sz="4" w:space="0" w:color="FFFFFF" w:themeColor="background1"/>
              <w:left w:val="single" w:sz="4" w:space="0" w:color="FFFFFF" w:themeColor="background1"/>
              <w:right w:val="single" w:sz="4" w:space="0" w:color="FFFFFF" w:themeColor="background1"/>
            </w:tcBorders>
          </w:tcPr>
          <w:p w14:paraId="1CE64D76" w14:textId="76E9339D" w:rsidR="00C3570C" w:rsidRDefault="00C3570C" w:rsidP="00C3570C">
            <w:pPr>
              <w:spacing w:after="160" w:line="259" w:lineRule="auto"/>
              <w:ind w:left="0" w:firstLine="0"/>
              <w:jc w:val="left"/>
            </w:pPr>
            <w:proofErr w:type="spellStart"/>
            <w:r w:rsidRPr="00C3570C">
              <w:rPr>
                <w:rFonts w:ascii="Cambria" w:eastAsia="Cambria" w:hAnsi="Cambria" w:cs="Cambria"/>
                <w:i/>
                <w:sz w:val="28"/>
                <w:szCs w:val="28"/>
              </w:rPr>
              <w:t>φ</w:t>
            </w:r>
            <w:r>
              <w:rPr>
                <w:rFonts w:ascii="Cambria" w:eastAsia="Cambria" w:hAnsi="Cambria" w:cs="Cambria"/>
                <w:i/>
                <w:sz w:val="20"/>
                <w:szCs w:val="28"/>
                <w:vertAlign w:val="subscript"/>
              </w:rPr>
              <w:t>hp</w:t>
            </w:r>
            <w:proofErr w:type="spellEnd"/>
          </w:p>
        </w:tc>
        <w:tc>
          <w:tcPr>
            <w:tcW w:w="4367" w:type="dxa"/>
            <w:tcBorders>
              <w:top w:val="single" w:sz="4" w:space="0" w:color="FFFFFF" w:themeColor="background1"/>
              <w:left w:val="single" w:sz="4" w:space="0" w:color="FFFFFF" w:themeColor="background1"/>
              <w:right w:val="single" w:sz="4" w:space="0" w:color="FFFFFF" w:themeColor="background1"/>
            </w:tcBorders>
          </w:tcPr>
          <w:p w14:paraId="4A3661C9" w14:textId="61CD9249" w:rsidR="00C3570C" w:rsidRDefault="00C3570C" w:rsidP="00C3570C">
            <w:pPr>
              <w:spacing w:after="160" w:line="259" w:lineRule="auto"/>
              <w:ind w:left="0" w:firstLine="0"/>
              <w:jc w:val="left"/>
            </w:pPr>
            <w:r>
              <w:t>Enthalpy of particles</w:t>
            </w:r>
          </w:p>
        </w:tc>
        <w:tc>
          <w:tcPr>
            <w:tcW w:w="3457" w:type="dxa"/>
            <w:tcBorders>
              <w:top w:val="single" w:sz="4" w:space="0" w:color="FFFFFF" w:themeColor="background1"/>
              <w:left w:val="single" w:sz="4" w:space="0" w:color="FFFFFF" w:themeColor="background1"/>
              <w:right w:val="single" w:sz="4" w:space="0" w:color="FFFFFF" w:themeColor="background1"/>
            </w:tcBorders>
          </w:tcPr>
          <w:p w14:paraId="23524585" w14:textId="7926A816" w:rsidR="00C3570C" w:rsidRDefault="00C3570C" w:rsidP="00C3570C">
            <w:pPr>
              <w:spacing w:after="160" w:line="259" w:lineRule="auto"/>
              <w:ind w:left="0" w:firstLine="0"/>
            </w:pPr>
            <w:r>
              <w:t>Eqn. (</w:t>
            </w:r>
            <w:r w:rsidRPr="00C3570C">
              <w:rPr>
                <w:color w:val="4472C4" w:themeColor="accent1"/>
              </w:rPr>
              <w:t>12</w:t>
            </w:r>
            <w:r>
              <w:t>)</w:t>
            </w:r>
          </w:p>
        </w:tc>
      </w:tr>
    </w:tbl>
    <w:p w14:paraId="1FA34D17" w14:textId="77777777" w:rsidR="00C3570C" w:rsidRDefault="00C3570C">
      <w:pPr>
        <w:spacing w:after="160" w:line="259" w:lineRule="auto"/>
        <w:ind w:left="0" w:firstLine="0"/>
        <w:jc w:val="left"/>
      </w:pPr>
    </w:p>
    <w:p w14:paraId="264EBFD0" w14:textId="0EAD5A27" w:rsidR="007A6E95" w:rsidRDefault="007A6E95">
      <w:pPr>
        <w:spacing w:after="160" w:line="259" w:lineRule="auto"/>
        <w:ind w:left="0" w:firstLine="0"/>
        <w:jc w:val="left"/>
      </w:pPr>
      <w:r>
        <w:br w:type="page"/>
      </w:r>
    </w:p>
    <w:p w14:paraId="15512130" w14:textId="77777777" w:rsidR="00D1475C" w:rsidRDefault="00D1475C" w:rsidP="00D1475C"/>
    <w:p w14:paraId="3D9883F2" w14:textId="77777777" w:rsidR="007A6E95" w:rsidRDefault="007A6E95" w:rsidP="007A6E95">
      <w:pPr>
        <w:tabs>
          <w:tab w:val="center" w:pos="3506"/>
          <w:tab w:val="center" w:pos="5037"/>
        </w:tabs>
        <w:spacing w:after="3" w:line="265" w:lineRule="auto"/>
        <w:ind w:left="0" w:firstLine="0"/>
        <w:jc w:val="left"/>
      </w:pPr>
      <w:r>
        <w:tab/>
      </w:r>
      <w:r>
        <w:rPr>
          <w:sz w:val="16"/>
        </w:rPr>
        <w:t>Table 2.</w:t>
      </w:r>
      <w:r>
        <w:rPr>
          <w:sz w:val="16"/>
        </w:rPr>
        <w:tab/>
        <w:t>Utility boiler fuel characteristics</w:t>
      </w:r>
    </w:p>
    <w:tbl>
      <w:tblPr>
        <w:tblStyle w:val="TableGrid"/>
        <w:tblW w:w="6552" w:type="dxa"/>
        <w:tblInd w:w="1404" w:type="dxa"/>
        <w:tblCellMar>
          <w:top w:w="92" w:type="dxa"/>
          <w:right w:w="115" w:type="dxa"/>
        </w:tblCellMar>
        <w:tblLook w:val="04A0" w:firstRow="1" w:lastRow="0" w:firstColumn="1" w:lastColumn="0" w:noHBand="0" w:noVBand="1"/>
      </w:tblPr>
      <w:tblGrid>
        <w:gridCol w:w="3167"/>
        <w:gridCol w:w="2111"/>
        <w:gridCol w:w="1274"/>
      </w:tblGrid>
      <w:tr w:rsidR="007A6E95" w14:paraId="3A099A02" w14:textId="77777777" w:rsidTr="007C644D">
        <w:trPr>
          <w:trHeight w:val="414"/>
        </w:trPr>
        <w:tc>
          <w:tcPr>
            <w:tcW w:w="3167" w:type="dxa"/>
            <w:tcBorders>
              <w:top w:val="single" w:sz="3" w:space="0" w:color="000000"/>
              <w:left w:val="nil"/>
              <w:bottom w:val="single" w:sz="3" w:space="0" w:color="000000"/>
              <w:right w:val="nil"/>
            </w:tcBorders>
          </w:tcPr>
          <w:p w14:paraId="1F0AAE50" w14:textId="77777777" w:rsidR="007A6E95" w:rsidRDefault="007A6E95" w:rsidP="007C644D">
            <w:pPr>
              <w:spacing w:after="0" w:line="259" w:lineRule="auto"/>
              <w:ind w:left="120" w:firstLine="0"/>
              <w:jc w:val="left"/>
            </w:pPr>
            <w:r>
              <w:rPr>
                <w:b/>
              </w:rPr>
              <w:t>Fuel constituent</w:t>
            </w:r>
          </w:p>
        </w:tc>
        <w:tc>
          <w:tcPr>
            <w:tcW w:w="2111" w:type="dxa"/>
            <w:tcBorders>
              <w:top w:val="single" w:sz="3" w:space="0" w:color="000000"/>
              <w:left w:val="nil"/>
              <w:bottom w:val="single" w:sz="3" w:space="0" w:color="000000"/>
              <w:right w:val="nil"/>
            </w:tcBorders>
          </w:tcPr>
          <w:p w14:paraId="77CDECE7" w14:textId="77777777" w:rsidR="007A6E95" w:rsidRDefault="007A6E95" w:rsidP="007C644D">
            <w:pPr>
              <w:spacing w:after="0" w:line="259" w:lineRule="auto"/>
              <w:ind w:left="0" w:firstLine="0"/>
              <w:jc w:val="left"/>
            </w:pPr>
            <w:r>
              <w:rPr>
                <w:b/>
              </w:rPr>
              <w:t>Fraction</w:t>
            </w:r>
          </w:p>
        </w:tc>
        <w:tc>
          <w:tcPr>
            <w:tcW w:w="1274" w:type="dxa"/>
            <w:tcBorders>
              <w:top w:val="single" w:sz="3" w:space="0" w:color="000000"/>
              <w:left w:val="nil"/>
              <w:bottom w:val="single" w:sz="3" w:space="0" w:color="000000"/>
              <w:right w:val="nil"/>
            </w:tcBorders>
          </w:tcPr>
          <w:p w14:paraId="320662D0" w14:textId="77777777" w:rsidR="007A6E95" w:rsidRDefault="007A6E95" w:rsidP="007C644D">
            <w:pPr>
              <w:spacing w:after="0" w:line="259" w:lineRule="auto"/>
              <w:ind w:left="0" w:firstLine="0"/>
              <w:jc w:val="left"/>
            </w:pPr>
            <w:r>
              <w:rPr>
                <w:b/>
              </w:rPr>
              <w:t>Unit</w:t>
            </w:r>
          </w:p>
        </w:tc>
      </w:tr>
      <w:tr w:rsidR="007A6E95" w14:paraId="4C755038" w14:textId="77777777" w:rsidTr="007C644D">
        <w:trPr>
          <w:trHeight w:val="437"/>
        </w:trPr>
        <w:tc>
          <w:tcPr>
            <w:tcW w:w="3167" w:type="dxa"/>
            <w:tcBorders>
              <w:top w:val="single" w:sz="3" w:space="0" w:color="000000"/>
              <w:left w:val="nil"/>
              <w:bottom w:val="nil"/>
              <w:right w:val="nil"/>
            </w:tcBorders>
            <w:vAlign w:val="center"/>
          </w:tcPr>
          <w:p w14:paraId="1D660D67" w14:textId="77777777" w:rsidR="007A6E95" w:rsidRDefault="007A6E95" w:rsidP="007C644D">
            <w:pPr>
              <w:spacing w:after="0" w:line="259" w:lineRule="auto"/>
              <w:ind w:left="120" w:firstLine="0"/>
              <w:jc w:val="left"/>
            </w:pPr>
            <w:r>
              <w:rPr>
                <w:i/>
              </w:rPr>
              <w:t>Ultimate analysis - (DAF)</w:t>
            </w:r>
          </w:p>
        </w:tc>
        <w:tc>
          <w:tcPr>
            <w:tcW w:w="2111" w:type="dxa"/>
            <w:tcBorders>
              <w:top w:val="single" w:sz="3" w:space="0" w:color="000000"/>
              <w:left w:val="nil"/>
              <w:bottom w:val="nil"/>
              <w:right w:val="nil"/>
            </w:tcBorders>
            <w:vAlign w:val="center"/>
          </w:tcPr>
          <w:p w14:paraId="6F1CF79D" w14:textId="77777777" w:rsidR="007A6E95" w:rsidRDefault="007A6E95" w:rsidP="007C644D">
            <w:pPr>
              <w:spacing w:after="0" w:line="259" w:lineRule="auto"/>
              <w:ind w:left="0" w:firstLine="0"/>
              <w:jc w:val="left"/>
            </w:pPr>
            <w:r>
              <w:rPr>
                <w:i/>
              </w:rPr>
              <w:t>-</w:t>
            </w:r>
          </w:p>
        </w:tc>
        <w:tc>
          <w:tcPr>
            <w:tcW w:w="1274" w:type="dxa"/>
            <w:tcBorders>
              <w:top w:val="single" w:sz="3" w:space="0" w:color="000000"/>
              <w:left w:val="nil"/>
              <w:bottom w:val="nil"/>
              <w:right w:val="nil"/>
            </w:tcBorders>
            <w:vAlign w:val="center"/>
          </w:tcPr>
          <w:p w14:paraId="45544203" w14:textId="77777777" w:rsidR="007A6E95" w:rsidRDefault="007A6E95" w:rsidP="007C644D">
            <w:pPr>
              <w:spacing w:after="0" w:line="259" w:lineRule="auto"/>
              <w:ind w:left="0" w:firstLine="0"/>
              <w:jc w:val="left"/>
            </w:pPr>
            <w:r>
              <w:rPr>
                <w:i/>
              </w:rPr>
              <w:t>-</w:t>
            </w:r>
          </w:p>
        </w:tc>
      </w:tr>
      <w:tr w:rsidR="007A6E95" w14:paraId="16454AC3" w14:textId="77777777" w:rsidTr="007C644D">
        <w:trPr>
          <w:trHeight w:val="416"/>
        </w:trPr>
        <w:tc>
          <w:tcPr>
            <w:tcW w:w="3167" w:type="dxa"/>
            <w:tcBorders>
              <w:top w:val="nil"/>
              <w:left w:val="nil"/>
              <w:bottom w:val="nil"/>
              <w:right w:val="nil"/>
            </w:tcBorders>
            <w:vAlign w:val="center"/>
          </w:tcPr>
          <w:p w14:paraId="4B935A19" w14:textId="77777777" w:rsidR="007A6E95" w:rsidRDefault="007A6E95" w:rsidP="007C644D">
            <w:pPr>
              <w:spacing w:after="0" w:line="259" w:lineRule="auto"/>
              <w:ind w:left="120" w:firstLine="0"/>
              <w:jc w:val="left"/>
            </w:pPr>
            <w:r>
              <w:t>Carbon</w:t>
            </w:r>
          </w:p>
        </w:tc>
        <w:tc>
          <w:tcPr>
            <w:tcW w:w="2111" w:type="dxa"/>
            <w:tcBorders>
              <w:top w:val="nil"/>
              <w:left w:val="nil"/>
              <w:bottom w:val="nil"/>
              <w:right w:val="nil"/>
            </w:tcBorders>
            <w:vAlign w:val="center"/>
          </w:tcPr>
          <w:p w14:paraId="6EF43E2E"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7753</w:t>
            </w:r>
          </w:p>
        </w:tc>
        <w:tc>
          <w:tcPr>
            <w:tcW w:w="1274" w:type="dxa"/>
            <w:tcBorders>
              <w:top w:val="nil"/>
              <w:left w:val="nil"/>
              <w:bottom w:val="nil"/>
              <w:right w:val="nil"/>
            </w:tcBorders>
            <w:vAlign w:val="center"/>
          </w:tcPr>
          <w:p w14:paraId="2B026765" w14:textId="77777777" w:rsidR="007A6E95" w:rsidRDefault="007A6E95" w:rsidP="007C644D">
            <w:pPr>
              <w:spacing w:after="0" w:line="259" w:lineRule="auto"/>
              <w:ind w:left="0" w:firstLine="0"/>
              <w:jc w:val="left"/>
            </w:pPr>
            <w:r>
              <w:rPr>
                <w:rFonts w:ascii="Cambria" w:eastAsia="Cambria" w:hAnsi="Cambria" w:cs="Cambria"/>
                <w:i/>
              </w:rPr>
              <w:t>kg/</w:t>
            </w:r>
            <w:proofErr w:type="spellStart"/>
            <w:r>
              <w:rPr>
                <w:rFonts w:ascii="Cambria" w:eastAsia="Cambria" w:hAnsi="Cambria" w:cs="Cambria"/>
                <w:i/>
              </w:rPr>
              <w:t>kg</w:t>
            </w:r>
            <w:r>
              <w:rPr>
                <w:rFonts w:ascii="Cambria" w:eastAsia="Cambria" w:hAnsi="Cambria" w:cs="Cambria"/>
                <w:i/>
                <w:vertAlign w:val="subscript"/>
              </w:rPr>
              <w:t>fuel</w:t>
            </w:r>
            <w:proofErr w:type="spellEnd"/>
          </w:p>
        </w:tc>
      </w:tr>
      <w:tr w:rsidR="007A6E95" w14:paraId="3F655EE8" w14:textId="77777777" w:rsidTr="007C644D">
        <w:trPr>
          <w:trHeight w:val="406"/>
        </w:trPr>
        <w:tc>
          <w:tcPr>
            <w:tcW w:w="3167" w:type="dxa"/>
            <w:tcBorders>
              <w:top w:val="nil"/>
              <w:left w:val="nil"/>
              <w:bottom w:val="nil"/>
              <w:right w:val="nil"/>
            </w:tcBorders>
          </w:tcPr>
          <w:p w14:paraId="7B51CFBC" w14:textId="77777777" w:rsidR="007A6E95" w:rsidRDefault="007A6E95" w:rsidP="007C644D">
            <w:pPr>
              <w:spacing w:after="0" w:line="259" w:lineRule="auto"/>
              <w:ind w:left="120" w:firstLine="0"/>
              <w:jc w:val="left"/>
            </w:pPr>
            <w:r>
              <w:t>Hydrogen</w:t>
            </w:r>
          </w:p>
        </w:tc>
        <w:tc>
          <w:tcPr>
            <w:tcW w:w="2111" w:type="dxa"/>
            <w:tcBorders>
              <w:top w:val="nil"/>
              <w:left w:val="nil"/>
              <w:bottom w:val="nil"/>
              <w:right w:val="nil"/>
            </w:tcBorders>
          </w:tcPr>
          <w:p w14:paraId="0C9B68A5"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0415</w:t>
            </w:r>
          </w:p>
        </w:tc>
        <w:tc>
          <w:tcPr>
            <w:tcW w:w="1274" w:type="dxa"/>
            <w:tcBorders>
              <w:top w:val="nil"/>
              <w:left w:val="nil"/>
              <w:bottom w:val="nil"/>
              <w:right w:val="nil"/>
            </w:tcBorders>
            <w:vAlign w:val="center"/>
          </w:tcPr>
          <w:p w14:paraId="410A3378" w14:textId="77777777" w:rsidR="007A6E95" w:rsidRDefault="007A6E95" w:rsidP="007C644D">
            <w:pPr>
              <w:spacing w:after="0" w:line="259" w:lineRule="auto"/>
              <w:ind w:left="0" w:firstLine="0"/>
              <w:jc w:val="left"/>
            </w:pPr>
            <w:r>
              <w:rPr>
                <w:rFonts w:ascii="Cambria" w:eastAsia="Cambria" w:hAnsi="Cambria" w:cs="Cambria"/>
                <w:i/>
              </w:rPr>
              <w:t>kg/</w:t>
            </w:r>
            <w:proofErr w:type="spellStart"/>
            <w:r>
              <w:rPr>
                <w:rFonts w:ascii="Cambria" w:eastAsia="Cambria" w:hAnsi="Cambria" w:cs="Cambria"/>
                <w:i/>
              </w:rPr>
              <w:t>kg</w:t>
            </w:r>
            <w:r>
              <w:rPr>
                <w:rFonts w:ascii="Cambria" w:eastAsia="Cambria" w:hAnsi="Cambria" w:cs="Cambria"/>
                <w:i/>
                <w:vertAlign w:val="subscript"/>
              </w:rPr>
              <w:t>fuel</w:t>
            </w:r>
            <w:proofErr w:type="spellEnd"/>
          </w:p>
        </w:tc>
      </w:tr>
      <w:tr w:rsidR="007A6E95" w14:paraId="3261317F" w14:textId="77777777" w:rsidTr="007C644D">
        <w:trPr>
          <w:trHeight w:val="406"/>
        </w:trPr>
        <w:tc>
          <w:tcPr>
            <w:tcW w:w="3167" w:type="dxa"/>
            <w:tcBorders>
              <w:top w:val="nil"/>
              <w:left w:val="nil"/>
              <w:bottom w:val="nil"/>
              <w:right w:val="nil"/>
            </w:tcBorders>
          </w:tcPr>
          <w:p w14:paraId="2EF6BBBB" w14:textId="77777777" w:rsidR="007A6E95" w:rsidRDefault="007A6E95" w:rsidP="007C644D">
            <w:pPr>
              <w:spacing w:after="0" w:line="259" w:lineRule="auto"/>
              <w:ind w:left="120" w:firstLine="0"/>
              <w:jc w:val="left"/>
            </w:pPr>
            <w:r>
              <w:t>Nitrogen</w:t>
            </w:r>
          </w:p>
        </w:tc>
        <w:tc>
          <w:tcPr>
            <w:tcW w:w="2111" w:type="dxa"/>
            <w:tcBorders>
              <w:top w:val="nil"/>
              <w:left w:val="nil"/>
              <w:bottom w:val="nil"/>
              <w:right w:val="nil"/>
            </w:tcBorders>
          </w:tcPr>
          <w:p w14:paraId="4A8CB96B"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0181</w:t>
            </w:r>
          </w:p>
        </w:tc>
        <w:tc>
          <w:tcPr>
            <w:tcW w:w="1274" w:type="dxa"/>
            <w:tcBorders>
              <w:top w:val="nil"/>
              <w:left w:val="nil"/>
              <w:bottom w:val="nil"/>
              <w:right w:val="nil"/>
            </w:tcBorders>
            <w:vAlign w:val="center"/>
          </w:tcPr>
          <w:p w14:paraId="13B21876" w14:textId="77777777" w:rsidR="007A6E95" w:rsidRDefault="007A6E95" w:rsidP="007C644D">
            <w:pPr>
              <w:spacing w:after="0" w:line="259" w:lineRule="auto"/>
              <w:ind w:left="0" w:firstLine="0"/>
              <w:jc w:val="left"/>
            </w:pPr>
            <w:r>
              <w:rPr>
                <w:rFonts w:ascii="Cambria" w:eastAsia="Cambria" w:hAnsi="Cambria" w:cs="Cambria"/>
                <w:i/>
              </w:rPr>
              <w:t>kg/</w:t>
            </w:r>
            <w:proofErr w:type="spellStart"/>
            <w:r>
              <w:rPr>
                <w:rFonts w:ascii="Cambria" w:eastAsia="Cambria" w:hAnsi="Cambria" w:cs="Cambria"/>
                <w:i/>
              </w:rPr>
              <w:t>kg</w:t>
            </w:r>
            <w:r>
              <w:rPr>
                <w:rFonts w:ascii="Cambria" w:eastAsia="Cambria" w:hAnsi="Cambria" w:cs="Cambria"/>
                <w:i/>
                <w:vertAlign w:val="subscript"/>
              </w:rPr>
              <w:t>fuel</w:t>
            </w:r>
            <w:proofErr w:type="spellEnd"/>
          </w:p>
        </w:tc>
      </w:tr>
      <w:tr w:rsidR="007A6E95" w14:paraId="0A582D91" w14:textId="77777777" w:rsidTr="007C644D">
        <w:trPr>
          <w:trHeight w:val="406"/>
        </w:trPr>
        <w:tc>
          <w:tcPr>
            <w:tcW w:w="3167" w:type="dxa"/>
            <w:tcBorders>
              <w:top w:val="nil"/>
              <w:left w:val="nil"/>
              <w:bottom w:val="nil"/>
              <w:right w:val="nil"/>
            </w:tcBorders>
          </w:tcPr>
          <w:p w14:paraId="55B4ABAE" w14:textId="77777777" w:rsidR="007A6E95" w:rsidRDefault="007A6E95" w:rsidP="007C644D">
            <w:pPr>
              <w:spacing w:after="0" w:line="259" w:lineRule="auto"/>
              <w:ind w:left="120" w:firstLine="0"/>
              <w:jc w:val="left"/>
            </w:pPr>
            <w:r>
              <w:t>Oxygen</w:t>
            </w:r>
          </w:p>
        </w:tc>
        <w:tc>
          <w:tcPr>
            <w:tcW w:w="2111" w:type="dxa"/>
            <w:tcBorders>
              <w:top w:val="nil"/>
              <w:left w:val="nil"/>
              <w:bottom w:val="nil"/>
              <w:right w:val="nil"/>
            </w:tcBorders>
          </w:tcPr>
          <w:p w14:paraId="0F2B0430"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1474</w:t>
            </w:r>
          </w:p>
        </w:tc>
        <w:tc>
          <w:tcPr>
            <w:tcW w:w="1274" w:type="dxa"/>
            <w:tcBorders>
              <w:top w:val="nil"/>
              <w:left w:val="nil"/>
              <w:bottom w:val="nil"/>
              <w:right w:val="nil"/>
            </w:tcBorders>
            <w:vAlign w:val="center"/>
          </w:tcPr>
          <w:p w14:paraId="004C4DFA" w14:textId="77777777" w:rsidR="007A6E95" w:rsidRDefault="007A6E95" w:rsidP="007C644D">
            <w:pPr>
              <w:spacing w:after="0" w:line="259" w:lineRule="auto"/>
              <w:ind w:left="0" w:firstLine="0"/>
              <w:jc w:val="left"/>
            </w:pPr>
            <w:r>
              <w:rPr>
                <w:rFonts w:ascii="Cambria" w:eastAsia="Cambria" w:hAnsi="Cambria" w:cs="Cambria"/>
                <w:i/>
              </w:rPr>
              <w:t>kg/</w:t>
            </w:r>
            <w:proofErr w:type="spellStart"/>
            <w:r>
              <w:rPr>
                <w:rFonts w:ascii="Cambria" w:eastAsia="Cambria" w:hAnsi="Cambria" w:cs="Cambria"/>
                <w:i/>
              </w:rPr>
              <w:t>kg</w:t>
            </w:r>
            <w:r>
              <w:rPr>
                <w:rFonts w:ascii="Cambria" w:eastAsia="Cambria" w:hAnsi="Cambria" w:cs="Cambria"/>
                <w:i/>
                <w:vertAlign w:val="subscript"/>
              </w:rPr>
              <w:t>fuel</w:t>
            </w:r>
            <w:proofErr w:type="spellEnd"/>
          </w:p>
        </w:tc>
      </w:tr>
      <w:tr w:rsidR="007A6E95" w14:paraId="6B1B3EDB" w14:textId="77777777" w:rsidTr="007C644D">
        <w:trPr>
          <w:trHeight w:val="406"/>
        </w:trPr>
        <w:tc>
          <w:tcPr>
            <w:tcW w:w="3167" w:type="dxa"/>
            <w:tcBorders>
              <w:top w:val="nil"/>
              <w:left w:val="nil"/>
              <w:bottom w:val="nil"/>
              <w:right w:val="nil"/>
            </w:tcBorders>
          </w:tcPr>
          <w:p w14:paraId="73D8BA90" w14:textId="77777777" w:rsidR="007A6E95" w:rsidRDefault="007A6E95" w:rsidP="007C644D">
            <w:pPr>
              <w:spacing w:after="0" w:line="259" w:lineRule="auto"/>
              <w:ind w:left="120" w:firstLine="0"/>
              <w:jc w:val="left"/>
            </w:pPr>
            <w:r>
              <w:t>Sulphur</w:t>
            </w:r>
          </w:p>
        </w:tc>
        <w:tc>
          <w:tcPr>
            <w:tcW w:w="2111" w:type="dxa"/>
            <w:tcBorders>
              <w:top w:val="nil"/>
              <w:left w:val="nil"/>
              <w:bottom w:val="nil"/>
              <w:right w:val="nil"/>
            </w:tcBorders>
          </w:tcPr>
          <w:p w14:paraId="5C7A18F1"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0175</w:t>
            </w:r>
          </w:p>
        </w:tc>
        <w:tc>
          <w:tcPr>
            <w:tcW w:w="1274" w:type="dxa"/>
            <w:tcBorders>
              <w:top w:val="nil"/>
              <w:left w:val="nil"/>
              <w:bottom w:val="nil"/>
              <w:right w:val="nil"/>
            </w:tcBorders>
            <w:vAlign w:val="center"/>
          </w:tcPr>
          <w:p w14:paraId="531BC32C" w14:textId="77777777" w:rsidR="007A6E95" w:rsidRDefault="007A6E95" w:rsidP="007C644D">
            <w:pPr>
              <w:spacing w:after="0" w:line="259" w:lineRule="auto"/>
              <w:ind w:left="0" w:firstLine="0"/>
              <w:jc w:val="left"/>
            </w:pPr>
            <w:r>
              <w:rPr>
                <w:rFonts w:ascii="Cambria" w:eastAsia="Cambria" w:hAnsi="Cambria" w:cs="Cambria"/>
                <w:i/>
              </w:rPr>
              <w:t>kg/</w:t>
            </w:r>
            <w:proofErr w:type="spellStart"/>
            <w:r>
              <w:rPr>
                <w:rFonts w:ascii="Cambria" w:eastAsia="Cambria" w:hAnsi="Cambria" w:cs="Cambria"/>
                <w:i/>
              </w:rPr>
              <w:t>kg</w:t>
            </w:r>
            <w:r>
              <w:rPr>
                <w:rFonts w:ascii="Cambria" w:eastAsia="Cambria" w:hAnsi="Cambria" w:cs="Cambria"/>
                <w:i/>
                <w:vertAlign w:val="subscript"/>
              </w:rPr>
              <w:t>fuel</w:t>
            </w:r>
            <w:proofErr w:type="spellEnd"/>
          </w:p>
        </w:tc>
      </w:tr>
      <w:tr w:rsidR="007A6E95" w14:paraId="547E2DC6" w14:textId="77777777" w:rsidTr="007C644D">
        <w:trPr>
          <w:trHeight w:val="396"/>
        </w:trPr>
        <w:tc>
          <w:tcPr>
            <w:tcW w:w="3167" w:type="dxa"/>
            <w:tcBorders>
              <w:top w:val="nil"/>
              <w:left w:val="nil"/>
              <w:bottom w:val="nil"/>
              <w:right w:val="nil"/>
            </w:tcBorders>
          </w:tcPr>
          <w:p w14:paraId="0F474987" w14:textId="77777777" w:rsidR="007A6E95" w:rsidRDefault="007A6E95" w:rsidP="007C644D">
            <w:pPr>
              <w:spacing w:after="0" w:line="259" w:lineRule="auto"/>
              <w:ind w:left="120" w:firstLine="0"/>
              <w:jc w:val="left"/>
            </w:pPr>
            <w:r>
              <w:rPr>
                <w:i/>
              </w:rPr>
              <w:t>Proximate analysis - (AR)</w:t>
            </w:r>
          </w:p>
        </w:tc>
        <w:tc>
          <w:tcPr>
            <w:tcW w:w="2111" w:type="dxa"/>
            <w:tcBorders>
              <w:top w:val="nil"/>
              <w:left w:val="nil"/>
              <w:bottom w:val="nil"/>
              <w:right w:val="nil"/>
            </w:tcBorders>
          </w:tcPr>
          <w:p w14:paraId="3CDC7E29" w14:textId="77777777" w:rsidR="007A6E95" w:rsidRDefault="007A6E95" w:rsidP="007C644D">
            <w:pPr>
              <w:spacing w:after="0" w:line="259" w:lineRule="auto"/>
              <w:ind w:left="0" w:firstLine="0"/>
              <w:jc w:val="left"/>
            </w:pPr>
            <w:r>
              <w:rPr>
                <w:i/>
              </w:rPr>
              <w:t>-</w:t>
            </w:r>
          </w:p>
        </w:tc>
        <w:tc>
          <w:tcPr>
            <w:tcW w:w="1274" w:type="dxa"/>
            <w:tcBorders>
              <w:top w:val="nil"/>
              <w:left w:val="nil"/>
              <w:bottom w:val="nil"/>
              <w:right w:val="nil"/>
            </w:tcBorders>
          </w:tcPr>
          <w:p w14:paraId="71E0B49F" w14:textId="77777777" w:rsidR="007A6E95" w:rsidRDefault="007A6E95" w:rsidP="007C644D">
            <w:pPr>
              <w:spacing w:after="0" w:line="259" w:lineRule="auto"/>
              <w:ind w:left="0" w:firstLine="0"/>
              <w:jc w:val="left"/>
            </w:pPr>
            <w:r>
              <w:rPr>
                <w:i/>
              </w:rPr>
              <w:t>-</w:t>
            </w:r>
          </w:p>
        </w:tc>
      </w:tr>
      <w:tr w:rsidR="007A6E95" w14:paraId="041E4660" w14:textId="77777777" w:rsidTr="007C644D">
        <w:trPr>
          <w:trHeight w:val="416"/>
        </w:trPr>
        <w:tc>
          <w:tcPr>
            <w:tcW w:w="3167" w:type="dxa"/>
            <w:tcBorders>
              <w:top w:val="nil"/>
              <w:left w:val="nil"/>
              <w:bottom w:val="nil"/>
              <w:right w:val="nil"/>
            </w:tcBorders>
            <w:vAlign w:val="center"/>
          </w:tcPr>
          <w:p w14:paraId="07AEE212" w14:textId="77777777" w:rsidR="007A6E95" w:rsidRDefault="007A6E95" w:rsidP="007C644D">
            <w:pPr>
              <w:spacing w:after="0" w:line="259" w:lineRule="auto"/>
              <w:ind w:left="120" w:firstLine="0"/>
              <w:jc w:val="left"/>
            </w:pPr>
            <w:r>
              <w:t>Fixed carbon</w:t>
            </w:r>
          </w:p>
        </w:tc>
        <w:tc>
          <w:tcPr>
            <w:tcW w:w="2111" w:type="dxa"/>
            <w:tcBorders>
              <w:top w:val="nil"/>
              <w:left w:val="nil"/>
              <w:bottom w:val="nil"/>
              <w:right w:val="nil"/>
            </w:tcBorders>
            <w:vAlign w:val="center"/>
          </w:tcPr>
          <w:p w14:paraId="5B23778C"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340</w:t>
            </w:r>
          </w:p>
        </w:tc>
        <w:tc>
          <w:tcPr>
            <w:tcW w:w="1274" w:type="dxa"/>
            <w:tcBorders>
              <w:top w:val="nil"/>
              <w:left w:val="nil"/>
              <w:bottom w:val="nil"/>
              <w:right w:val="nil"/>
            </w:tcBorders>
            <w:vAlign w:val="center"/>
          </w:tcPr>
          <w:p w14:paraId="7AAE19BC" w14:textId="77777777" w:rsidR="007A6E95" w:rsidRDefault="007A6E95" w:rsidP="007C644D">
            <w:pPr>
              <w:spacing w:after="0" w:line="259" w:lineRule="auto"/>
              <w:ind w:left="0" w:firstLine="0"/>
              <w:jc w:val="left"/>
            </w:pPr>
            <w:r>
              <w:rPr>
                <w:rFonts w:ascii="Cambria" w:eastAsia="Cambria" w:hAnsi="Cambria" w:cs="Cambria"/>
                <w:i/>
              </w:rPr>
              <w:t>kg/</w:t>
            </w:r>
            <w:proofErr w:type="spellStart"/>
            <w:r>
              <w:rPr>
                <w:rFonts w:ascii="Cambria" w:eastAsia="Cambria" w:hAnsi="Cambria" w:cs="Cambria"/>
                <w:i/>
              </w:rPr>
              <w:t>kg</w:t>
            </w:r>
            <w:r>
              <w:rPr>
                <w:rFonts w:ascii="Cambria" w:eastAsia="Cambria" w:hAnsi="Cambria" w:cs="Cambria"/>
                <w:i/>
                <w:vertAlign w:val="subscript"/>
              </w:rPr>
              <w:t>fuel</w:t>
            </w:r>
            <w:proofErr w:type="spellEnd"/>
          </w:p>
        </w:tc>
      </w:tr>
      <w:tr w:rsidR="007A6E95" w14:paraId="4838F72F" w14:textId="77777777" w:rsidTr="007C644D">
        <w:trPr>
          <w:trHeight w:val="406"/>
        </w:trPr>
        <w:tc>
          <w:tcPr>
            <w:tcW w:w="3167" w:type="dxa"/>
            <w:tcBorders>
              <w:top w:val="nil"/>
              <w:left w:val="nil"/>
              <w:bottom w:val="nil"/>
              <w:right w:val="nil"/>
            </w:tcBorders>
          </w:tcPr>
          <w:p w14:paraId="187E74C5" w14:textId="77777777" w:rsidR="007A6E95" w:rsidRDefault="007A6E95" w:rsidP="007C644D">
            <w:pPr>
              <w:spacing w:after="0" w:line="259" w:lineRule="auto"/>
              <w:ind w:left="120" w:firstLine="0"/>
              <w:jc w:val="left"/>
            </w:pPr>
            <w:r>
              <w:t>Volatile matter</w:t>
            </w:r>
          </w:p>
        </w:tc>
        <w:tc>
          <w:tcPr>
            <w:tcW w:w="2111" w:type="dxa"/>
            <w:tcBorders>
              <w:top w:val="nil"/>
              <w:left w:val="nil"/>
              <w:bottom w:val="nil"/>
              <w:right w:val="nil"/>
            </w:tcBorders>
          </w:tcPr>
          <w:p w14:paraId="46525D44"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196</w:t>
            </w:r>
          </w:p>
        </w:tc>
        <w:tc>
          <w:tcPr>
            <w:tcW w:w="1274" w:type="dxa"/>
            <w:tcBorders>
              <w:top w:val="nil"/>
              <w:left w:val="nil"/>
              <w:bottom w:val="nil"/>
              <w:right w:val="nil"/>
            </w:tcBorders>
            <w:vAlign w:val="center"/>
          </w:tcPr>
          <w:p w14:paraId="60D0E047" w14:textId="77777777" w:rsidR="007A6E95" w:rsidRDefault="007A6E95" w:rsidP="007C644D">
            <w:pPr>
              <w:spacing w:after="0" w:line="259" w:lineRule="auto"/>
              <w:ind w:left="0" w:firstLine="0"/>
              <w:jc w:val="left"/>
            </w:pPr>
            <w:r>
              <w:rPr>
                <w:rFonts w:ascii="Cambria" w:eastAsia="Cambria" w:hAnsi="Cambria" w:cs="Cambria"/>
                <w:i/>
              </w:rPr>
              <w:t>kg/</w:t>
            </w:r>
            <w:proofErr w:type="spellStart"/>
            <w:r>
              <w:rPr>
                <w:rFonts w:ascii="Cambria" w:eastAsia="Cambria" w:hAnsi="Cambria" w:cs="Cambria"/>
                <w:i/>
              </w:rPr>
              <w:t>kg</w:t>
            </w:r>
            <w:r>
              <w:rPr>
                <w:rFonts w:ascii="Cambria" w:eastAsia="Cambria" w:hAnsi="Cambria" w:cs="Cambria"/>
                <w:i/>
                <w:vertAlign w:val="subscript"/>
              </w:rPr>
              <w:t>fuel</w:t>
            </w:r>
            <w:proofErr w:type="spellEnd"/>
          </w:p>
        </w:tc>
      </w:tr>
      <w:tr w:rsidR="007A6E95" w14:paraId="016C4EDD" w14:textId="77777777" w:rsidTr="007C644D">
        <w:trPr>
          <w:trHeight w:val="406"/>
        </w:trPr>
        <w:tc>
          <w:tcPr>
            <w:tcW w:w="3167" w:type="dxa"/>
            <w:tcBorders>
              <w:top w:val="nil"/>
              <w:left w:val="nil"/>
              <w:bottom w:val="nil"/>
              <w:right w:val="nil"/>
            </w:tcBorders>
          </w:tcPr>
          <w:p w14:paraId="4C6F956C" w14:textId="77777777" w:rsidR="007A6E95" w:rsidRDefault="007A6E95" w:rsidP="007C644D">
            <w:pPr>
              <w:spacing w:after="0" w:line="259" w:lineRule="auto"/>
              <w:ind w:left="120" w:firstLine="0"/>
              <w:jc w:val="left"/>
            </w:pPr>
            <w:r>
              <w:t>Ash</w:t>
            </w:r>
          </w:p>
        </w:tc>
        <w:tc>
          <w:tcPr>
            <w:tcW w:w="2111" w:type="dxa"/>
            <w:tcBorders>
              <w:top w:val="nil"/>
              <w:left w:val="nil"/>
              <w:bottom w:val="nil"/>
              <w:right w:val="nil"/>
            </w:tcBorders>
          </w:tcPr>
          <w:p w14:paraId="6FC437C8"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4090</w:t>
            </w:r>
          </w:p>
        </w:tc>
        <w:tc>
          <w:tcPr>
            <w:tcW w:w="1274" w:type="dxa"/>
            <w:tcBorders>
              <w:top w:val="nil"/>
              <w:left w:val="nil"/>
              <w:bottom w:val="nil"/>
              <w:right w:val="nil"/>
            </w:tcBorders>
            <w:vAlign w:val="center"/>
          </w:tcPr>
          <w:p w14:paraId="559CF4E8" w14:textId="77777777" w:rsidR="007A6E95" w:rsidRDefault="007A6E95" w:rsidP="007C644D">
            <w:pPr>
              <w:spacing w:after="0" w:line="259" w:lineRule="auto"/>
              <w:ind w:left="0" w:firstLine="0"/>
              <w:jc w:val="left"/>
            </w:pPr>
            <w:r>
              <w:rPr>
                <w:rFonts w:ascii="Cambria" w:eastAsia="Cambria" w:hAnsi="Cambria" w:cs="Cambria"/>
                <w:i/>
              </w:rPr>
              <w:t>kg/</w:t>
            </w:r>
            <w:proofErr w:type="spellStart"/>
            <w:r>
              <w:rPr>
                <w:rFonts w:ascii="Cambria" w:eastAsia="Cambria" w:hAnsi="Cambria" w:cs="Cambria"/>
                <w:i/>
              </w:rPr>
              <w:t>kg</w:t>
            </w:r>
            <w:r>
              <w:rPr>
                <w:rFonts w:ascii="Cambria" w:eastAsia="Cambria" w:hAnsi="Cambria" w:cs="Cambria"/>
                <w:i/>
                <w:vertAlign w:val="subscript"/>
              </w:rPr>
              <w:t>fuel</w:t>
            </w:r>
            <w:proofErr w:type="spellEnd"/>
          </w:p>
        </w:tc>
      </w:tr>
      <w:tr w:rsidR="007A6E95" w14:paraId="7C3903E1" w14:textId="77777777" w:rsidTr="007C644D">
        <w:trPr>
          <w:trHeight w:val="374"/>
        </w:trPr>
        <w:tc>
          <w:tcPr>
            <w:tcW w:w="3167" w:type="dxa"/>
            <w:tcBorders>
              <w:top w:val="nil"/>
              <w:left w:val="nil"/>
              <w:bottom w:val="single" w:sz="3" w:space="0" w:color="000000"/>
              <w:right w:val="nil"/>
            </w:tcBorders>
          </w:tcPr>
          <w:p w14:paraId="331A1AF3" w14:textId="77777777" w:rsidR="007A6E95" w:rsidRDefault="007A6E95" w:rsidP="007C644D">
            <w:pPr>
              <w:spacing w:after="0" w:line="259" w:lineRule="auto"/>
              <w:ind w:left="120" w:firstLine="0"/>
              <w:jc w:val="left"/>
            </w:pPr>
            <w:r>
              <w:t>Moisture</w:t>
            </w:r>
          </w:p>
        </w:tc>
        <w:tc>
          <w:tcPr>
            <w:tcW w:w="2111" w:type="dxa"/>
            <w:tcBorders>
              <w:top w:val="nil"/>
              <w:left w:val="nil"/>
              <w:bottom w:val="single" w:sz="3" w:space="0" w:color="000000"/>
              <w:right w:val="nil"/>
            </w:tcBorders>
          </w:tcPr>
          <w:p w14:paraId="0B88ABA2"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0550</w:t>
            </w:r>
          </w:p>
        </w:tc>
        <w:tc>
          <w:tcPr>
            <w:tcW w:w="1274" w:type="dxa"/>
            <w:tcBorders>
              <w:top w:val="nil"/>
              <w:left w:val="nil"/>
              <w:bottom w:val="single" w:sz="3" w:space="0" w:color="000000"/>
              <w:right w:val="nil"/>
            </w:tcBorders>
          </w:tcPr>
          <w:p w14:paraId="152D0C2E" w14:textId="77777777" w:rsidR="007A6E95" w:rsidRDefault="007A6E95" w:rsidP="007C644D">
            <w:pPr>
              <w:spacing w:after="0" w:line="259" w:lineRule="auto"/>
              <w:ind w:left="0" w:firstLine="0"/>
              <w:jc w:val="left"/>
            </w:pPr>
            <w:r>
              <w:rPr>
                <w:rFonts w:ascii="Cambria" w:eastAsia="Cambria" w:hAnsi="Cambria" w:cs="Cambria"/>
                <w:i/>
              </w:rPr>
              <w:t>kg/</w:t>
            </w:r>
            <w:proofErr w:type="spellStart"/>
            <w:r>
              <w:rPr>
                <w:rFonts w:ascii="Cambria" w:eastAsia="Cambria" w:hAnsi="Cambria" w:cs="Cambria"/>
                <w:i/>
              </w:rPr>
              <w:t>kg</w:t>
            </w:r>
            <w:r>
              <w:rPr>
                <w:rFonts w:ascii="Cambria" w:eastAsia="Cambria" w:hAnsi="Cambria" w:cs="Cambria"/>
                <w:i/>
                <w:vertAlign w:val="subscript"/>
              </w:rPr>
              <w:t>fuel</w:t>
            </w:r>
            <w:proofErr w:type="spellEnd"/>
          </w:p>
        </w:tc>
      </w:tr>
      <w:tr w:rsidR="007A6E95" w14:paraId="36D66EA3" w14:textId="77777777" w:rsidTr="007C644D">
        <w:trPr>
          <w:trHeight w:val="414"/>
        </w:trPr>
        <w:tc>
          <w:tcPr>
            <w:tcW w:w="3167" w:type="dxa"/>
            <w:tcBorders>
              <w:top w:val="single" w:sz="3" w:space="0" w:color="000000"/>
              <w:left w:val="nil"/>
              <w:bottom w:val="single" w:sz="3" w:space="0" w:color="000000"/>
              <w:right w:val="nil"/>
            </w:tcBorders>
          </w:tcPr>
          <w:p w14:paraId="3256DC04" w14:textId="77777777" w:rsidR="007A6E95" w:rsidRDefault="007A6E95" w:rsidP="007C644D">
            <w:pPr>
              <w:spacing w:after="0" w:line="259" w:lineRule="auto"/>
              <w:ind w:left="120" w:firstLine="0"/>
              <w:jc w:val="left"/>
            </w:pPr>
            <w:r>
              <w:rPr>
                <w:b/>
              </w:rPr>
              <w:t>Energy content - (DAF)</w:t>
            </w:r>
          </w:p>
        </w:tc>
        <w:tc>
          <w:tcPr>
            <w:tcW w:w="2111" w:type="dxa"/>
            <w:tcBorders>
              <w:top w:val="single" w:sz="3" w:space="0" w:color="000000"/>
              <w:left w:val="nil"/>
              <w:bottom w:val="single" w:sz="3" w:space="0" w:color="000000"/>
              <w:right w:val="nil"/>
            </w:tcBorders>
          </w:tcPr>
          <w:p w14:paraId="49435EB1" w14:textId="77777777" w:rsidR="007A6E95" w:rsidRDefault="007A6E95" w:rsidP="007C644D">
            <w:pPr>
              <w:spacing w:after="0" w:line="259" w:lineRule="auto"/>
              <w:ind w:left="0" w:firstLine="0"/>
              <w:jc w:val="left"/>
            </w:pPr>
            <w:r>
              <w:rPr>
                <w:b/>
              </w:rPr>
              <w:t>Value</w:t>
            </w:r>
          </w:p>
        </w:tc>
        <w:tc>
          <w:tcPr>
            <w:tcW w:w="1274" w:type="dxa"/>
            <w:tcBorders>
              <w:top w:val="single" w:sz="3" w:space="0" w:color="000000"/>
              <w:left w:val="nil"/>
              <w:bottom w:val="single" w:sz="3" w:space="0" w:color="000000"/>
              <w:right w:val="nil"/>
            </w:tcBorders>
          </w:tcPr>
          <w:p w14:paraId="389492F4" w14:textId="77777777" w:rsidR="007A6E95" w:rsidRDefault="007A6E95" w:rsidP="007C644D">
            <w:pPr>
              <w:spacing w:after="160" w:line="259" w:lineRule="auto"/>
              <w:ind w:left="0" w:firstLine="0"/>
              <w:jc w:val="left"/>
            </w:pPr>
          </w:p>
        </w:tc>
      </w:tr>
      <w:tr w:rsidR="007A6E95" w14:paraId="7E25457B" w14:textId="77777777" w:rsidTr="007C644D">
        <w:trPr>
          <w:trHeight w:val="414"/>
        </w:trPr>
        <w:tc>
          <w:tcPr>
            <w:tcW w:w="3167" w:type="dxa"/>
            <w:tcBorders>
              <w:top w:val="single" w:sz="3" w:space="0" w:color="000000"/>
              <w:left w:val="nil"/>
              <w:bottom w:val="single" w:sz="3" w:space="0" w:color="000000"/>
              <w:right w:val="nil"/>
            </w:tcBorders>
          </w:tcPr>
          <w:p w14:paraId="5B5F2E71" w14:textId="77777777" w:rsidR="007A6E95" w:rsidRDefault="007A6E95" w:rsidP="007C644D">
            <w:pPr>
              <w:spacing w:after="0" w:line="259" w:lineRule="auto"/>
              <w:ind w:left="120" w:firstLine="0"/>
              <w:jc w:val="left"/>
            </w:pPr>
            <w:r>
              <w:t>Higher heating value</w:t>
            </w:r>
          </w:p>
        </w:tc>
        <w:tc>
          <w:tcPr>
            <w:tcW w:w="2111" w:type="dxa"/>
            <w:tcBorders>
              <w:top w:val="single" w:sz="3" w:space="0" w:color="000000"/>
              <w:left w:val="nil"/>
              <w:bottom w:val="single" w:sz="3" w:space="0" w:color="000000"/>
              <w:right w:val="nil"/>
            </w:tcBorders>
          </w:tcPr>
          <w:p w14:paraId="6D858CF9" w14:textId="77777777" w:rsidR="007A6E95" w:rsidRDefault="007A6E95" w:rsidP="007C644D">
            <w:pPr>
              <w:spacing w:after="0" w:line="259" w:lineRule="auto"/>
              <w:ind w:left="0" w:firstLine="0"/>
              <w:jc w:val="left"/>
            </w:pPr>
            <w:r>
              <w:rPr>
                <w:rFonts w:ascii="Cambria" w:eastAsia="Cambria" w:hAnsi="Cambria" w:cs="Cambria"/>
              </w:rPr>
              <w:t>15070</w:t>
            </w:r>
          </w:p>
        </w:tc>
        <w:tc>
          <w:tcPr>
            <w:tcW w:w="1274" w:type="dxa"/>
            <w:tcBorders>
              <w:top w:val="single" w:sz="3" w:space="0" w:color="000000"/>
              <w:left w:val="nil"/>
              <w:bottom w:val="single" w:sz="3" w:space="0" w:color="000000"/>
              <w:right w:val="nil"/>
            </w:tcBorders>
          </w:tcPr>
          <w:p w14:paraId="377E2A30" w14:textId="77777777" w:rsidR="007A6E95" w:rsidRDefault="007A6E95" w:rsidP="007C644D">
            <w:pPr>
              <w:spacing w:after="0" w:line="259" w:lineRule="auto"/>
              <w:ind w:left="0" w:firstLine="0"/>
              <w:jc w:val="left"/>
            </w:pPr>
            <w:r>
              <w:rPr>
                <w:rFonts w:ascii="Cambria" w:eastAsia="Cambria" w:hAnsi="Cambria" w:cs="Cambria"/>
                <w:i/>
              </w:rPr>
              <w:t>kJ/</w:t>
            </w:r>
            <w:proofErr w:type="spellStart"/>
            <w:r>
              <w:rPr>
                <w:rFonts w:ascii="Cambria" w:eastAsia="Cambria" w:hAnsi="Cambria" w:cs="Cambria"/>
                <w:i/>
              </w:rPr>
              <w:t>kg</w:t>
            </w:r>
            <w:r>
              <w:rPr>
                <w:rFonts w:ascii="Cambria" w:eastAsia="Cambria" w:hAnsi="Cambria" w:cs="Cambria"/>
                <w:i/>
                <w:vertAlign w:val="subscript"/>
              </w:rPr>
              <w:t>fuel</w:t>
            </w:r>
            <w:proofErr w:type="spellEnd"/>
          </w:p>
        </w:tc>
      </w:tr>
    </w:tbl>
    <w:p w14:paraId="6844AFBB" w14:textId="77777777" w:rsidR="007A6E95" w:rsidRDefault="007A6E95">
      <w:pPr>
        <w:spacing w:after="160" w:line="259" w:lineRule="auto"/>
        <w:ind w:left="0" w:firstLine="0"/>
        <w:jc w:val="left"/>
      </w:pPr>
      <w:r>
        <w:br w:type="page"/>
      </w:r>
    </w:p>
    <w:p w14:paraId="0CF8F07A" w14:textId="77777777" w:rsidR="007A6E95" w:rsidRDefault="007A6E95" w:rsidP="007A6E95">
      <w:pPr>
        <w:tabs>
          <w:tab w:val="center" w:pos="2922"/>
          <w:tab w:val="center" w:pos="5037"/>
        </w:tabs>
        <w:spacing w:after="3" w:line="265" w:lineRule="auto"/>
        <w:ind w:left="0" w:firstLine="0"/>
        <w:jc w:val="left"/>
      </w:pPr>
      <w:r>
        <w:lastRenderedPageBreak/>
        <w:tab/>
      </w:r>
      <w:r>
        <w:rPr>
          <w:sz w:val="16"/>
        </w:rPr>
        <w:t>Table 3.</w:t>
      </w:r>
      <w:r>
        <w:rPr>
          <w:sz w:val="16"/>
        </w:rPr>
        <w:tab/>
        <w:t>Case 1 to 6 model inputs on a per burner basis.</w:t>
      </w:r>
    </w:p>
    <w:tbl>
      <w:tblPr>
        <w:tblStyle w:val="TableGrid"/>
        <w:tblW w:w="6552" w:type="dxa"/>
        <w:tblInd w:w="1404" w:type="dxa"/>
        <w:tblCellMar>
          <w:top w:w="102" w:type="dxa"/>
          <w:right w:w="115" w:type="dxa"/>
        </w:tblCellMar>
        <w:tblLook w:val="04A0" w:firstRow="1" w:lastRow="0" w:firstColumn="1" w:lastColumn="0" w:noHBand="0" w:noVBand="1"/>
      </w:tblPr>
      <w:tblGrid>
        <w:gridCol w:w="2886"/>
        <w:gridCol w:w="2345"/>
        <w:gridCol w:w="1321"/>
      </w:tblGrid>
      <w:tr w:rsidR="007A6E95" w14:paraId="429B4456" w14:textId="77777777" w:rsidTr="007C644D">
        <w:trPr>
          <w:trHeight w:val="414"/>
        </w:trPr>
        <w:tc>
          <w:tcPr>
            <w:tcW w:w="2886" w:type="dxa"/>
            <w:tcBorders>
              <w:top w:val="single" w:sz="3" w:space="0" w:color="000000"/>
              <w:left w:val="nil"/>
              <w:bottom w:val="single" w:sz="3" w:space="0" w:color="000000"/>
              <w:right w:val="nil"/>
            </w:tcBorders>
          </w:tcPr>
          <w:p w14:paraId="452E250D" w14:textId="77777777" w:rsidR="007A6E95" w:rsidRDefault="007A6E95" w:rsidP="007C644D">
            <w:pPr>
              <w:spacing w:after="0" w:line="259" w:lineRule="auto"/>
              <w:ind w:left="120" w:firstLine="0"/>
              <w:jc w:val="left"/>
            </w:pPr>
            <w:r>
              <w:t>Active burners</w:t>
            </w:r>
          </w:p>
        </w:tc>
        <w:tc>
          <w:tcPr>
            <w:tcW w:w="2345" w:type="dxa"/>
            <w:tcBorders>
              <w:top w:val="single" w:sz="3" w:space="0" w:color="000000"/>
              <w:left w:val="nil"/>
              <w:bottom w:val="single" w:sz="3" w:space="0" w:color="000000"/>
              <w:right w:val="nil"/>
            </w:tcBorders>
          </w:tcPr>
          <w:p w14:paraId="16504E6C" w14:textId="77777777" w:rsidR="007A6E95" w:rsidRDefault="007A6E95" w:rsidP="007C644D">
            <w:pPr>
              <w:spacing w:after="0" w:line="259" w:lineRule="auto"/>
              <w:ind w:left="0" w:firstLine="0"/>
              <w:jc w:val="left"/>
            </w:pPr>
            <w:r>
              <w:rPr>
                <w:b/>
              </w:rPr>
              <w:t>Cases 1 - 3</w:t>
            </w:r>
          </w:p>
        </w:tc>
        <w:tc>
          <w:tcPr>
            <w:tcW w:w="1321" w:type="dxa"/>
            <w:tcBorders>
              <w:top w:val="single" w:sz="3" w:space="0" w:color="000000"/>
              <w:left w:val="nil"/>
              <w:bottom w:val="single" w:sz="3" w:space="0" w:color="000000"/>
              <w:right w:val="nil"/>
            </w:tcBorders>
          </w:tcPr>
          <w:p w14:paraId="21DD51E3" w14:textId="77777777" w:rsidR="007A6E95" w:rsidRDefault="007A6E95" w:rsidP="007C644D">
            <w:pPr>
              <w:spacing w:after="0" w:line="259" w:lineRule="auto"/>
              <w:ind w:left="0" w:firstLine="0"/>
              <w:jc w:val="left"/>
            </w:pPr>
            <w:r>
              <w:rPr>
                <w:b/>
              </w:rPr>
              <w:t>Cases 4 - 6</w:t>
            </w:r>
          </w:p>
        </w:tc>
      </w:tr>
      <w:tr w:rsidR="007A6E95" w14:paraId="74BAEE22" w14:textId="77777777" w:rsidTr="007C644D">
        <w:trPr>
          <w:trHeight w:val="437"/>
        </w:trPr>
        <w:tc>
          <w:tcPr>
            <w:tcW w:w="2886" w:type="dxa"/>
            <w:tcBorders>
              <w:top w:val="single" w:sz="3" w:space="0" w:color="000000"/>
              <w:left w:val="nil"/>
              <w:bottom w:val="nil"/>
              <w:right w:val="nil"/>
            </w:tcBorders>
            <w:vAlign w:val="center"/>
          </w:tcPr>
          <w:p w14:paraId="59996D09" w14:textId="77777777" w:rsidR="007A6E95" w:rsidRDefault="007A6E95" w:rsidP="007C644D">
            <w:pPr>
              <w:spacing w:after="0" w:line="259" w:lineRule="auto"/>
              <w:ind w:left="120" w:firstLine="0"/>
              <w:jc w:val="left"/>
            </w:pPr>
            <w:r>
              <w:rPr>
                <w:b/>
              </w:rPr>
              <w:t xml:space="preserve">Fuel flowrate </w:t>
            </w:r>
            <w:r>
              <w:t>[</w:t>
            </w:r>
            <w:r>
              <w:rPr>
                <w:rFonts w:ascii="Cambria" w:eastAsia="Cambria" w:hAnsi="Cambria" w:cs="Cambria"/>
                <w:i/>
              </w:rPr>
              <w:t>kg/s</w:t>
            </w:r>
            <w:r>
              <w:t>]</w:t>
            </w:r>
          </w:p>
        </w:tc>
        <w:tc>
          <w:tcPr>
            <w:tcW w:w="2345" w:type="dxa"/>
            <w:tcBorders>
              <w:top w:val="single" w:sz="3" w:space="0" w:color="000000"/>
              <w:left w:val="nil"/>
              <w:bottom w:val="nil"/>
              <w:right w:val="nil"/>
            </w:tcBorders>
            <w:vAlign w:val="center"/>
          </w:tcPr>
          <w:p w14:paraId="6DF8CB48" w14:textId="77777777" w:rsidR="007A6E95" w:rsidRDefault="007A6E95" w:rsidP="007C644D">
            <w:pPr>
              <w:spacing w:after="0" w:line="259" w:lineRule="auto"/>
              <w:ind w:left="0" w:firstLine="0"/>
              <w:jc w:val="left"/>
            </w:pPr>
            <w:r>
              <w:t>3.14</w:t>
            </w:r>
          </w:p>
        </w:tc>
        <w:tc>
          <w:tcPr>
            <w:tcW w:w="1321" w:type="dxa"/>
            <w:tcBorders>
              <w:top w:val="single" w:sz="3" w:space="0" w:color="000000"/>
              <w:left w:val="nil"/>
              <w:bottom w:val="nil"/>
              <w:right w:val="nil"/>
            </w:tcBorders>
            <w:vAlign w:val="center"/>
          </w:tcPr>
          <w:p w14:paraId="7C9B8143" w14:textId="77777777" w:rsidR="007A6E95" w:rsidRDefault="007A6E95" w:rsidP="007C644D">
            <w:pPr>
              <w:spacing w:after="0" w:line="259" w:lineRule="auto"/>
              <w:ind w:left="0" w:firstLine="0"/>
              <w:jc w:val="left"/>
            </w:pPr>
            <w:r>
              <w:t>3.14</w:t>
            </w:r>
          </w:p>
        </w:tc>
      </w:tr>
      <w:tr w:rsidR="007A6E95" w14:paraId="17D106BF" w14:textId="77777777" w:rsidTr="007C644D">
        <w:trPr>
          <w:trHeight w:val="406"/>
        </w:trPr>
        <w:tc>
          <w:tcPr>
            <w:tcW w:w="2886" w:type="dxa"/>
            <w:tcBorders>
              <w:top w:val="nil"/>
              <w:left w:val="nil"/>
              <w:bottom w:val="nil"/>
              <w:right w:val="nil"/>
            </w:tcBorders>
            <w:vAlign w:val="center"/>
          </w:tcPr>
          <w:p w14:paraId="424E85DD" w14:textId="77777777" w:rsidR="007A6E95" w:rsidRDefault="007A6E95" w:rsidP="007C644D">
            <w:pPr>
              <w:spacing w:after="0" w:line="259" w:lineRule="auto"/>
              <w:ind w:left="120" w:firstLine="0"/>
              <w:jc w:val="left"/>
            </w:pPr>
            <w:r>
              <w:rPr>
                <w:b/>
              </w:rPr>
              <w:t xml:space="preserve">PA flowrate </w:t>
            </w:r>
            <w:r>
              <w:t>[</w:t>
            </w:r>
            <w:r>
              <w:rPr>
                <w:rFonts w:ascii="Cambria" w:eastAsia="Cambria" w:hAnsi="Cambria" w:cs="Cambria"/>
                <w:i/>
              </w:rPr>
              <w:t>kg/s</w:t>
            </w:r>
            <w:r>
              <w:t>]</w:t>
            </w:r>
          </w:p>
        </w:tc>
        <w:tc>
          <w:tcPr>
            <w:tcW w:w="2345" w:type="dxa"/>
            <w:tcBorders>
              <w:top w:val="nil"/>
              <w:left w:val="nil"/>
              <w:bottom w:val="nil"/>
              <w:right w:val="nil"/>
            </w:tcBorders>
            <w:vAlign w:val="center"/>
          </w:tcPr>
          <w:p w14:paraId="59723E55" w14:textId="77777777" w:rsidR="007A6E95" w:rsidRDefault="007A6E95" w:rsidP="007C644D">
            <w:pPr>
              <w:spacing w:after="0" w:line="259" w:lineRule="auto"/>
              <w:ind w:left="0" w:firstLine="0"/>
              <w:jc w:val="left"/>
            </w:pPr>
            <w:r>
              <w:t>4.95</w:t>
            </w:r>
          </w:p>
        </w:tc>
        <w:tc>
          <w:tcPr>
            <w:tcW w:w="1321" w:type="dxa"/>
            <w:tcBorders>
              <w:top w:val="nil"/>
              <w:left w:val="nil"/>
              <w:bottom w:val="nil"/>
              <w:right w:val="nil"/>
            </w:tcBorders>
            <w:vAlign w:val="center"/>
          </w:tcPr>
          <w:p w14:paraId="0ECE34EC" w14:textId="77777777" w:rsidR="007A6E95" w:rsidRDefault="007A6E95" w:rsidP="007C644D">
            <w:pPr>
              <w:spacing w:after="0" w:line="259" w:lineRule="auto"/>
              <w:ind w:left="0" w:firstLine="0"/>
              <w:jc w:val="left"/>
            </w:pPr>
            <w:r>
              <w:t>4.95</w:t>
            </w:r>
          </w:p>
        </w:tc>
      </w:tr>
      <w:tr w:rsidR="007A6E95" w14:paraId="055A1622" w14:textId="77777777" w:rsidTr="007C644D">
        <w:trPr>
          <w:trHeight w:val="384"/>
        </w:trPr>
        <w:tc>
          <w:tcPr>
            <w:tcW w:w="2886" w:type="dxa"/>
            <w:tcBorders>
              <w:top w:val="nil"/>
              <w:left w:val="nil"/>
              <w:bottom w:val="single" w:sz="3" w:space="0" w:color="000000"/>
              <w:right w:val="nil"/>
            </w:tcBorders>
          </w:tcPr>
          <w:p w14:paraId="48FC8C07" w14:textId="77777777" w:rsidR="007A6E95" w:rsidRDefault="007A6E95" w:rsidP="007C644D">
            <w:pPr>
              <w:spacing w:after="0" w:line="259" w:lineRule="auto"/>
              <w:ind w:left="120" w:firstLine="0"/>
              <w:jc w:val="left"/>
            </w:pPr>
            <w:r>
              <w:rPr>
                <w:b/>
              </w:rPr>
              <w:t xml:space="preserve">SA flowrate </w:t>
            </w:r>
            <w:r>
              <w:t>[</w:t>
            </w:r>
            <w:r>
              <w:rPr>
                <w:rFonts w:ascii="Cambria" w:eastAsia="Cambria" w:hAnsi="Cambria" w:cs="Cambria"/>
                <w:i/>
              </w:rPr>
              <w:t>kg/s</w:t>
            </w:r>
            <w:r>
              <w:t>]</w:t>
            </w:r>
          </w:p>
        </w:tc>
        <w:tc>
          <w:tcPr>
            <w:tcW w:w="2345" w:type="dxa"/>
            <w:tcBorders>
              <w:top w:val="nil"/>
              <w:left w:val="nil"/>
              <w:bottom w:val="single" w:sz="3" w:space="0" w:color="000000"/>
              <w:right w:val="nil"/>
            </w:tcBorders>
          </w:tcPr>
          <w:p w14:paraId="1B94BCB1" w14:textId="77777777" w:rsidR="007A6E95" w:rsidRDefault="007A6E95" w:rsidP="007C644D">
            <w:pPr>
              <w:spacing w:after="0" w:line="259" w:lineRule="auto"/>
              <w:ind w:left="0" w:firstLine="0"/>
              <w:jc w:val="left"/>
            </w:pPr>
            <w:r>
              <w:t>14.85</w:t>
            </w:r>
          </w:p>
        </w:tc>
        <w:tc>
          <w:tcPr>
            <w:tcW w:w="1321" w:type="dxa"/>
            <w:tcBorders>
              <w:top w:val="nil"/>
              <w:left w:val="nil"/>
              <w:bottom w:val="single" w:sz="3" w:space="0" w:color="000000"/>
              <w:right w:val="nil"/>
            </w:tcBorders>
          </w:tcPr>
          <w:p w14:paraId="3417851A" w14:textId="77777777" w:rsidR="007A6E95" w:rsidRDefault="007A6E95" w:rsidP="007C644D">
            <w:pPr>
              <w:spacing w:after="0" w:line="259" w:lineRule="auto"/>
              <w:ind w:left="0" w:firstLine="0"/>
              <w:jc w:val="left"/>
            </w:pPr>
            <w:r>
              <w:t>14.85</w:t>
            </w:r>
          </w:p>
        </w:tc>
      </w:tr>
      <w:tr w:rsidR="007A6E95" w14:paraId="460D77F3" w14:textId="77777777" w:rsidTr="007C644D">
        <w:trPr>
          <w:trHeight w:val="414"/>
        </w:trPr>
        <w:tc>
          <w:tcPr>
            <w:tcW w:w="2886" w:type="dxa"/>
            <w:tcBorders>
              <w:top w:val="single" w:sz="3" w:space="0" w:color="000000"/>
              <w:left w:val="nil"/>
              <w:bottom w:val="single" w:sz="3" w:space="0" w:color="000000"/>
              <w:right w:val="nil"/>
            </w:tcBorders>
          </w:tcPr>
          <w:p w14:paraId="6C0FC81A" w14:textId="77777777" w:rsidR="007A6E95" w:rsidRDefault="007A6E95" w:rsidP="007C644D">
            <w:pPr>
              <w:spacing w:after="0" w:line="259" w:lineRule="auto"/>
              <w:ind w:left="120" w:firstLine="0"/>
              <w:jc w:val="left"/>
            </w:pPr>
            <w:r>
              <w:t>Non firing burners</w:t>
            </w:r>
          </w:p>
        </w:tc>
        <w:tc>
          <w:tcPr>
            <w:tcW w:w="2345" w:type="dxa"/>
            <w:tcBorders>
              <w:top w:val="single" w:sz="3" w:space="0" w:color="000000"/>
              <w:left w:val="nil"/>
              <w:bottom w:val="single" w:sz="3" w:space="0" w:color="000000"/>
              <w:right w:val="nil"/>
            </w:tcBorders>
          </w:tcPr>
          <w:p w14:paraId="347C7EAA" w14:textId="77777777" w:rsidR="007A6E95" w:rsidRDefault="007A6E95" w:rsidP="007C644D">
            <w:pPr>
              <w:spacing w:after="160" w:line="259" w:lineRule="auto"/>
              <w:ind w:left="0" w:firstLine="0"/>
              <w:jc w:val="left"/>
            </w:pPr>
          </w:p>
        </w:tc>
        <w:tc>
          <w:tcPr>
            <w:tcW w:w="1321" w:type="dxa"/>
            <w:tcBorders>
              <w:top w:val="single" w:sz="3" w:space="0" w:color="000000"/>
              <w:left w:val="nil"/>
              <w:bottom w:val="single" w:sz="3" w:space="0" w:color="000000"/>
              <w:right w:val="nil"/>
            </w:tcBorders>
          </w:tcPr>
          <w:p w14:paraId="271404EB" w14:textId="77777777" w:rsidR="007A6E95" w:rsidRDefault="007A6E95" w:rsidP="007C644D">
            <w:pPr>
              <w:spacing w:after="160" w:line="259" w:lineRule="auto"/>
              <w:ind w:left="0" w:firstLine="0"/>
              <w:jc w:val="left"/>
            </w:pPr>
          </w:p>
        </w:tc>
      </w:tr>
      <w:tr w:rsidR="007A6E95" w14:paraId="7E81E178" w14:textId="77777777" w:rsidTr="007C644D">
        <w:trPr>
          <w:trHeight w:val="414"/>
        </w:trPr>
        <w:tc>
          <w:tcPr>
            <w:tcW w:w="2886" w:type="dxa"/>
            <w:tcBorders>
              <w:top w:val="single" w:sz="3" w:space="0" w:color="000000"/>
              <w:left w:val="nil"/>
              <w:bottom w:val="single" w:sz="3" w:space="0" w:color="000000"/>
              <w:right w:val="nil"/>
            </w:tcBorders>
          </w:tcPr>
          <w:p w14:paraId="0DBF712F" w14:textId="77777777" w:rsidR="007A6E95" w:rsidRDefault="007A6E95" w:rsidP="007C644D">
            <w:pPr>
              <w:spacing w:after="0" w:line="259" w:lineRule="auto"/>
              <w:ind w:left="120" w:firstLine="0"/>
              <w:jc w:val="left"/>
            </w:pPr>
            <w:r>
              <w:rPr>
                <w:b/>
              </w:rPr>
              <w:t xml:space="preserve">SA flowrate </w:t>
            </w:r>
            <w:r>
              <w:t>[</w:t>
            </w:r>
            <w:r>
              <w:rPr>
                <w:rFonts w:ascii="Cambria" w:eastAsia="Cambria" w:hAnsi="Cambria" w:cs="Cambria"/>
                <w:i/>
              </w:rPr>
              <w:t>kg/s</w:t>
            </w:r>
            <w:r>
              <w:t>]</w:t>
            </w:r>
          </w:p>
        </w:tc>
        <w:tc>
          <w:tcPr>
            <w:tcW w:w="2345" w:type="dxa"/>
            <w:tcBorders>
              <w:top w:val="single" w:sz="3" w:space="0" w:color="000000"/>
              <w:left w:val="nil"/>
              <w:bottom w:val="single" w:sz="3" w:space="0" w:color="000000"/>
              <w:right w:val="nil"/>
            </w:tcBorders>
          </w:tcPr>
          <w:p w14:paraId="0465CBA1" w14:textId="77777777" w:rsidR="007A6E95" w:rsidRDefault="007A6E95" w:rsidP="007C644D">
            <w:pPr>
              <w:spacing w:after="0" w:line="259" w:lineRule="auto"/>
              <w:ind w:left="0" w:firstLine="0"/>
              <w:jc w:val="left"/>
            </w:pPr>
            <w:r>
              <w:t>5.0</w:t>
            </w:r>
          </w:p>
        </w:tc>
        <w:tc>
          <w:tcPr>
            <w:tcW w:w="1321" w:type="dxa"/>
            <w:tcBorders>
              <w:top w:val="single" w:sz="3" w:space="0" w:color="000000"/>
              <w:left w:val="nil"/>
              <w:bottom w:val="single" w:sz="3" w:space="0" w:color="000000"/>
              <w:right w:val="nil"/>
            </w:tcBorders>
          </w:tcPr>
          <w:p w14:paraId="504191C4" w14:textId="77777777" w:rsidR="007A6E95" w:rsidRDefault="007A6E95" w:rsidP="007C644D">
            <w:pPr>
              <w:spacing w:after="0" w:line="259" w:lineRule="auto"/>
              <w:ind w:left="0" w:firstLine="0"/>
              <w:jc w:val="left"/>
            </w:pPr>
            <w:r>
              <w:t>2.5</w:t>
            </w:r>
          </w:p>
        </w:tc>
      </w:tr>
      <w:tr w:rsidR="007A6E95" w14:paraId="54C2A30F" w14:textId="77777777" w:rsidTr="007C644D">
        <w:trPr>
          <w:trHeight w:val="414"/>
        </w:trPr>
        <w:tc>
          <w:tcPr>
            <w:tcW w:w="2886" w:type="dxa"/>
            <w:tcBorders>
              <w:top w:val="single" w:sz="3" w:space="0" w:color="000000"/>
              <w:left w:val="nil"/>
              <w:bottom w:val="single" w:sz="3" w:space="0" w:color="000000"/>
              <w:right w:val="nil"/>
            </w:tcBorders>
          </w:tcPr>
          <w:p w14:paraId="57B3AD8E" w14:textId="77777777" w:rsidR="007A6E95" w:rsidRDefault="007A6E95" w:rsidP="007C644D">
            <w:pPr>
              <w:spacing w:after="0" w:line="259" w:lineRule="auto"/>
              <w:ind w:left="120" w:firstLine="0"/>
              <w:jc w:val="left"/>
            </w:pPr>
            <w:r>
              <w:t>Input air temperatures</w:t>
            </w:r>
          </w:p>
        </w:tc>
        <w:tc>
          <w:tcPr>
            <w:tcW w:w="2345" w:type="dxa"/>
            <w:tcBorders>
              <w:top w:val="single" w:sz="3" w:space="0" w:color="000000"/>
              <w:left w:val="nil"/>
              <w:bottom w:val="single" w:sz="3" w:space="0" w:color="000000"/>
              <w:right w:val="nil"/>
            </w:tcBorders>
          </w:tcPr>
          <w:p w14:paraId="23160F42" w14:textId="77777777" w:rsidR="007A6E95" w:rsidRDefault="007A6E95" w:rsidP="007C644D">
            <w:pPr>
              <w:spacing w:after="160" w:line="259" w:lineRule="auto"/>
              <w:ind w:left="0" w:firstLine="0"/>
              <w:jc w:val="left"/>
            </w:pPr>
          </w:p>
        </w:tc>
        <w:tc>
          <w:tcPr>
            <w:tcW w:w="1321" w:type="dxa"/>
            <w:tcBorders>
              <w:top w:val="single" w:sz="3" w:space="0" w:color="000000"/>
              <w:left w:val="nil"/>
              <w:bottom w:val="single" w:sz="3" w:space="0" w:color="000000"/>
              <w:right w:val="nil"/>
            </w:tcBorders>
          </w:tcPr>
          <w:p w14:paraId="20541552" w14:textId="77777777" w:rsidR="007A6E95" w:rsidRDefault="007A6E95" w:rsidP="007C644D">
            <w:pPr>
              <w:spacing w:after="160" w:line="259" w:lineRule="auto"/>
              <w:ind w:left="0" w:firstLine="0"/>
              <w:jc w:val="left"/>
            </w:pPr>
          </w:p>
        </w:tc>
      </w:tr>
      <w:tr w:rsidR="007A6E95" w14:paraId="139AB7D5" w14:textId="77777777" w:rsidTr="007C644D">
        <w:trPr>
          <w:trHeight w:val="437"/>
        </w:trPr>
        <w:tc>
          <w:tcPr>
            <w:tcW w:w="2886" w:type="dxa"/>
            <w:tcBorders>
              <w:top w:val="single" w:sz="3" w:space="0" w:color="000000"/>
              <w:left w:val="nil"/>
              <w:bottom w:val="nil"/>
              <w:right w:val="nil"/>
            </w:tcBorders>
            <w:vAlign w:val="center"/>
          </w:tcPr>
          <w:p w14:paraId="49F66019" w14:textId="77777777" w:rsidR="007A6E95" w:rsidRDefault="007A6E95" w:rsidP="007C644D">
            <w:pPr>
              <w:spacing w:after="0" w:line="259" w:lineRule="auto"/>
              <w:ind w:left="120" w:firstLine="0"/>
              <w:jc w:val="left"/>
            </w:pPr>
            <w:r>
              <w:rPr>
                <w:b/>
              </w:rPr>
              <w:t xml:space="preserve">PA </w:t>
            </w:r>
            <w:r>
              <w:t>[</w:t>
            </w:r>
            <w:r>
              <w:rPr>
                <w:rFonts w:ascii="Cambria" w:eastAsia="Cambria" w:hAnsi="Cambria" w:cs="Cambria"/>
                <w:i/>
              </w:rPr>
              <w:t>K</w:t>
            </w:r>
            <w:r>
              <w:t>]</w:t>
            </w:r>
          </w:p>
        </w:tc>
        <w:tc>
          <w:tcPr>
            <w:tcW w:w="2345" w:type="dxa"/>
            <w:tcBorders>
              <w:top w:val="single" w:sz="3" w:space="0" w:color="000000"/>
              <w:left w:val="nil"/>
              <w:bottom w:val="nil"/>
              <w:right w:val="nil"/>
            </w:tcBorders>
            <w:vAlign w:val="center"/>
          </w:tcPr>
          <w:p w14:paraId="0BD17D45" w14:textId="77777777" w:rsidR="007A6E95" w:rsidRDefault="007A6E95" w:rsidP="007C644D">
            <w:pPr>
              <w:spacing w:after="0" w:line="259" w:lineRule="auto"/>
              <w:ind w:left="0" w:firstLine="0"/>
              <w:jc w:val="left"/>
            </w:pPr>
            <w:r>
              <w:t>373</w:t>
            </w:r>
          </w:p>
        </w:tc>
        <w:tc>
          <w:tcPr>
            <w:tcW w:w="1321" w:type="dxa"/>
            <w:tcBorders>
              <w:top w:val="single" w:sz="3" w:space="0" w:color="000000"/>
              <w:left w:val="nil"/>
              <w:bottom w:val="nil"/>
              <w:right w:val="nil"/>
            </w:tcBorders>
            <w:vAlign w:val="center"/>
          </w:tcPr>
          <w:p w14:paraId="7EBF7FE7" w14:textId="77777777" w:rsidR="007A6E95" w:rsidRDefault="007A6E95" w:rsidP="007C644D">
            <w:pPr>
              <w:spacing w:after="0" w:line="259" w:lineRule="auto"/>
              <w:ind w:left="0" w:firstLine="0"/>
              <w:jc w:val="left"/>
            </w:pPr>
            <w:r>
              <w:t>373</w:t>
            </w:r>
          </w:p>
        </w:tc>
      </w:tr>
      <w:tr w:rsidR="007A6E95" w14:paraId="4E237074" w14:textId="77777777" w:rsidTr="007C644D">
        <w:trPr>
          <w:trHeight w:val="384"/>
        </w:trPr>
        <w:tc>
          <w:tcPr>
            <w:tcW w:w="2886" w:type="dxa"/>
            <w:tcBorders>
              <w:top w:val="nil"/>
              <w:left w:val="nil"/>
              <w:bottom w:val="single" w:sz="3" w:space="0" w:color="000000"/>
              <w:right w:val="nil"/>
            </w:tcBorders>
          </w:tcPr>
          <w:p w14:paraId="318B240C" w14:textId="77777777" w:rsidR="007A6E95" w:rsidRDefault="007A6E95" w:rsidP="007C644D">
            <w:pPr>
              <w:spacing w:after="0" w:line="259" w:lineRule="auto"/>
              <w:ind w:left="120" w:firstLine="0"/>
              <w:jc w:val="left"/>
            </w:pPr>
            <w:r>
              <w:rPr>
                <w:b/>
              </w:rPr>
              <w:t xml:space="preserve">SA </w:t>
            </w:r>
            <w:r>
              <w:t>[</w:t>
            </w:r>
            <w:r>
              <w:rPr>
                <w:rFonts w:ascii="Cambria" w:eastAsia="Cambria" w:hAnsi="Cambria" w:cs="Cambria"/>
                <w:i/>
              </w:rPr>
              <w:t>K</w:t>
            </w:r>
            <w:r>
              <w:t>]</w:t>
            </w:r>
          </w:p>
        </w:tc>
        <w:tc>
          <w:tcPr>
            <w:tcW w:w="2345" w:type="dxa"/>
            <w:tcBorders>
              <w:top w:val="nil"/>
              <w:left w:val="nil"/>
              <w:bottom w:val="single" w:sz="3" w:space="0" w:color="000000"/>
              <w:right w:val="nil"/>
            </w:tcBorders>
          </w:tcPr>
          <w:p w14:paraId="41F2A6A4" w14:textId="77777777" w:rsidR="007A6E95" w:rsidRDefault="007A6E95" w:rsidP="007C644D">
            <w:pPr>
              <w:spacing w:after="0" w:line="259" w:lineRule="auto"/>
              <w:ind w:left="0" w:firstLine="0"/>
              <w:jc w:val="left"/>
            </w:pPr>
            <w:r>
              <w:t>520</w:t>
            </w:r>
          </w:p>
        </w:tc>
        <w:tc>
          <w:tcPr>
            <w:tcW w:w="1321" w:type="dxa"/>
            <w:tcBorders>
              <w:top w:val="nil"/>
              <w:left w:val="nil"/>
              <w:bottom w:val="single" w:sz="3" w:space="0" w:color="000000"/>
              <w:right w:val="nil"/>
            </w:tcBorders>
          </w:tcPr>
          <w:p w14:paraId="14EFC9F5" w14:textId="77777777" w:rsidR="007A6E95" w:rsidRDefault="007A6E95" w:rsidP="007C644D">
            <w:pPr>
              <w:spacing w:after="0" w:line="259" w:lineRule="auto"/>
              <w:ind w:left="0" w:firstLine="0"/>
              <w:jc w:val="left"/>
            </w:pPr>
            <w:r>
              <w:t>510</w:t>
            </w:r>
          </w:p>
        </w:tc>
      </w:tr>
      <w:tr w:rsidR="007A6E95" w14:paraId="3827BEEA" w14:textId="77777777" w:rsidTr="007C644D">
        <w:trPr>
          <w:trHeight w:val="414"/>
        </w:trPr>
        <w:tc>
          <w:tcPr>
            <w:tcW w:w="2886" w:type="dxa"/>
            <w:tcBorders>
              <w:top w:val="single" w:sz="3" w:space="0" w:color="000000"/>
              <w:left w:val="nil"/>
              <w:bottom w:val="single" w:sz="3" w:space="0" w:color="000000"/>
              <w:right w:val="nil"/>
            </w:tcBorders>
          </w:tcPr>
          <w:p w14:paraId="409DF1AD" w14:textId="77777777" w:rsidR="007A6E95" w:rsidRDefault="007A6E95" w:rsidP="007C644D">
            <w:pPr>
              <w:spacing w:after="0" w:line="259" w:lineRule="auto"/>
              <w:ind w:left="120" w:firstLine="0"/>
              <w:jc w:val="left"/>
            </w:pPr>
            <w:r>
              <w:rPr>
                <w:b/>
              </w:rPr>
              <w:t>Excess air coefficients</w:t>
            </w:r>
          </w:p>
        </w:tc>
        <w:tc>
          <w:tcPr>
            <w:tcW w:w="2345" w:type="dxa"/>
            <w:tcBorders>
              <w:top w:val="single" w:sz="3" w:space="0" w:color="000000"/>
              <w:left w:val="nil"/>
              <w:bottom w:val="single" w:sz="3" w:space="0" w:color="000000"/>
              <w:right w:val="nil"/>
            </w:tcBorders>
          </w:tcPr>
          <w:p w14:paraId="064D4408" w14:textId="0B2968DD" w:rsidR="007A6E95" w:rsidRDefault="007A6E95" w:rsidP="007C644D">
            <w:pPr>
              <w:spacing w:after="0" w:line="259" w:lineRule="auto"/>
              <w:ind w:left="0" w:firstLine="0"/>
              <w:jc w:val="left"/>
            </w:pPr>
            <w:r>
              <w:t>1.</w:t>
            </w:r>
            <w:r w:rsidR="003B0651">
              <w:t>37</w:t>
            </w:r>
          </w:p>
        </w:tc>
        <w:tc>
          <w:tcPr>
            <w:tcW w:w="1321" w:type="dxa"/>
            <w:tcBorders>
              <w:top w:val="single" w:sz="3" w:space="0" w:color="000000"/>
              <w:left w:val="nil"/>
              <w:bottom w:val="single" w:sz="3" w:space="0" w:color="000000"/>
              <w:right w:val="nil"/>
            </w:tcBorders>
          </w:tcPr>
          <w:p w14:paraId="5D3793A3" w14:textId="3605952B" w:rsidR="007A6E95" w:rsidRDefault="007A6E95" w:rsidP="007C644D">
            <w:pPr>
              <w:spacing w:after="0" w:line="259" w:lineRule="auto"/>
              <w:ind w:left="0" w:firstLine="0"/>
              <w:jc w:val="left"/>
            </w:pPr>
            <w:r>
              <w:t>1.3</w:t>
            </w:r>
            <w:r w:rsidR="003B0651">
              <w:t>2</w:t>
            </w:r>
          </w:p>
        </w:tc>
      </w:tr>
    </w:tbl>
    <w:p w14:paraId="0E5817AA" w14:textId="77777777" w:rsidR="007A6E95" w:rsidRDefault="007A6E95">
      <w:pPr>
        <w:spacing w:after="160" w:line="259" w:lineRule="auto"/>
        <w:ind w:left="0" w:firstLine="0"/>
        <w:jc w:val="left"/>
      </w:pPr>
      <w:r>
        <w:br w:type="page"/>
      </w:r>
    </w:p>
    <w:p w14:paraId="6ED25817" w14:textId="77777777" w:rsidR="007A6E95" w:rsidRDefault="007A6E95" w:rsidP="007A6E95">
      <w:pPr>
        <w:tabs>
          <w:tab w:val="center" w:pos="2844"/>
          <w:tab w:val="center" w:pos="5037"/>
        </w:tabs>
        <w:spacing w:after="3" w:line="265" w:lineRule="auto"/>
        <w:ind w:left="0" w:firstLine="0"/>
        <w:jc w:val="left"/>
      </w:pPr>
      <w:r>
        <w:lastRenderedPageBreak/>
        <w:tab/>
      </w:r>
      <w:r>
        <w:rPr>
          <w:sz w:val="16"/>
        </w:rPr>
        <w:t>Table 4.</w:t>
      </w:r>
      <w:r>
        <w:rPr>
          <w:sz w:val="16"/>
        </w:rPr>
        <w:tab/>
        <w:t>Furnace exit conditions and SH wall temperatures</w:t>
      </w:r>
    </w:p>
    <w:tbl>
      <w:tblPr>
        <w:tblStyle w:val="TableGrid"/>
        <w:tblW w:w="9360" w:type="dxa"/>
        <w:tblInd w:w="0" w:type="dxa"/>
        <w:tblCellMar>
          <w:top w:w="101" w:type="dxa"/>
          <w:bottom w:w="79" w:type="dxa"/>
          <w:right w:w="115" w:type="dxa"/>
        </w:tblCellMar>
        <w:tblLook w:val="04A0" w:firstRow="1" w:lastRow="0" w:firstColumn="1" w:lastColumn="0" w:noHBand="0" w:noVBand="1"/>
      </w:tblPr>
      <w:tblGrid>
        <w:gridCol w:w="3635"/>
        <w:gridCol w:w="974"/>
        <w:gridCol w:w="974"/>
        <w:gridCol w:w="974"/>
        <w:gridCol w:w="974"/>
        <w:gridCol w:w="974"/>
        <w:gridCol w:w="855"/>
      </w:tblGrid>
      <w:tr w:rsidR="007A6E95" w14:paraId="0AA26367" w14:textId="77777777" w:rsidTr="007C644D">
        <w:trPr>
          <w:trHeight w:val="436"/>
        </w:trPr>
        <w:tc>
          <w:tcPr>
            <w:tcW w:w="3635" w:type="dxa"/>
            <w:tcBorders>
              <w:top w:val="single" w:sz="3" w:space="0" w:color="000000"/>
              <w:left w:val="nil"/>
              <w:bottom w:val="nil"/>
              <w:right w:val="nil"/>
            </w:tcBorders>
          </w:tcPr>
          <w:p w14:paraId="168A6949" w14:textId="77777777" w:rsidR="007A6E95" w:rsidRDefault="007A6E95" w:rsidP="007C644D">
            <w:pPr>
              <w:spacing w:after="160" w:line="259" w:lineRule="auto"/>
              <w:ind w:left="0" w:firstLine="0"/>
              <w:jc w:val="left"/>
            </w:pPr>
          </w:p>
        </w:tc>
        <w:tc>
          <w:tcPr>
            <w:tcW w:w="974" w:type="dxa"/>
            <w:tcBorders>
              <w:top w:val="single" w:sz="3" w:space="0" w:color="000000"/>
              <w:left w:val="nil"/>
              <w:bottom w:val="nil"/>
              <w:right w:val="nil"/>
            </w:tcBorders>
          </w:tcPr>
          <w:p w14:paraId="56F5E3F8" w14:textId="77777777" w:rsidR="007A6E95" w:rsidRDefault="007A6E95" w:rsidP="007C644D">
            <w:pPr>
              <w:spacing w:after="160" w:line="259" w:lineRule="auto"/>
              <w:ind w:left="0" w:firstLine="0"/>
              <w:jc w:val="left"/>
            </w:pPr>
          </w:p>
        </w:tc>
        <w:tc>
          <w:tcPr>
            <w:tcW w:w="974" w:type="dxa"/>
            <w:tcBorders>
              <w:top w:val="single" w:sz="3" w:space="0" w:color="000000"/>
              <w:left w:val="nil"/>
              <w:bottom w:val="nil"/>
              <w:right w:val="nil"/>
            </w:tcBorders>
          </w:tcPr>
          <w:p w14:paraId="323781C1" w14:textId="77777777" w:rsidR="007A6E95" w:rsidRDefault="007A6E95" w:rsidP="007C644D">
            <w:pPr>
              <w:spacing w:after="160" w:line="259" w:lineRule="auto"/>
              <w:ind w:left="0" w:firstLine="0"/>
              <w:jc w:val="left"/>
            </w:pPr>
          </w:p>
        </w:tc>
        <w:tc>
          <w:tcPr>
            <w:tcW w:w="1948" w:type="dxa"/>
            <w:gridSpan w:val="2"/>
            <w:tcBorders>
              <w:top w:val="single" w:sz="3" w:space="0" w:color="000000"/>
              <w:left w:val="nil"/>
              <w:bottom w:val="nil"/>
              <w:right w:val="nil"/>
            </w:tcBorders>
            <w:vAlign w:val="center"/>
          </w:tcPr>
          <w:p w14:paraId="167988BB" w14:textId="77777777" w:rsidR="007A6E95" w:rsidRDefault="007A6E95" w:rsidP="007C644D">
            <w:pPr>
              <w:spacing w:after="0" w:line="259" w:lineRule="auto"/>
              <w:ind w:left="545" w:firstLine="0"/>
              <w:jc w:val="left"/>
            </w:pPr>
            <w:r>
              <w:t>Cases</w:t>
            </w:r>
          </w:p>
        </w:tc>
        <w:tc>
          <w:tcPr>
            <w:tcW w:w="974" w:type="dxa"/>
            <w:tcBorders>
              <w:top w:val="single" w:sz="3" w:space="0" w:color="000000"/>
              <w:left w:val="nil"/>
              <w:bottom w:val="nil"/>
              <w:right w:val="nil"/>
            </w:tcBorders>
          </w:tcPr>
          <w:p w14:paraId="4F7F2993" w14:textId="77777777" w:rsidR="007A6E95" w:rsidRDefault="007A6E95" w:rsidP="007C644D">
            <w:pPr>
              <w:spacing w:after="160" w:line="259" w:lineRule="auto"/>
              <w:ind w:left="0" w:firstLine="0"/>
              <w:jc w:val="left"/>
            </w:pPr>
          </w:p>
        </w:tc>
        <w:tc>
          <w:tcPr>
            <w:tcW w:w="855" w:type="dxa"/>
            <w:tcBorders>
              <w:top w:val="single" w:sz="3" w:space="0" w:color="000000"/>
              <w:left w:val="nil"/>
              <w:bottom w:val="nil"/>
              <w:right w:val="nil"/>
            </w:tcBorders>
          </w:tcPr>
          <w:p w14:paraId="5C6ADCB8" w14:textId="77777777" w:rsidR="007A6E95" w:rsidRDefault="007A6E95" w:rsidP="007C644D">
            <w:pPr>
              <w:spacing w:after="160" w:line="259" w:lineRule="auto"/>
              <w:ind w:left="0" w:firstLine="0"/>
              <w:jc w:val="left"/>
            </w:pPr>
          </w:p>
        </w:tc>
      </w:tr>
      <w:tr w:rsidR="007A6E95" w14:paraId="3AB38F93" w14:textId="77777777" w:rsidTr="007C644D">
        <w:trPr>
          <w:trHeight w:val="385"/>
        </w:trPr>
        <w:tc>
          <w:tcPr>
            <w:tcW w:w="3635" w:type="dxa"/>
            <w:tcBorders>
              <w:top w:val="nil"/>
              <w:left w:val="nil"/>
              <w:bottom w:val="single" w:sz="3" w:space="0" w:color="000000"/>
              <w:right w:val="nil"/>
            </w:tcBorders>
          </w:tcPr>
          <w:p w14:paraId="12CC10C1" w14:textId="77777777" w:rsidR="007A6E95" w:rsidRDefault="007A6E95" w:rsidP="007C644D">
            <w:pPr>
              <w:spacing w:after="160" w:line="259" w:lineRule="auto"/>
              <w:ind w:left="0" w:firstLine="0"/>
              <w:jc w:val="left"/>
            </w:pPr>
          </w:p>
        </w:tc>
        <w:tc>
          <w:tcPr>
            <w:tcW w:w="974" w:type="dxa"/>
            <w:tcBorders>
              <w:top w:val="nil"/>
              <w:left w:val="nil"/>
              <w:bottom w:val="single" w:sz="3" w:space="0" w:color="000000"/>
              <w:right w:val="nil"/>
            </w:tcBorders>
          </w:tcPr>
          <w:p w14:paraId="39AB87A4" w14:textId="77777777" w:rsidR="007A6E95" w:rsidRDefault="007A6E95" w:rsidP="007C644D">
            <w:pPr>
              <w:spacing w:after="0" w:line="259" w:lineRule="auto"/>
              <w:ind w:left="0" w:firstLine="0"/>
              <w:jc w:val="left"/>
            </w:pPr>
            <w:r>
              <w:rPr>
                <w:b/>
              </w:rPr>
              <w:t>1</w:t>
            </w:r>
          </w:p>
        </w:tc>
        <w:tc>
          <w:tcPr>
            <w:tcW w:w="974" w:type="dxa"/>
            <w:tcBorders>
              <w:top w:val="nil"/>
              <w:left w:val="nil"/>
              <w:bottom w:val="single" w:sz="3" w:space="0" w:color="000000"/>
              <w:right w:val="nil"/>
            </w:tcBorders>
          </w:tcPr>
          <w:p w14:paraId="047F7C05" w14:textId="77777777" w:rsidR="007A6E95" w:rsidRDefault="007A6E95" w:rsidP="007C644D">
            <w:pPr>
              <w:spacing w:after="0" w:line="259" w:lineRule="auto"/>
              <w:ind w:left="0" w:firstLine="0"/>
              <w:jc w:val="left"/>
            </w:pPr>
            <w:r>
              <w:rPr>
                <w:b/>
              </w:rPr>
              <w:t>2</w:t>
            </w:r>
          </w:p>
        </w:tc>
        <w:tc>
          <w:tcPr>
            <w:tcW w:w="974" w:type="dxa"/>
            <w:tcBorders>
              <w:top w:val="nil"/>
              <w:left w:val="nil"/>
              <w:bottom w:val="single" w:sz="3" w:space="0" w:color="000000"/>
              <w:right w:val="nil"/>
            </w:tcBorders>
          </w:tcPr>
          <w:p w14:paraId="29C56C56" w14:textId="77777777" w:rsidR="007A6E95" w:rsidRDefault="007A6E95" w:rsidP="007C644D">
            <w:pPr>
              <w:spacing w:after="0" w:line="259" w:lineRule="auto"/>
              <w:ind w:left="0" w:firstLine="0"/>
              <w:jc w:val="left"/>
            </w:pPr>
            <w:r>
              <w:rPr>
                <w:b/>
              </w:rPr>
              <w:t>3</w:t>
            </w:r>
          </w:p>
        </w:tc>
        <w:tc>
          <w:tcPr>
            <w:tcW w:w="974" w:type="dxa"/>
            <w:tcBorders>
              <w:top w:val="nil"/>
              <w:left w:val="nil"/>
              <w:bottom w:val="single" w:sz="3" w:space="0" w:color="000000"/>
              <w:right w:val="nil"/>
            </w:tcBorders>
          </w:tcPr>
          <w:p w14:paraId="15D9F2A4" w14:textId="77777777" w:rsidR="007A6E95" w:rsidRDefault="007A6E95" w:rsidP="007C644D">
            <w:pPr>
              <w:spacing w:after="0" w:line="259" w:lineRule="auto"/>
              <w:ind w:left="0" w:firstLine="0"/>
              <w:jc w:val="left"/>
            </w:pPr>
            <w:r>
              <w:rPr>
                <w:b/>
              </w:rPr>
              <w:t>4</w:t>
            </w:r>
          </w:p>
        </w:tc>
        <w:tc>
          <w:tcPr>
            <w:tcW w:w="974" w:type="dxa"/>
            <w:tcBorders>
              <w:top w:val="nil"/>
              <w:left w:val="nil"/>
              <w:bottom w:val="single" w:sz="3" w:space="0" w:color="000000"/>
              <w:right w:val="nil"/>
            </w:tcBorders>
          </w:tcPr>
          <w:p w14:paraId="653E376C" w14:textId="77777777" w:rsidR="007A6E95" w:rsidRDefault="007A6E95" w:rsidP="007C644D">
            <w:pPr>
              <w:spacing w:after="0" w:line="259" w:lineRule="auto"/>
              <w:ind w:left="0" w:firstLine="0"/>
              <w:jc w:val="left"/>
            </w:pPr>
            <w:r>
              <w:rPr>
                <w:b/>
              </w:rPr>
              <w:t>5</w:t>
            </w:r>
          </w:p>
        </w:tc>
        <w:tc>
          <w:tcPr>
            <w:tcW w:w="855" w:type="dxa"/>
            <w:tcBorders>
              <w:top w:val="nil"/>
              <w:left w:val="nil"/>
              <w:bottom w:val="single" w:sz="3" w:space="0" w:color="000000"/>
              <w:right w:val="nil"/>
            </w:tcBorders>
          </w:tcPr>
          <w:p w14:paraId="1EE10CC4" w14:textId="77777777" w:rsidR="007A6E95" w:rsidRDefault="007A6E95" w:rsidP="007C644D">
            <w:pPr>
              <w:spacing w:after="0" w:line="259" w:lineRule="auto"/>
              <w:ind w:left="0" w:firstLine="0"/>
              <w:jc w:val="left"/>
            </w:pPr>
            <w:r>
              <w:rPr>
                <w:b/>
              </w:rPr>
              <w:t>6</w:t>
            </w:r>
          </w:p>
        </w:tc>
      </w:tr>
      <w:tr w:rsidR="007A6E95" w14:paraId="29BE9753" w14:textId="77777777" w:rsidTr="007C644D">
        <w:trPr>
          <w:trHeight w:val="823"/>
        </w:trPr>
        <w:tc>
          <w:tcPr>
            <w:tcW w:w="3635" w:type="dxa"/>
            <w:tcBorders>
              <w:top w:val="single" w:sz="3" w:space="0" w:color="000000"/>
              <w:left w:val="nil"/>
              <w:bottom w:val="nil"/>
              <w:right w:val="nil"/>
            </w:tcBorders>
          </w:tcPr>
          <w:p w14:paraId="1597C21D" w14:textId="77777777" w:rsidR="007A6E95" w:rsidRDefault="007A6E95" w:rsidP="007C644D">
            <w:pPr>
              <w:spacing w:after="140" w:line="259" w:lineRule="auto"/>
              <w:ind w:left="120" w:firstLine="0"/>
              <w:jc w:val="left"/>
            </w:pPr>
            <w:r>
              <w:rPr>
                <w:i/>
              </w:rPr>
              <w:t>Furnace exit</w:t>
            </w:r>
          </w:p>
          <w:p w14:paraId="79FE7F7D" w14:textId="77777777" w:rsidR="007A6E95" w:rsidRDefault="007A6E95" w:rsidP="007C644D">
            <w:pPr>
              <w:spacing w:after="0" w:line="259" w:lineRule="auto"/>
              <w:ind w:left="120" w:firstLine="0"/>
              <w:jc w:val="left"/>
            </w:pPr>
            <w:r>
              <w:rPr>
                <w:b/>
              </w:rPr>
              <w:t xml:space="preserve">Exit temperature </w:t>
            </w:r>
            <w:r>
              <w:t>[</w:t>
            </w:r>
            <w:r>
              <w:rPr>
                <w:rFonts w:ascii="Cambria" w:eastAsia="Cambria" w:hAnsi="Cambria" w:cs="Cambria"/>
                <w:i/>
              </w:rPr>
              <w:t>K</w:t>
            </w:r>
            <w:r>
              <w:t>]</w:t>
            </w:r>
          </w:p>
        </w:tc>
        <w:tc>
          <w:tcPr>
            <w:tcW w:w="974" w:type="dxa"/>
            <w:tcBorders>
              <w:top w:val="single" w:sz="3" w:space="0" w:color="000000"/>
              <w:left w:val="nil"/>
              <w:bottom w:val="nil"/>
              <w:right w:val="nil"/>
            </w:tcBorders>
            <w:vAlign w:val="bottom"/>
          </w:tcPr>
          <w:p w14:paraId="336DDE04" w14:textId="77777777" w:rsidR="007A6E95" w:rsidRDefault="007A6E95" w:rsidP="007C644D">
            <w:pPr>
              <w:spacing w:after="0" w:line="259" w:lineRule="auto"/>
              <w:ind w:left="0" w:firstLine="0"/>
              <w:jc w:val="left"/>
            </w:pPr>
            <w:r>
              <w:t>1168</w:t>
            </w:r>
          </w:p>
        </w:tc>
        <w:tc>
          <w:tcPr>
            <w:tcW w:w="974" w:type="dxa"/>
            <w:tcBorders>
              <w:top w:val="single" w:sz="3" w:space="0" w:color="000000"/>
              <w:left w:val="nil"/>
              <w:bottom w:val="nil"/>
              <w:right w:val="nil"/>
            </w:tcBorders>
            <w:vAlign w:val="bottom"/>
          </w:tcPr>
          <w:p w14:paraId="18EAFFD2" w14:textId="77777777" w:rsidR="007A6E95" w:rsidRDefault="007A6E95" w:rsidP="007C644D">
            <w:pPr>
              <w:spacing w:after="0" w:line="259" w:lineRule="auto"/>
              <w:ind w:left="0" w:firstLine="0"/>
              <w:jc w:val="left"/>
            </w:pPr>
            <w:r>
              <w:t>1230</w:t>
            </w:r>
          </w:p>
        </w:tc>
        <w:tc>
          <w:tcPr>
            <w:tcW w:w="974" w:type="dxa"/>
            <w:tcBorders>
              <w:top w:val="single" w:sz="3" w:space="0" w:color="000000"/>
              <w:left w:val="nil"/>
              <w:bottom w:val="nil"/>
              <w:right w:val="nil"/>
            </w:tcBorders>
            <w:vAlign w:val="bottom"/>
          </w:tcPr>
          <w:p w14:paraId="0A64CFE4" w14:textId="77777777" w:rsidR="007A6E95" w:rsidRDefault="007A6E95" w:rsidP="007C644D">
            <w:pPr>
              <w:spacing w:after="0" w:line="259" w:lineRule="auto"/>
              <w:ind w:left="0" w:firstLine="0"/>
              <w:jc w:val="left"/>
            </w:pPr>
            <w:r>
              <w:t>1215</w:t>
            </w:r>
          </w:p>
        </w:tc>
        <w:tc>
          <w:tcPr>
            <w:tcW w:w="974" w:type="dxa"/>
            <w:tcBorders>
              <w:top w:val="single" w:sz="3" w:space="0" w:color="000000"/>
              <w:left w:val="nil"/>
              <w:bottom w:val="nil"/>
              <w:right w:val="nil"/>
            </w:tcBorders>
            <w:vAlign w:val="bottom"/>
          </w:tcPr>
          <w:p w14:paraId="588824EF" w14:textId="77777777" w:rsidR="007A6E95" w:rsidRDefault="007A6E95" w:rsidP="007C644D">
            <w:pPr>
              <w:spacing w:after="0" w:line="259" w:lineRule="auto"/>
              <w:ind w:left="0" w:firstLine="0"/>
              <w:jc w:val="left"/>
            </w:pPr>
            <w:r>
              <w:t>1208</w:t>
            </w:r>
          </w:p>
        </w:tc>
        <w:tc>
          <w:tcPr>
            <w:tcW w:w="974" w:type="dxa"/>
            <w:tcBorders>
              <w:top w:val="single" w:sz="3" w:space="0" w:color="000000"/>
              <w:left w:val="nil"/>
              <w:bottom w:val="nil"/>
              <w:right w:val="nil"/>
            </w:tcBorders>
            <w:vAlign w:val="bottom"/>
          </w:tcPr>
          <w:p w14:paraId="79FDCD1F" w14:textId="77777777" w:rsidR="007A6E95" w:rsidRDefault="007A6E95" w:rsidP="007C644D">
            <w:pPr>
              <w:spacing w:after="0" w:line="259" w:lineRule="auto"/>
              <w:ind w:left="0" w:firstLine="0"/>
              <w:jc w:val="left"/>
            </w:pPr>
            <w:r>
              <w:t>1306</w:t>
            </w:r>
          </w:p>
        </w:tc>
        <w:tc>
          <w:tcPr>
            <w:tcW w:w="855" w:type="dxa"/>
            <w:tcBorders>
              <w:top w:val="single" w:sz="3" w:space="0" w:color="000000"/>
              <w:left w:val="nil"/>
              <w:bottom w:val="nil"/>
              <w:right w:val="nil"/>
            </w:tcBorders>
            <w:vAlign w:val="bottom"/>
          </w:tcPr>
          <w:p w14:paraId="18B31879" w14:textId="77777777" w:rsidR="007A6E95" w:rsidRDefault="007A6E95" w:rsidP="007C644D">
            <w:pPr>
              <w:spacing w:after="0" w:line="259" w:lineRule="auto"/>
              <w:ind w:left="0" w:firstLine="0"/>
              <w:jc w:val="left"/>
            </w:pPr>
            <w:r>
              <w:t>1298</w:t>
            </w:r>
          </w:p>
        </w:tc>
      </w:tr>
      <w:tr w:rsidR="007A6E95" w14:paraId="26012CD3" w14:textId="77777777" w:rsidTr="007C644D">
        <w:trPr>
          <w:trHeight w:val="428"/>
        </w:trPr>
        <w:tc>
          <w:tcPr>
            <w:tcW w:w="3635" w:type="dxa"/>
            <w:tcBorders>
              <w:top w:val="nil"/>
              <w:left w:val="nil"/>
              <w:bottom w:val="nil"/>
              <w:right w:val="nil"/>
            </w:tcBorders>
            <w:vAlign w:val="center"/>
          </w:tcPr>
          <w:p w14:paraId="0FC01BEE" w14:textId="77777777" w:rsidR="007A6E95" w:rsidRDefault="007A6E95" w:rsidP="007C644D">
            <w:pPr>
              <w:spacing w:after="0" w:line="259" w:lineRule="auto"/>
              <w:ind w:left="120" w:firstLine="0"/>
              <w:jc w:val="left"/>
            </w:pPr>
            <w:r>
              <w:rPr>
                <w:b/>
              </w:rPr>
              <w:t xml:space="preserve">Unburnt carbon </w:t>
            </w:r>
            <w:r>
              <w:t>[</w:t>
            </w:r>
            <w:r>
              <w:rPr>
                <w:rFonts w:ascii="Cambria" w:eastAsia="Cambria" w:hAnsi="Cambria" w:cs="Cambria"/>
              </w:rPr>
              <w:t>(×10</w:t>
            </w:r>
            <w:r>
              <w:rPr>
                <w:rFonts w:ascii="Cambria" w:eastAsia="Cambria" w:hAnsi="Cambria" w:cs="Cambria"/>
                <w:vertAlign w:val="superscript"/>
              </w:rPr>
              <w:t>−3</w:t>
            </w:r>
            <w:r>
              <w:rPr>
                <w:rFonts w:ascii="Cambria" w:eastAsia="Cambria" w:hAnsi="Cambria" w:cs="Cambria"/>
              </w:rPr>
              <w:t>)%</w:t>
            </w:r>
            <w:r>
              <w:t>]</w:t>
            </w:r>
          </w:p>
        </w:tc>
        <w:tc>
          <w:tcPr>
            <w:tcW w:w="974" w:type="dxa"/>
            <w:tcBorders>
              <w:top w:val="nil"/>
              <w:left w:val="nil"/>
              <w:bottom w:val="nil"/>
              <w:right w:val="nil"/>
            </w:tcBorders>
            <w:vAlign w:val="center"/>
          </w:tcPr>
          <w:p w14:paraId="57FC2598" w14:textId="77777777" w:rsidR="007A6E95" w:rsidRDefault="007A6E95" w:rsidP="007C644D">
            <w:pPr>
              <w:spacing w:after="0" w:line="259" w:lineRule="auto"/>
              <w:ind w:left="0" w:firstLine="0"/>
              <w:jc w:val="left"/>
            </w:pPr>
            <w:r>
              <w:t>1.83</w:t>
            </w:r>
          </w:p>
        </w:tc>
        <w:tc>
          <w:tcPr>
            <w:tcW w:w="974" w:type="dxa"/>
            <w:tcBorders>
              <w:top w:val="nil"/>
              <w:left w:val="nil"/>
              <w:bottom w:val="nil"/>
              <w:right w:val="nil"/>
            </w:tcBorders>
            <w:vAlign w:val="center"/>
          </w:tcPr>
          <w:p w14:paraId="7F3B1188" w14:textId="77777777" w:rsidR="007A6E95" w:rsidRDefault="007A6E95" w:rsidP="007C644D">
            <w:pPr>
              <w:spacing w:after="0" w:line="259" w:lineRule="auto"/>
              <w:ind w:left="0" w:firstLine="0"/>
              <w:jc w:val="left"/>
            </w:pPr>
            <w:r>
              <w:t>1.94</w:t>
            </w:r>
          </w:p>
        </w:tc>
        <w:tc>
          <w:tcPr>
            <w:tcW w:w="974" w:type="dxa"/>
            <w:tcBorders>
              <w:top w:val="nil"/>
              <w:left w:val="nil"/>
              <w:bottom w:val="nil"/>
              <w:right w:val="nil"/>
            </w:tcBorders>
            <w:vAlign w:val="center"/>
          </w:tcPr>
          <w:p w14:paraId="181C7C07" w14:textId="77777777" w:rsidR="007A6E95" w:rsidRDefault="007A6E95" w:rsidP="007C644D">
            <w:pPr>
              <w:spacing w:after="0" w:line="259" w:lineRule="auto"/>
              <w:ind w:left="0" w:firstLine="0"/>
              <w:jc w:val="left"/>
            </w:pPr>
            <w:r>
              <w:t>1.54</w:t>
            </w:r>
          </w:p>
        </w:tc>
        <w:tc>
          <w:tcPr>
            <w:tcW w:w="974" w:type="dxa"/>
            <w:tcBorders>
              <w:top w:val="nil"/>
              <w:left w:val="nil"/>
              <w:bottom w:val="nil"/>
              <w:right w:val="nil"/>
            </w:tcBorders>
            <w:vAlign w:val="center"/>
          </w:tcPr>
          <w:p w14:paraId="17CEE87F" w14:textId="77777777" w:rsidR="007A6E95" w:rsidRDefault="007A6E95" w:rsidP="007C644D">
            <w:pPr>
              <w:spacing w:after="0" w:line="259" w:lineRule="auto"/>
              <w:ind w:left="0" w:firstLine="0"/>
              <w:jc w:val="left"/>
            </w:pPr>
            <w:r>
              <w:t>1.81</w:t>
            </w:r>
          </w:p>
        </w:tc>
        <w:tc>
          <w:tcPr>
            <w:tcW w:w="974" w:type="dxa"/>
            <w:tcBorders>
              <w:top w:val="nil"/>
              <w:left w:val="nil"/>
              <w:bottom w:val="nil"/>
              <w:right w:val="nil"/>
            </w:tcBorders>
            <w:vAlign w:val="center"/>
          </w:tcPr>
          <w:p w14:paraId="77B9FC57" w14:textId="77777777" w:rsidR="007A6E95" w:rsidRDefault="007A6E95" w:rsidP="007C644D">
            <w:pPr>
              <w:spacing w:after="0" w:line="259" w:lineRule="auto"/>
              <w:ind w:left="0" w:firstLine="0"/>
              <w:jc w:val="left"/>
            </w:pPr>
            <w:r>
              <w:t>1.89</w:t>
            </w:r>
          </w:p>
        </w:tc>
        <w:tc>
          <w:tcPr>
            <w:tcW w:w="855" w:type="dxa"/>
            <w:tcBorders>
              <w:top w:val="nil"/>
              <w:left w:val="nil"/>
              <w:bottom w:val="nil"/>
              <w:right w:val="nil"/>
            </w:tcBorders>
            <w:vAlign w:val="center"/>
          </w:tcPr>
          <w:p w14:paraId="35129C41" w14:textId="77777777" w:rsidR="007A6E95" w:rsidRDefault="007A6E95" w:rsidP="007C644D">
            <w:pPr>
              <w:spacing w:after="0" w:line="259" w:lineRule="auto"/>
              <w:ind w:left="0" w:firstLine="0"/>
              <w:jc w:val="left"/>
            </w:pPr>
            <w:r>
              <w:t>1.62</w:t>
            </w:r>
          </w:p>
        </w:tc>
      </w:tr>
      <w:tr w:rsidR="007A6E95" w14:paraId="0079ECBF" w14:textId="77777777" w:rsidTr="007C644D">
        <w:trPr>
          <w:trHeight w:val="791"/>
        </w:trPr>
        <w:tc>
          <w:tcPr>
            <w:tcW w:w="3635" w:type="dxa"/>
            <w:tcBorders>
              <w:top w:val="nil"/>
              <w:left w:val="nil"/>
              <w:bottom w:val="nil"/>
              <w:right w:val="nil"/>
            </w:tcBorders>
          </w:tcPr>
          <w:p w14:paraId="162171DF" w14:textId="77777777" w:rsidR="007A6E95" w:rsidRDefault="007A6E95" w:rsidP="007C644D">
            <w:pPr>
              <w:spacing w:after="146" w:line="259" w:lineRule="auto"/>
              <w:ind w:left="120" w:firstLine="0"/>
              <w:jc w:val="left"/>
            </w:pPr>
            <w:r>
              <w:rPr>
                <w:i/>
              </w:rPr>
              <w:t>Platen SH</w:t>
            </w:r>
          </w:p>
          <w:p w14:paraId="1C1A3BF9" w14:textId="77777777" w:rsidR="007A6E95" w:rsidRDefault="007A6E95" w:rsidP="007C644D">
            <w:pPr>
              <w:spacing w:after="0" w:line="259" w:lineRule="auto"/>
              <w:ind w:left="120" w:firstLine="0"/>
              <w:jc w:val="left"/>
            </w:pPr>
            <w:r>
              <w:rPr>
                <w:b/>
              </w:rPr>
              <w:t xml:space="preserve">Max wall temperature </w:t>
            </w:r>
            <w:r>
              <w:t>[</w:t>
            </w:r>
            <w:r>
              <w:rPr>
                <w:rFonts w:ascii="Cambria" w:eastAsia="Cambria" w:hAnsi="Cambria" w:cs="Cambria"/>
                <w:vertAlign w:val="superscript"/>
              </w:rPr>
              <w:t>◦</w:t>
            </w:r>
            <w:r>
              <w:rPr>
                <w:rFonts w:ascii="Cambria" w:eastAsia="Cambria" w:hAnsi="Cambria" w:cs="Cambria"/>
                <w:i/>
              </w:rPr>
              <w:t>C</w:t>
            </w:r>
            <w:r>
              <w:t>]</w:t>
            </w:r>
          </w:p>
        </w:tc>
        <w:tc>
          <w:tcPr>
            <w:tcW w:w="974" w:type="dxa"/>
            <w:tcBorders>
              <w:top w:val="nil"/>
              <w:left w:val="nil"/>
              <w:bottom w:val="nil"/>
              <w:right w:val="nil"/>
            </w:tcBorders>
            <w:vAlign w:val="bottom"/>
          </w:tcPr>
          <w:p w14:paraId="357B8FA2" w14:textId="77777777" w:rsidR="007A6E95" w:rsidRDefault="007A6E95" w:rsidP="007C644D">
            <w:pPr>
              <w:spacing w:after="0" w:line="259" w:lineRule="auto"/>
              <w:ind w:left="0" w:firstLine="0"/>
              <w:jc w:val="left"/>
            </w:pPr>
            <w:r>
              <w:t>477</w:t>
            </w:r>
          </w:p>
        </w:tc>
        <w:tc>
          <w:tcPr>
            <w:tcW w:w="974" w:type="dxa"/>
            <w:tcBorders>
              <w:top w:val="nil"/>
              <w:left w:val="nil"/>
              <w:bottom w:val="nil"/>
              <w:right w:val="nil"/>
            </w:tcBorders>
            <w:vAlign w:val="bottom"/>
          </w:tcPr>
          <w:p w14:paraId="6041FAF6" w14:textId="77777777" w:rsidR="007A6E95" w:rsidRDefault="007A6E95" w:rsidP="007C644D">
            <w:pPr>
              <w:spacing w:after="0" w:line="259" w:lineRule="auto"/>
              <w:ind w:left="0" w:firstLine="0"/>
              <w:jc w:val="left"/>
            </w:pPr>
            <w:r>
              <w:t>492</w:t>
            </w:r>
          </w:p>
        </w:tc>
        <w:tc>
          <w:tcPr>
            <w:tcW w:w="974" w:type="dxa"/>
            <w:tcBorders>
              <w:top w:val="nil"/>
              <w:left w:val="nil"/>
              <w:bottom w:val="nil"/>
              <w:right w:val="nil"/>
            </w:tcBorders>
            <w:vAlign w:val="bottom"/>
          </w:tcPr>
          <w:p w14:paraId="5E45A9A6" w14:textId="77777777" w:rsidR="007A6E95" w:rsidRDefault="007A6E95" w:rsidP="007C644D">
            <w:pPr>
              <w:spacing w:after="0" w:line="259" w:lineRule="auto"/>
              <w:ind w:left="0" w:firstLine="0"/>
              <w:jc w:val="left"/>
            </w:pPr>
            <w:r>
              <w:t>481</w:t>
            </w:r>
          </w:p>
        </w:tc>
        <w:tc>
          <w:tcPr>
            <w:tcW w:w="974" w:type="dxa"/>
            <w:tcBorders>
              <w:top w:val="nil"/>
              <w:left w:val="nil"/>
              <w:bottom w:val="nil"/>
              <w:right w:val="nil"/>
            </w:tcBorders>
            <w:vAlign w:val="bottom"/>
          </w:tcPr>
          <w:p w14:paraId="318A2FEE" w14:textId="77777777" w:rsidR="007A6E95" w:rsidRDefault="007A6E95" w:rsidP="007C644D">
            <w:pPr>
              <w:spacing w:after="0" w:line="259" w:lineRule="auto"/>
              <w:ind w:left="0" w:firstLine="0"/>
              <w:jc w:val="left"/>
            </w:pPr>
            <w:r>
              <w:t>480</w:t>
            </w:r>
          </w:p>
        </w:tc>
        <w:tc>
          <w:tcPr>
            <w:tcW w:w="974" w:type="dxa"/>
            <w:tcBorders>
              <w:top w:val="nil"/>
              <w:left w:val="nil"/>
              <w:bottom w:val="nil"/>
              <w:right w:val="nil"/>
            </w:tcBorders>
            <w:vAlign w:val="bottom"/>
          </w:tcPr>
          <w:p w14:paraId="1D5D8326" w14:textId="77777777" w:rsidR="007A6E95" w:rsidRDefault="007A6E95" w:rsidP="007C644D">
            <w:pPr>
              <w:spacing w:after="0" w:line="259" w:lineRule="auto"/>
              <w:ind w:left="0" w:firstLine="0"/>
              <w:jc w:val="left"/>
            </w:pPr>
            <w:r>
              <w:t>493</w:t>
            </w:r>
          </w:p>
        </w:tc>
        <w:tc>
          <w:tcPr>
            <w:tcW w:w="855" w:type="dxa"/>
            <w:tcBorders>
              <w:top w:val="nil"/>
              <w:left w:val="nil"/>
              <w:bottom w:val="nil"/>
              <w:right w:val="nil"/>
            </w:tcBorders>
            <w:vAlign w:val="bottom"/>
          </w:tcPr>
          <w:p w14:paraId="277CF96F" w14:textId="77777777" w:rsidR="007A6E95" w:rsidRDefault="007A6E95" w:rsidP="007C644D">
            <w:pPr>
              <w:spacing w:after="0" w:line="259" w:lineRule="auto"/>
              <w:ind w:left="0" w:firstLine="0"/>
              <w:jc w:val="left"/>
            </w:pPr>
            <w:r>
              <w:t>490</w:t>
            </w:r>
          </w:p>
        </w:tc>
      </w:tr>
      <w:tr w:rsidR="007A6E95" w14:paraId="3385E674" w14:textId="77777777" w:rsidTr="007C644D">
        <w:trPr>
          <w:trHeight w:val="428"/>
        </w:trPr>
        <w:tc>
          <w:tcPr>
            <w:tcW w:w="3635" w:type="dxa"/>
            <w:tcBorders>
              <w:top w:val="nil"/>
              <w:left w:val="nil"/>
              <w:bottom w:val="nil"/>
              <w:right w:val="nil"/>
            </w:tcBorders>
            <w:vAlign w:val="center"/>
          </w:tcPr>
          <w:p w14:paraId="607C118F" w14:textId="77777777" w:rsidR="007A6E95" w:rsidRDefault="007A6E95" w:rsidP="007C644D">
            <w:pPr>
              <w:spacing w:after="0" w:line="259" w:lineRule="auto"/>
              <w:ind w:left="120" w:firstLine="0"/>
              <w:jc w:val="left"/>
            </w:pPr>
            <w:r>
              <w:rPr>
                <w:b/>
              </w:rPr>
              <w:t xml:space="preserve">Mean wall temperature </w:t>
            </w:r>
            <w:r>
              <w:t>[</w:t>
            </w:r>
            <w:r>
              <w:rPr>
                <w:rFonts w:ascii="Cambria" w:eastAsia="Cambria" w:hAnsi="Cambria" w:cs="Cambria"/>
                <w:vertAlign w:val="superscript"/>
              </w:rPr>
              <w:t>◦</w:t>
            </w:r>
            <w:r>
              <w:rPr>
                <w:rFonts w:ascii="Cambria" w:eastAsia="Cambria" w:hAnsi="Cambria" w:cs="Cambria"/>
                <w:i/>
              </w:rPr>
              <w:t>C</w:t>
            </w:r>
            <w:r>
              <w:t>]</w:t>
            </w:r>
          </w:p>
        </w:tc>
        <w:tc>
          <w:tcPr>
            <w:tcW w:w="974" w:type="dxa"/>
            <w:tcBorders>
              <w:top w:val="nil"/>
              <w:left w:val="nil"/>
              <w:bottom w:val="nil"/>
              <w:right w:val="nil"/>
            </w:tcBorders>
            <w:vAlign w:val="center"/>
          </w:tcPr>
          <w:p w14:paraId="12BA814E" w14:textId="77777777" w:rsidR="007A6E95" w:rsidRDefault="007A6E95" w:rsidP="007C644D">
            <w:pPr>
              <w:spacing w:after="0" w:line="259" w:lineRule="auto"/>
              <w:ind w:left="0" w:firstLine="0"/>
              <w:jc w:val="left"/>
            </w:pPr>
            <w:r>
              <w:t>439</w:t>
            </w:r>
          </w:p>
        </w:tc>
        <w:tc>
          <w:tcPr>
            <w:tcW w:w="974" w:type="dxa"/>
            <w:tcBorders>
              <w:top w:val="nil"/>
              <w:left w:val="nil"/>
              <w:bottom w:val="nil"/>
              <w:right w:val="nil"/>
            </w:tcBorders>
            <w:vAlign w:val="center"/>
          </w:tcPr>
          <w:p w14:paraId="17FF50ED" w14:textId="77777777" w:rsidR="007A6E95" w:rsidRDefault="007A6E95" w:rsidP="007C644D">
            <w:pPr>
              <w:spacing w:after="0" w:line="259" w:lineRule="auto"/>
              <w:ind w:left="0" w:firstLine="0"/>
              <w:jc w:val="left"/>
            </w:pPr>
            <w:r>
              <w:t>453</w:t>
            </w:r>
          </w:p>
        </w:tc>
        <w:tc>
          <w:tcPr>
            <w:tcW w:w="974" w:type="dxa"/>
            <w:tcBorders>
              <w:top w:val="nil"/>
              <w:left w:val="nil"/>
              <w:bottom w:val="nil"/>
              <w:right w:val="nil"/>
            </w:tcBorders>
            <w:vAlign w:val="center"/>
          </w:tcPr>
          <w:p w14:paraId="38D0416E" w14:textId="77777777" w:rsidR="007A6E95" w:rsidRDefault="007A6E95" w:rsidP="007C644D">
            <w:pPr>
              <w:spacing w:after="0" w:line="259" w:lineRule="auto"/>
              <w:ind w:left="0" w:firstLine="0"/>
              <w:jc w:val="left"/>
            </w:pPr>
            <w:r>
              <w:t>446</w:t>
            </w:r>
          </w:p>
        </w:tc>
        <w:tc>
          <w:tcPr>
            <w:tcW w:w="974" w:type="dxa"/>
            <w:tcBorders>
              <w:top w:val="nil"/>
              <w:left w:val="nil"/>
              <w:bottom w:val="nil"/>
              <w:right w:val="nil"/>
            </w:tcBorders>
            <w:vAlign w:val="center"/>
          </w:tcPr>
          <w:p w14:paraId="286AEEAE" w14:textId="77777777" w:rsidR="007A6E95" w:rsidRDefault="007A6E95" w:rsidP="007C644D">
            <w:pPr>
              <w:spacing w:after="0" w:line="259" w:lineRule="auto"/>
              <w:ind w:left="0" w:firstLine="0"/>
              <w:jc w:val="left"/>
            </w:pPr>
            <w:r>
              <w:t>454</w:t>
            </w:r>
          </w:p>
        </w:tc>
        <w:tc>
          <w:tcPr>
            <w:tcW w:w="974" w:type="dxa"/>
            <w:tcBorders>
              <w:top w:val="nil"/>
              <w:left w:val="nil"/>
              <w:bottom w:val="nil"/>
              <w:right w:val="nil"/>
            </w:tcBorders>
            <w:vAlign w:val="center"/>
          </w:tcPr>
          <w:p w14:paraId="29535B42" w14:textId="77777777" w:rsidR="007A6E95" w:rsidRDefault="007A6E95" w:rsidP="007C644D">
            <w:pPr>
              <w:spacing w:after="0" w:line="259" w:lineRule="auto"/>
              <w:ind w:left="0" w:firstLine="0"/>
              <w:jc w:val="left"/>
            </w:pPr>
            <w:r>
              <w:t>442</w:t>
            </w:r>
          </w:p>
        </w:tc>
        <w:tc>
          <w:tcPr>
            <w:tcW w:w="855" w:type="dxa"/>
            <w:tcBorders>
              <w:top w:val="nil"/>
              <w:left w:val="nil"/>
              <w:bottom w:val="nil"/>
              <w:right w:val="nil"/>
            </w:tcBorders>
            <w:vAlign w:val="center"/>
          </w:tcPr>
          <w:p w14:paraId="7DE0C8D7" w14:textId="77777777" w:rsidR="007A6E95" w:rsidRDefault="007A6E95" w:rsidP="007C644D">
            <w:pPr>
              <w:spacing w:after="0" w:line="259" w:lineRule="auto"/>
              <w:ind w:left="0" w:firstLine="0"/>
              <w:jc w:val="left"/>
            </w:pPr>
            <w:r>
              <w:t>451</w:t>
            </w:r>
          </w:p>
        </w:tc>
      </w:tr>
      <w:tr w:rsidR="007A6E95" w14:paraId="56B1170E" w14:textId="77777777" w:rsidTr="007C644D">
        <w:trPr>
          <w:trHeight w:val="791"/>
        </w:trPr>
        <w:tc>
          <w:tcPr>
            <w:tcW w:w="3635" w:type="dxa"/>
            <w:tcBorders>
              <w:top w:val="nil"/>
              <w:left w:val="nil"/>
              <w:bottom w:val="nil"/>
              <w:right w:val="nil"/>
            </w:tcBorders>
          </w:tcPr>
          <w:p w14:paraId="32E6BDD8" w14:textId="77777777" w:rsidR="007A6E95" w:rsidRDefault="007A6E95" w:rsidP="007C644D">
            <w:pPr>
              <w:spacing w:after="146" w:line="259" w:lineRule="auto"/>
              <w:ind w:left="120" w:firstLine="0"/>
              <w:jc w:val="left"/>
            </w:pPr>
            <w:r>
              <w:rPr>
                <w:i/>
              </w:rPr>
              <w:t>Final SH</w:t>
            </w:r>
          </w:p>
          <w:p w14:paraId="590DC8CE" w14:textId="77777777" w:rsidR="007A6E95" w:rsidRDefault="007A6E95" w:rsidP="007C644D">
            <w:pPr>
              <w:spacing w:after="0" w:line="259" w:lineRule="auto"/>
              <w:ind w:left="120" w:firstLine="0"/>
              <w:jc w:val="left"/>
            </w:pPr>
            <w:r>
              <w:rPr>
                <w:b/>
              </w:rPr>
              <w:t xml:space="preserve">Max wall temperature </w:t>
            </w:r>
            <w:r>
              <w:t>[</w:t>
            </w:r>
            <w:r>
              <w:rPr>
                <w:rFonts w:ascii="Cambria" w:eastAsia="Cambria" w:hAnsi="Cambria" w:cs="Cambria"/>
                <w:vertAlign w:val="superscript"/>
              </w:rPr>
              <w:t>◦</w:t>
            </w:r>
            <w:r>
              <w:rPr>
                <w:rFonts w:ascii="Cambria" w:eastAsia="Cambria" w:hAnsi="Cambria" w:cs="Cambria"/>
                <w:i/>
              </w:rPr>
              <w:t>C</w:t>
            </w:r>
            <w:r>
              <w:t>]</w:t>
            </w:r>
          </w:p>
        </w:tc>
        <w:tc>
          <w:tcPr>
            <w:tcW w:w="974" w:type="dxa"/>
            <w:tcBorders>
              <w:top w:val="nil"/>
              <w:left w:val="nil"/>
              <w:bottom w:val="nil"/>
              <w:right w:val="nil"/>
            </w:tcBorders>
            <w:vAlign w:val="bottom"/>
          </w:tcPr>
          <w:p w14:paraId="00DD6FAA" w14:textId="77777777" w:rsidR="007A6E95" w:rsidRDefault="007A6E95" w:rsidP="007C644D">
            <w:pPr>
              <w:spacing w:after="0" w:line="259" w:lineRule="auto"/>
              <w:ind w:left="0" w:firstLine="0"/>
              <w:jc w:val="left"/>
            </w:pPr>
            <w:r>
              <w:t>602</w:t>
            </w:r>
          </w:p>
        </w:tc>
        <w:tc>
          <w:tcPr>
            <w:tcW w:w="974" w:type="dxa"/>
            <w:tcBorders>
              <w:top w:val="nil"/>
              <w:left w:val="nil"/>
              <w:bottom w:val="nil"/>
              <w:right w:val="nil"/>
            </w:tcBorders>
            <w:vAlign w:val="bottom"/>
          </w:tcPr>
          <w:p w14:paraId="4A1184A7" w14:textId="77777777" w:rsidR="007A6E95" w:rsidRDefault="007A6E95" w:rsidP="007C644D">
            <w:pPr>
              <w:spacing w:after="0" w:line="259" w:lineRule="auto"/>
              <w:ind w:left="0" w:firstLine="0"/>
              <w:jc w:val="left"/>
            </w:pPr>
            <w:r>
              <w:t>624</w:t>
            </w:r>
          </w:p>
        </w:tc>
        <w:tc>
          <w:tcPr>
            <w:tcW w:w="974" w:type="dxa"/>
            <w:tcBorders>
              <w:top w:val="nil"/>
              <w:left w:val="nil"/>
              <w:bottom w:val="nil"/>
              <w:right w:val="nil"/>
            </w:tcBorders>
            <w:vAlign w:val="bottom"/>
          </w:tcPr>
          <w:p w14:paraId="1D1AE7D8" w14:textId="77777777" w:rsidR="007A6E95" w:rsidRDefault="007A6E95" w:rsidP="007C644D">
            <w:pPr>
              <w:spacing w:after="0" w:line="259" w:lineRule="auto"/>
              <w:ind w:left="0" w:firstLine="0"/>
              <w:jc w:val="left"/>
            </w:pPr>
            <w:r>
              <w:t>608</w:t>
            </w:r>
          </w:p>
        </w:tc>
        <w:tc>
          <w:tcPr>
            <w:tcW w:w="974" w:type="dxa"/>
            <w:tcBorders>
              <w:top w:val="nil"/>
              <w:left w:val="nil"/>
              <w:bottom w:val="nil"/>
              <w:right w:val="nil"/>
            </w:tcBorders>
            <w:vAlign w:val="bottom"/>
          </w:tcPr>
          <w:p w14:paraId="2C3CFAFF" w14:textId="77777777" w:rsidR="007A6E95" w:rsidRDefault="007A6E95" w:rsidP="007C644D">
            <w:pPr>
              <w:spacing w:after="0" w:line="259" w:lineRule="auto"/>
              <w:ind w:left="0" w:firstLine="0"/>
              <w:jc w:val="left"/>
            </w:pPr>
            <w:r>
              <w:t>595</w:t>
            </w:r>
          </w:p>
        </w:tc>
        <w:tc>
          <w:tcPr>
            <w:tcW w:w="974" w:type="dxa"/>
            <w:tcBorders>
              <w:top w:val="nil"/>
              <w:left w:val="nil"/>
              <w:bottom w:val="nil"/>
              <w:right w:val="nil"/>
            </w:tcBorders>
            <w:vAlign w:val="bottom"/>
          </w:tcPr>
          <w:p w14:paraId="3A75E4F3" w14:textId="77777777" w:rsidR="007A6E95" w:rsidRDefault="007A6E95" w:rsidP="007C644D">
            <w:pPr>
              <w:spacing w:after="0" w:line="259" w:lineRule="auto"/>
              <w:ind w:left="0" w:firstLine="0"/>
              <w:jc w:val="left"/>
            </w:pPr>
            <w:r>
              <w:t>626</w:t>
            </w:r>
          </w:p>
        </w:tc>
        <w:tc>
          <w:tcPr>
            <w:tcW w:w="855" w:type="dxa"/>
            <w:tcBorders>
              <w:top w:val="nil"/>
              <w:left w:val="nil"/>
              <w:bottom w:val="nil"/>
              <w:right w:val="nil"/>
            </w:tcBorders>
            <w:vAlign w:val="bottom"/>
          </w:tcPr>
          <w:p w14:paraId="57DD0FB9" w14:textId="77777777" w:rsidR="007A6E95" w:rsidRDefault="007A6E95" w:rsidP="007C644D">
            <w:pPr>
              <w:spacing w:after="0" w:line="259" w:lineRule="auto"/>
              <w:ind w:left="0" w:firstLine="0"/>
              <w:jc w:val="left"/>
            </w:pPr>
            <w:r>
              <w:t>612</w:t>
            </w:r>
          </w:p>
        </w:tc>
      </w:tr>
      <w:tr w:rsidR="007A6E95" w14:paraId="79057613" w14:textId="77777777" w:rsidTr="007C644D">
        <w:trPr>
          <w:trHeight w:val="405"/>
        </w:trPr>
        <w:tc>
          <w:tcPr>
            <w:tcW w:w="3635" w:type="dxa"/>
            <w:tcBorders>
              <w:top w:val="nil"/>
              <w:left w:val="nil"/>
              <w:bottom w:val="single" w:sz="3" w:space="0" w:color="000000"/>
              <w:right w:val="nil"/>
            </w:tcBorders>
          </w:tcPr>
          <w:p w14:paraId="62CE4EAC" w14:textId="77777777" w:rsidR="007A6E95" w:rsidRDefault="007A6E95" w:rsidP="007C644D">
            <w:pPr>
              <w:spacing w:after="0" w:line="259" w:lineRule="auto"/>
              <w:ind w:left="120" w:firstLine="0"/>
              <w:jc w:val="left"/>
            </w:pPr>
            <w:r>
              <w:rPr>
                <w:b/>
              </w:rPr>
              <w:t xml:space="preserve">Mean wall temperature </w:t>
            </w:r>
            <w:r>
              <w:t>[</w:t>
            </w:r>
            <w:r>
              <w:rPr>
                <w:rFonts w:ascii="Cambria" w:eastAsia="Cambria" w:hAnsi="Cambria" w:cs="Cambria"/>
                <w:vertAlign w:val="superscript"/>
              </w:rPr>
              <w:t>◦</w:t>
            </w:r>
            <w:r>
              <w:rPr>
                <w:rFonts w:ascii="Cambria" w:eastAsia="Cambria" w:hAnsi="Cambria" w:cs="Cambria"/>
                <w:i/>
              </w:rPr>
              <w:t>C</w:t>
            </w:r>
            <w:r>
              <w:t>]</w:t>
            </w:r>
          </w:p>
        </w:tc>
        <w:tc>
          <w:tcPr>
            <w:tcW w:w="974" w:type="dxa"/>
            <w:tcBorders>
              <w:top w:val="nil"/>
              <w:left w:val="nil"/>
              <w:bottom w:val="single" w:sz="3" w:space="0" w:color="000000"/>
              <w:right w:val="nil"/>
            </w:tcBorders>
          </w:tcPr>
          <w:p w14:paraId="1FAD0D7B" w14:textId="77777777" w:rsidR="007A6E95" w:rsidRDefault="007A6E95" w:rsidP="007C644D">
            <w:pPr>
              <w:spacing w:after="0" w:line="259" w:lineRule="auto"/>
              <w:ind w:left="0" w:firstLine="0"/>
              <w:jc w:val="left"/>
            </w:pPr>
            <w:r>
              <w:t>520</w:t>
            </w:r>
          </w:p>
        </w:tc>
        <w:tc>
          <w:tcPr>
            <w:tcW w:w="974" w:type="dxa"/>
            <w:tcBorders>
              <w:top w:val="nil"/>
              <w:left w:val="nil"/>
              <w:bottom w:val="single" w:sz="3" w:space="0" w:color="000000"/>
              <w:right w:val="nil"/>
            </w:tcBorders>
          </w:tcPr>
          <w:p w14:paraId="4CEAD7DD" w14:textId="77777777" w:rsidR="007A6E95" w:rsidRDefault="007A6E95" w:rsidP="007C644D">
            <w:pPr>
              <w:spacing w:after="0" w:line="259" w:lineRule="auto"/>
              <w:ind w:left="0" w:firstLine="0"/>
              <w:jc w:val="left"/>
            </w:pPr>
            <w:r>
              <w:t>523</w:t>
            </w:r>
          </w:p>
        </w:tc>
        <w:tc>
          <w:tcPr>
            <w:tcW w:w="974" w:type="dxa"/>
            <w:tcBorders>
              <w:top w:val="nil"/>
              <w:left w:val="nil"/>
              <w:bottom w:val="single" w:sz="3" w:space="0" w:color="000000"/>
              <w:right w:val="nil"/>
            </w:tcBorders>
          </w:tcPr>
          <w:p w14:paraId="68680B41" w14:textId="77777777" w:rsidR="007A6E95" w:rsidRDefault="007A6E95" w:rsidP="007C644D">
            <w:pPr>
              <w:spacing w:after="0" w:line="259" w:lineRule="auto"/>
              <w:ind w:left="0" w:firstLine="0"/>
              <w:jc w:val="left"/>
            </w:pPr>
            <w:r>
              <w:t>517</w:t>
            </w:r>
          </w:p>
        </w:tc>
        <w:tc>
          <w:tcPr>
            <w:tcW w:w="974" w:type="dxa"/>
            <w:tcBorders>
              <w:top w:val="nil"/>
              <w:left w:val="nil"/>
              <w:bottom w:val="single" w:sz="3" w:space="0" w:color="000000"/>
              <w:right w:val="nil"/>
            </w:tcBorders>
          </w:tcPr>
          <w:p w14:paraId="7A84B1DF" w14:textId="77777777" w:rsidR="007A6E95" w:rsidRDefault="007A6E95" w:rsidP="007C644D">
            <w:pPr>
              <w:spacing w:after="0" w:line="259" w:lineRule="auto"/>
              <w:ind w:left="0" w:firstLine="0"/>
              <w:jc w:val="left"/>
            </w:pPr>
            <w:r>
              <w:t>512</w:t>
            </w:r>
          </w:p>
        </w:tc>
        <w:tc>
          <w:tcPr>
            <w:tcW w:w="974" w:type="dxa"/>
            <w:tcBorders>
              <w:top w:val="nil"/>
              <w:left w:val="nil"/>
              <w:bottom w:val="single" w:sz="3" w:space="0" w:color="000000"/>
              <w:right w:val="nil"/>
            </w:tcBorders>
          </w:tcPr>
          <w:p w14:paraId="4FA8C27B" w14:textId="77777777" w:rsidR="007A6E95" w:rsidRDefault="007A6E95" w:rsidP="007C644D">
            <w:pPr>
              <w:spacing w:after="0" w:line="259" w:lineRule="auto"/>
              <w:ind w:left="0" w:firstLine="0"/>
              <w:jc w:val="left"/>
            </w:pPr>
            <w:r>
              <w:t>520</w:t>
            </w:r>
          </w:p>
        </w:tc>
        <w:tc>
          <w:tcPr>
            <w:tcW w:w="855" w:type="dxa"/>
            <w:tcBorders>
              <w:top w:val="nil"/>
              <w:left w:val="nil"/>
              <w:bottom w:val="single" w:sz="3" w:space="0" w:color="000000"/>
              <w:right w:val="nil"/>
            </w:tcBorders>
          </w:tcPr>
          <w:p w14:paraId="1839B5F0" w14:textId="77777777" w:rsidR="007A6E95" w:rsidRDefault="007A6E95" w:rsidP="007C644D">
            <w:pPr>
              <w:spacing w:after="0" w:line="259" w:lineRule="auto"/>
              <w:ind w:left="0" w:firstLine="0"/>
              <w:jc w:val="left"/>
            </w:pPr>
            <w:r>
              <w:t>511</w:t>
            </w:r>
          </w:p>
        </w:tc>
      </w:tr>
    </w:tbl>
    <w:p w14:paraId="61A4163A" w14:textId="6490902D" w:rsidR="007A6E95" w:rsidRDefault="007A6E95">
      <w:pPr>
        <w:spacing w:after="160" w:line="259" w:lineRule="auto"/>
        <w:ind w:left="0" w:firstLine="0"/>
        <w:jc w:val="left"/>
      </w:pPr>
      <w:r>
        <w:br w:type="page"/>
      </w:r>
    </w:p>
    <w:p w14:paraId="79B47AD7" w14:textId="77777777" w:rsidR="007A6E95" w:rsidRDefault="007A6E95" w:rsidP="007A6E95">
      <w:pPr>
        <w:ind w:left="-15" w:right="1005"/>
        <w:jc w:val="center"/>
      </w:pPr>
      <w:r>
        <w:rPr>
          <w:sz w:val="16"/>
        </w:rPr>
        <w:lastRenderedPageBreak/>
        <w:t>Table 5.</w:t>
      </w:r>
      <w:r>
        <w:rPr>
          <w:sz w:val="16"/>
        </w:rPr>
        <w:tab/>
        <w:t>Process model control parameters</w:t>
      </w:r>
    </w:p>
    <w:tbl>
      <w:tblPr>
        <w:tblStyle w:val="TableGrid"/>
        <w:tblW w:w="9360" w:type="dxa"/>
        <w:tblInd w:w="0" w:type="dxa"/>
        <w:tblCellMar>
          <w:top w:w="101" w:type="dxa"/>
          <w:right w:w="115" w:type="dxa"/>
        </w:tblCellMar>
        <w:tblLook w:val="04A0" w:firstRow="1" w:lastRow="0" w:firstColumn="1" w:lastColumn="0" w:noHBand="0" w:noVBand="1"/>
      </w:tblPr>
      <w:tblGrid>
        <w:gridCol w:w="3167"/>
        <w:gridCol w:w="1052"/>
        <w:gridCol w:w="1052"/>
        <w:gridCol w:w="1052"/>
        <w:gridCol w:w="1052"/>
        <w:gridCol w:w="1052"/>
        <w:gridCol w:w="933"/>
      </w:tblGrid>
      <w:tr w:rsidR="007A6E95" w14:paraId="4E648981" w14:textId="77777777" w:rsidTr="007C644D">
        <w:trPr>
          <w:trHeight w:val="436"/>
        </w:trPr>
        <w:tc>
          <w:tcPr>
            <w:tcW w:w="3167" w:type="dxa"/>
            <w:tcBorders>
              <w:top w:val="single" w:sz="3" w:space="0" w:color="000000"/>
              <w:left w:val="nil"/>
              <w:bottom w:val="nil"/>
              <w:right w:val="nil"/>
            </w:tcBorders>
          </w:tcPr>
          <w:p w14:paraId="1BD98F08" w14:textId="77777777" w:rsidR="007A6E95" w:rsidRDefault="007A6E95" w:rsidP="007C644D">
            <w:pPr>
              <w:spacing w:after="160" w:line="259" w:lineRule="auto"/>
              <w:ind w:left="0" w:firstLine="0"/>
              <w:jc w:val="left"/>
            </w:pPr>
          </w:p>
        </w:tc>
        <w:tc>
          <w:tcPr>
            <w:tcW w:w="1052" w:type="dxa"/>
            <w:tcBorders>
              <w:top w:val="single" w:sz="3" w:space="0" w:color="000000"/>
              <w:left w:val="nil"/>
              <w:bottom w:val="nil"/>
              <w:right w:val="nil"/>
            </w:tcBorders>
          </w:tcPr>
          <w:p w14:paraId="0450E261" w14:textId="77777777" w:rsidR="007A6E95" w:rsidRDefault="007A6E95" w:rsidP="007C644D">
            <w:pPr>
              <w:spacing w:after="160" w:line="259" w:lineRule="auto"/>
              <w:ind w:left="0" w:firstLine="0"/>
              <w:jc w:val="left"/>
            </w:pPr>
          </w:p>
        </w:tc>
        <w:tc>
          <w:tcPr>
            <w:tcW w:w="1052" w:type="dxa"/>
            <w:tcBorders>
              <w:top w:val="single" w:sz="3" w:space="0" w:color="000000"/>
              <w:left w:val="nil"/>
              <w:bottom w:val="nil"/>
              <w:right w:val="nil"/>
            </w:tcBorders>
          </w:tcPr>
          <w:p w14:paraId="2E0946C1" w14:textId="77777777" w:rsidR="007A6E95" w:rsidRDefault="007A6E95" w:rsidP="007C644D">
            <w:pPr>
              <w:spacing w:after="160" w:line="259" w:lineRule="auto"/>
              <w:ind w:left="0" w:firstLine="0"/>
              <w:jc w:val="left"/>
            </w:pPr>
          </w:p>
        </w:tc>
        <w:tc>
          <w:tcPr>
            <w:tcW w:w="2104" w:type="dxa"/>
            <w:gridSpan w:val="2"/>
            <w:tcBorders>
              <w:top w:val="single" w:sz="3" w:space="0" w:color="000000"/>
              <w:left w:val="nil"/>
              <w:bottom w:val="nil"/>
              <w:right w:val="nil"/>
            </w:tcBorders>
            <w:vAlign w:val="center"/>
          </w:tcPr>
          <w:p w14:paraId="34EC37B3" w14:textId="77777777" w:rsidR="007A6E95" w:rsidRDefault="007A6E95" w:rsidP="007C644D">
            <w:pPr>
              <w:spacing w:after="0" w:line="259" w:lineRule="auto"/>
              <w:ind w:left="624" w:firstLine="0"/>
              <w:jc w:val="left"/>
            </w:pPr>
            <w:r>
              <w:t>Cases</w:t>
            </w:r>
          </w:p>
        </w:tc>
        <w:tc>
          <w:tcPr>
            <w:tcW w:w="1052" w:type="dxa"/>
            <w:tcBorders>
              <w:top w:val="single" w:sz="3" w:space="0" w:color="000000"/>
              <w:left w:val="nil"/>
              <w:bottom w:val="nil"/>
              <w:right w:val="nil"/>
            </w:tcBorders>
          </w:tcPr>
          <w:p w14:paraId="6521A2D8" w14:textId="77777777" w:rsidR="007A6E95" w:rsidRDefault="007A6E95" w:rsidP="007C644D">
            <w:pPr>
              <w:spacing w:after="160" w:line="259" w:lineRule="auto"/>
              <w:ind w:left="0" w:firstLine="0"/>
              <w:jc w:val="left"/>
            </w:pPr>
          </w:p>
        </w:tc>
        <w:tc>
          <w:tcPr>
            <w:tcW w:w="933" w:type="dxa"/>
            <w:tcBorders>
              <w:top w:val="single" w:sz="3" w:space="0" w:color="000000"/>
              <w:left w:val="nil"/>
              <w:bottom w:val="nil"/>
              <w:right w:val="nil"/>
            </w:tcBorders>
          </w:tcPr>
          <w:p w14:paraId="567129FC" w14:textId="77777777" w:rsidR="007A6E95" w:rsidRDefault="007A6E95" w:rsidP="007C644D">
            <w:pPr>
              <w:spacing w:after="160" w:line="259" w:lineRule="auto"/>
              <w:ind w:left="0" w:firstLine="0"/>
              <w:jc w:val="left"/>
            </w:pPr>
          </w:p>
        </w:tc>
      </w:tr>
      <w:tr w:rsidR="007A6E95" w14:paraId="580AD9C3" w14:textId="77777777" w:rsidTr="007C644D">
        <w:trPr>
          <w:trHeight w:val="385"/>
        </w:trPr>
        <w:tc>
          <w:tcPr>
            <w:tcW w:w="3167" w:type="dxa"/>
            <w:tcBorders>
              <w:top w:val="nil"/>
              <w:left w:val="nil"/>
              <w:bottom w:val="single" w:sz="3" w:space="0" w:color="000000"/>
              <w:right w:val="nil"/>
            </w:tcBorders>
          </w:tcPr>
          <w:p w14:paraId="01FBF55B" w14:textId="77777777" w:rsidR="007A6E95" w:rsidRDefault="007A6E95" w:rsidP="007C644D">
            <w:pPr>
              <w:spacing w:after="160" w:line="259" w:lineRule="auto"/>
              <w:ind w:left="0" w:firstLine="0"/>
              <w:jc w:val="left"/>
            </w:pPr>
          </w:p>
        </w:tc>
        <w:tc>
          <w:tcPr>
            <w:tcW w:w="1052" w:type="dxa"/>
            <w:tcBorders>
              <w:top w:val="nil"/>
              <w:left w:val="nil"/>
              <w:bottom w:val="single" w:sz="3" w:space="0" w:color="000000"/>
              <w:right w:val="nil"/>
            </w:tcBorders>
          </w:tcPr>
          <w:p w14:paraId="3A004F38" w14:textId="77777777" w:rsidR="007A6E95" w:rsidRDefault="007A6E95" w:rsidP="007C644D">
            <w:pPr>
              <w:spacing w:after="0" w:line="259" w:lineRule="auto"/>
              <w:ind w:left="0" w:firstLine="0"/>
              <w:jc w:val="left"/>
            </w:pPr>
            <w:r>
              <w:rPr>
                <w:b/>
              </w:rPr>
              <w:t>1</w:t>
            </w:r>
          </w:p>
        </w:tc>
        <w:tc>
          <w:tcPr>
            <w:tcW w:w="1052" w:type="dxa"/>
            <w:tcBorders>
              <w:top w:val="nil"/>
              <w:left w:val="nil"/>
              <w:bottom w:val="single" w:sz="3" w:space="0" w:color="000000"/>
              <w:right w:val="nil"/>
            </w:tcBorders>
          </w:tcPr>
          <w:p w14:paraId="38EBE2CD" w14:textId="77777777" w:rsidR="007A6E95" w:rsidRDefault="007A6E95" w:rsidP="007C644D">
            <w:pPr>
              <w:spacing w:after="0" w:line="259" w:lineRule="auto"/>
              <w:ind w:left="0" w:firstLine="0"/>
              <w:jc w:val="left"/>
            </w:pPr>
            <w:r>
              <w:rPr>
                <w:b/>
              </w:rPr>
              <w:t>2</w:t>
            </w:r>
          </w:p>
        </w:tc>
        <w:tc>
          <w:tcPr>
            <w:tcW w:w="1052" w:type="dxa"/>
            <w:tcBorders>
              <w:top w:val="nil"/>
              <w:left w:val="nil"/>
              <w:bottom w:val="single" w:sz="3" w:space="0" w:color="000000"/>
              <w:right w:val="nil"/>
            </w:tcBorders>
          </w:tcPr>
          <w:p w14:paraId="4C689994" w14:textId="77777777" w:rsidR="007A6E95" w:rsidRDefault="007A6E95" w:rsidP="007C644D">
            <w:pPr>
              <w:spacing w:after="0" w:line="259" w:lineRule="auto"/>
              <w:ind w:left="0" w:firstLine="0"/>
              <w:jc w:val="left"/>
            </w:pPr>
            <w:r>
              <w:rPr>
                <w:b/>
              </w:rPr>
              <w:t>3</w:t>
            </w:r>
          </w:p>
        </w:tc>
        <w:tc>
          <w:tcPr>
            <w:tcW w:w="1052" w:type="dxa"/>
            <w:tcBorders>
              <w:top w:val="nil"/>
              <w:left w:val="nil"/>
              <w:bottom w:val="single" w:sz="3" w:space="0" w:color="000000"/>
              <w:right w:val="nil"/>
            </w:tcBorders>
          </w:tcPr>
          <w:p w14:paraId="63D8AB10" w14:textId="77777777" w:rsidR="007A6E95" w:rsidRDefault="007A6E95" w:rsidP="007C644D">
            <w:pPr>
              <w:spacing w:after="0" w:line="259" w:lineRule="auto"/>
              <w:ind w:left="0" w:firstLine="0"/>
              <w:jc w:val="left"/>
            </w:pPr>
            <w:r>
              <w:rPr>
                <w:b/>
              </w:rPr>
              <w:t>4</w:t>
            </w:r>
          </w:p>
        </w:tc>
        <w:tc>
          <w:tcPr>
            <w:tcW w:w="1052" w:type="dxa"/>
            <w:tcBorders>
              <w:top w:val="nil"/>
              <w:left w:val="nil"/>
              <w:bottom w:val="single" w:sz="3" w:space="0" w:color="000000"/>
              <w:right w:val="nil"/>
            </w:tcBorders>
          </w:tcPr>
          <w:p w14:paraId="0A277F06" w14:textId="77777777" w:rsidR="007A6E95" w:rsidRDefault="007A6E95" w:rsidP="007C644D">
            <w:pPr>
              <w:spacing w:after="0" w:line="259" w:lineRule="auto"/>
              <w:ind w:left="0" w:firstLine="0"/>
              <w:jc w:val="left"/>
            </w:pPr>
            <w:r>
              <w:rPr>
                <w:b/>
              </w:rPr>
              <w:t>5</w:t>
            </w:r>
          </w:p>
        </w:tc>
        <w:tc>
          <w:tcPr>
            <w:tcW w:w="933" w:type="dxa"/>
            <w:tcBorders>
              <w:top w:val="nil"/>
              <w:left w:val="nil"/>
              <w:bottom w:val="single" w:sz="3" w:space="0" w:color="000000"/>
              <w:right w:val="nil"/>
            </w:tcBorders>
          </w:tcPr>
          <w:p w14:paraId="2840C679" w14:textId="77777777" w:rsidR="007A6E95" w:rsidRDefault="007A6E95" w:rsidP="007C644D">
            <w:pPr>
              <w:spacing w:after="0" w:line="259" w:lineRule="auto"/>
              <w:ind w:left="0" w:firstLine="0"/>
              <w:jc w:val="left"/>
            </w:pPr>
            <w:r>
              <w:rPr>
                <w:b/>
              </w:rPr>
              <w:t>6</w:t>
            </w:r>
          </w:p>
        </w:tc>
      </w:tr>
      <w:tr w:rsidR="007A6E95" w14:paraId="206FD4FD" w14:textId="77777777" w:rsidTr="007C644D">
        <w:trPr>
          <w:trHeight w:val="416"/>
        </w:trPr>
        <w:tc>
          <w:tcPr>
            <w:tcW w:w="3167" w:type="dxa"/>
            <w:tcBorders>
              <w:top w:val="single" w:sz="3" w:space="0" w:color="000000"/>
              <w:left w:val="nil"/>
              <w:bottom w:val="nil"/>
              <w:right w:val="nil"/>
            </w:tcBorders>
          </w:tcPr>
          <w:p w14:paraId="3350E475" w14:textId="77777777" w:rsidR="007A6E95" w:rsidRDefault="007A6E95" w:rsidP="007C644D">
            <w:pPr>
              <w:spacing w:after="0" w:line="259" w:lineRule="auto"/>
              <w:ind w:left="120" w:firstLine="0"/>
              <w:jc w:val="left"/>
            </w:pPr>
            <w:r>
              <w:rPr>
                <w:b/>
              </w:rPr>
              <w:t xml:space="preserve">Main steam flowrate </w:t>
            </w:r>
            <w:r>
              <w:t>[</w:t>
            </w:r>
            <w:r>
              <w:rPr>
                <w:rFonts w:ascii="Cambria" w:eastAsia="Cambria" w:hAnsi="Cambria" w:cs="Cambria"/>
                <w:i/>
              </w:rPr>
              <w:t>kg/s</w:t>
            </w:r>
            <w:r>
              <w:t>]</w:t>
            </w:r>
          </w:p>
        </w:tc>
        <w:tc>
          <w:tcPr>
            <w:tcW w:w="1052" w:type="dxa"/>
            <w:tcBorders>
              <w:top w:val="single" w:sz="3" w:space="0" w:color="000000"/>
              <w:left w:val="nil"/>
              <w:bottom w:val="nil"/>
              <w:right w:val="nil"/>
            </w:tcBorders>
          </w:tcPr>
          <w:p w14:paraId="41593572" w14:textId="77777777" w:rsidR="007A6E95" w:rsidRDefault="007A6E95" w:rsidP="007C644D">
            <w:pPr>
              <w:spacing w:after="0" w:line="259" w:lineRule="auto"/>
              <w:ind w:left="0" w:firstLine="0"/>
              <w:jc w:val="left"/>
            </w:pPr>
            <w:r>
              <w:t>175.8</w:t>
            </w:r>
          </w:p>
        </w:tc>
        <w:tc>
          <w:tcPr>
            <w:tcW w:w="1052" w:type="dxa"/>
            <w:tcBorders>
              <w:top w:val="single" w:sz="3" w:space="0" w:color="000000"/>
              <w:left w:val="nil"/>
              <w:bottom w:val="nil"/>
              <w:right w:val="nil"/>
            </w:tcBorders>
          </w:tcPr>
          <w:p w14:paraId="16642132" w14:textId="77777777" w:rsidR="007A6E95" w:rsidRDefault="007A6E95" w:rsidP="007C644D">
            <w:pPr>
              <w:spacing w:after="0" w:line="259" w:lineRule="auto"/>
              <w:ind w:left="0" w:firstLine="0"/>
              <w:jc w:val="left"/>
            </w:pPr>
            <w:r>
              <w:t>172.9</w:t>
            </w:r>
          </w:p>
        </w:tc>
        <w:tc>
          <w:tcPr>
            <w:tcW w:w="1052" w:type="dxa"/>
            <w:tcBorders>
              <w:top w:val="single" w:sz="3" w:space="0" w:color="000000"/>
              <w:left w:val="nil"/>
              <w:bottom w:val="nil"/>
              <w:right w:val="nil"/>
            </w:tcBorders>
          </w:tcPr>
          <w:p w14:paraId="1A5A3948" w14:textId="77777777" w:rsidR="007A6E95" w:rsidRDefault="007A6E95" w:rsidP="007C644D">
            <w:pPr>
              <w:spacing w:after="0" w:line="259" w:lineRule="auto"/>
              <w:ind w:left="0" w:firstLine="0"/>
              <w:jc w:val="left"/>
            </w:pPr>
            <w:r>
              <w:t>180.5</w:t>
            </w:r>
          </w:p>
        </w:tc>
        <w:tc>
          <w:tcPr>
            <w:tcW w:w="1052" w:type="dxa"/>
            <w:tcBorders>
              <w:top w:val="single" w:sz="3" w:space="0" w:color="000000"/>
              <w:left w:val="nil"/>
              <w:bottom w:val="nil"/>
              <w:right w:val="nil"/>
            </w:tcBorders>
          </w:tcPr>
          <w:p w14:paraId="125448E4" w14:textId="77777777" w:rsidR="007A6E95" w:rsidRDefault="007A6E95" w:rsidP="007C644D">
            <w:pPr>
              <w:spacing w:after="0" w:line="259" w:lineRule="auto"/>
              <w:ind w:left="0" w:firstLine="0"/>
              <w:jc w:val="left"/>
            </w:pPr>
            <w:r>
              <w:t>180.2</w:t>
            </w:r>
          </w:p>
        </w:tc>
        <w:tc>
          <w:tcPr>
            <w:tcW w:w="1052" w:type="dxa"/>
            <w:tcBorders>
              <w:top w:val="single" w:sz="3" w:space="0" w:color="000000"/>
              <w:left w:val="nil"/>
              <w:bottom w:val="nil"/>
              <w:right w:val="nil"/>
            </w:tcBorders>
          </w:tcPr>
          <w:p w14:paraId="467CFC1D" w14:textId="77777777" w:rsidR="007A6E95" w:rsidRDefault="007A6E95" w:rsidP="007C644D">
            <w:pPr>
              <w:spacing w:after="0" w:line="259" w:lineRule="auto"/>
              <w:ind w:left="0" w:firstLine="0"/>
              <w:jc w:val="left"/>
            </w:pPr>
            <w:r>
              <w:t>179.1</w:t>
            </w:r>
          </w:p>
        </w:tc>
        <w:tc>
          <w:tcPr>
            <w:tcW w:w="933" w:type="dxa"/>
            <w:tcBorders>
              <w:top w:val="single" w:sz="3" w:space="0" w:color="000000"/>
              <w:left w:val="nil"/>
              <w:bottom w:val="nil"/>
              <w:right w:val="nil"/>
            </w:tcBorders>
          </w:tcPr>
          <w:p w14:paraId="43E0C199" w14:textId="77777777" w:rsidR="007A6E95" w:rsidRDefault="007A6E95" w:rsidP="007C644D">
            <w:pPr>
              <w:spacing w:after="0" w:line="259" w:lineRule="auto"/>
              <w:ind w:left="0" w:firstLine="0"/>
              <w:jc w:val="left"/>
            </w:pPr>
            <w:r>
              <w:t>184.1</w:t>
            </w:r>
          </w:p>
        </w:tc>
      </w:tr>
      <w:tr w:rsidR="007A6E95" w14:paraId="6855E4F9" w14:textId="77777777" w:rsidTr="007C644D">
        <w:trPr>
          <w:trHeight w:val="427"/>
        </w:trPr>
        <w:tc>
          <w:tcPr>
            <w:tcW w:w="3167" w:type="dxa"/>
            <w:tcBorders>
              <w:top w:val="nil"/>
              <w:left w:val="nil"/>
              <w:bottom w:val="nil"/>
              <w:right w:val="nil"/>
            </w:tcBorders>
            <w:vAlign w:val="center"/>
          </w:tcPr>
          <w:p w14:paraId="7D4AAF8B" w14:textId="77777777" w:rsidR="007A6E95" w:rsidRDefault="007A6E95" w:rsidP="007C644D">
            <w:pPr>
              <w:spacing w:after="0" w:line="259" w:lineRule="auto"/>
              <w:ind w:left="120" w:firstLine="0"/>
              <w:jc w:val="left"/>
            </w:pPr>
            <w:r>
              <w:rPr>
                <w:b/>
              </w:rPr>
              <w:t xml:space="preserve">Main steam exit temp </w:t>
            </w:r>
            <w:r>
              <w:t>[</w:t>
            </w:r>
            <w:r>
              <w:rPr>
                <w:rFonts w:ascii="Cambria" w:eastAsia="Cambria" w:hAnsi="Cambria" w:cs="Cambria"/>
                <w:vertAlign w:val="superscript"/>
              </w:rPr>
              <w:t>◦</w:t>
            </w:r>
            <w:r>
              <w:rPr>
                <w:rFonts w:ascii="Cambria" w:eastAsia="Cambria" w:hAnsi="Cambria" w:cs="Cambria"/>
                <w:i/>
              </w:rPr>
              <w:t>C</w:t>
            </w:r>
            <w:r>
              <w:t>]</w:t>
            </w:r>
          </w:p>
        </w:tc>
        <w:tc>
          <w:tcPr>
            <w:tcW w:w="1052" w:type="dxa"/>
            <w:tcBorders>
              <w:top w:val="nil"/>
              <w:left w:val="nil"/>
              <w:bottom w:val="nil"/>
              <w:right w:val="nil"/>
            </w:tcBorders>
            <w:vAlign w:val="center"/>
          </w:tcPr>
          <w:p w14:paraId="353D6C32" w14:textId="77777777" w:rsidR="007A6E95" w:rsidRDefault="007A6E95" w:rsidP="007C644D">
            <w:pPr>
              <w:spacing w:after="0" w:line="259" w:lineRule="auto"/>
              <w:ind w:left="0" w:firstLine="0"/>
              <w:jc w:val="left"/>
            </w:pPr>
            <w:r>
              <w:t>535</w:t>
            </w:r>
          </w:p>
        </w:tc>
        <w:tc>
          <w:tcPr>
            <w:tcW w:w="1052" w:type="dxa"/>
            <w:tcBorders>
              <w:top w:val="nil"/>
              <w:left w:val="nil"/>
              <w:bottom w:val="nil"/>
              <w:right w:val="nil"/>
            </w:tcBorders>
            <w:vAlign w:val="center"/>
          </w:tcPr>
          <w:p w14:paraId="106C8805" w14:textId="77777777" w:rsidR="007A6E95" w:rsidRDefault="007A6E95" w:rsidP="007C644D">
            <w:pPr>
              <w:spacing w:after="0" w:line="259" w:lineRule="auto"/>
              <w:ind w:left="0" w:firstLine="0"/>
              <w:jc w:val="left"/>
            </w:pPr>
            <w:r>
              <w:t>535</w:t>
            </w:r>
          </w:p>
        </w:tc>
        <w:tc>
          <w:tcPr>
            <w:tcW w:w="1052" w:type="dxa"/>
            <w:tcBorders>
              <w:top w:val="nil"/>
              <w:left w:val="nil"/>
              <w:bottom w:val="nil"/>
              <w:right w:val="nil"/>
            </w:tcBorders>
            <w:vAlign w:val="center"/>
          </w:tcPr>
          <w:p w14:paraId="2EAAD0BB" w14:textId="77777777" w:rsidR="007A6E95" w:rsidRDefault="007A6E95" w:rsidP="007C644D">
            <w:pPr>
              <w:spacing w:after="0" w:line="259" w:lineRule="auto"/>
              <w:ind w:left="0" w:firstLine="0"/>
              <w:jc w:val="left"/>
            </w:pPr>
            <w:r>
              <w:t>535</w:t>
            </w:r>
          </w:p>
        </w:tc>
        <w:tc>
          <w:tcPr>
            <w:tcW w:w="1052" w:type="dxa"/>
            <w:tcBorders>
              <w:top w:val="nil"/>
              <w:left w:val="nil"/>
              <w:bottom w:val="nil"/>
              <w:right w:val="nil"/>
            </w:tcBorders>
            <w:vAlign w:val="center"/>
          </w:tcPr>
          <w:p w14:paraId="6A165027" w14:textId="77777777" w:rsidR="007A6E95" w:rsidRDefault="007A6E95" w:rsidP="007C644D">
            <w:pPr>
              <w:spacing w:after="0" w:line="259" w:lineRule="auto"/>
              <w:ind w:left="0" w:firstLine="0"/>
              <w:jc w:val="left"/>
            </w:pPr>
            <w:r>
              <w:t>535</w:t>
            </w:r>
          </w:p>
        </w:tc>
        <w:tc>
          <w:tcPr>
            <w:tcW w:w="1052" w:type="dxa"/>
            <w:tcBorders>
              <w:top w:val="nil"/>
              <w:left w:val="nil"/>
              <w:bottom w:val="nil"/>
              <w:right w:val="nil"/>
            </w:tcBorders>
            <w:vAlign w:val="center"/>
          </w:tcPr>
          <w:p w14:paraId="750DC72D" w14:textId="77777777" w:rsidR="007A6E95" w:rsidRDefault="007A6E95" w:rsidP="007C644D">
            <w:pPr>
              <w:spacing w:after="0" w:line="259" w:lineRule="auto"/>
              <w:ind w:left="0" w:firstLine="0"/>
              <w:jc w:val="left"/>
            </w:pPr>
            <w:r>
              <w:t>535</w:t>
            </w:r>
          </w:p>
        </w:tc>
        <w:tc>
          <w:tcPr>
            <w:tcW w:w="933" w:type="dxa"/>
            <w:tcBorders>
              <w:top w:val="nil"/>
              <w:left w:val="nil"/>
              <w:bottom w:val="nil"/>
              <w:right w:val="nil"/>
            </w:tcBorders>
            <w:vAlign w:val="center"/>
          </w:tcPr>
          <w:p w14:paraId="2C9EEF7A" w14:textId="77777777" w:rsidR="007A6E95" w:rsidRDefault="007A6E95" w:rsidP="007C644D">
            <w:pPr>
              <w:spacing w:after="0" w:line="259" w:lineRule="auto"/>
              <w:ind w:left="0" w:firstLine="0"/>
              <w:jc w:val="left"/>
            </w:pPr>
            <w:r>
              <w:t>535</w:t>
            </w:r>
          </w:p>
        </w:tc>
      </w:tr>
      <w:tr w:rsidR="007A6E95" w14:paraId="36D3A6E1" w14:textId="77777777" w:rsidTr="007C644D">
        <w:trPr>
          <w:trHeight w:val="386"/>
        </w:trPr>
        <w:tc>
          <w:tcPr>
            <w:tcW w:w="3167" w:type="dxa"/>
            <w:tcBorders>
              <w:top w:val="nil"/>
              <w:left w:val="nil"/>
              <w:bottom w:val="nil"/>
              <w:right w:val="nil"/>
            </w:tcBorders>
          </w:tcPr>
          <w:p w14:paraId="423E1380" w14:textId="77777777" w:rsidR="007A6E95" w:rsidRDefault="007A6E95" w:rsidP="007C644D">
            <w:pPr>
              <w:spacing w:after="0" w:line="259" w:lineRule="auto"/>
              <w:ind w:left="120" w:firstLine="0"/>
              <w:jc w:val="left"/>
            </w:pPr>
            <w:r>
              <w:rPr>
                <w:b/>
              </w:rPr>
              <w:t xml:space="preserve">RH steam flow rate </w:t>
            </w:r>
            <w:r>
              <w:t>[</w:t>
            </w:r>
            <w:r>
              <w:rPr>
                <w:rFonts w:ascii="Cambria" w:eastAsia="Cambria" w:hAnsi="Cambria" w:cs="Cambria"/>
                <w:i/>
              </w:rPr>
              <w:t>kg/s</w:t>
            </w:r>
            <w:r>
              <w:t>]</w:t>
            </w:r>
          </w:p>
        </w:tc>
        <w:tc>
          <w:tcPr>
            <w:tcW w:w="1052" w:type="dxa"/>
            <w:tcBorders>
              <w:top w:val="nil"/>
              <w:left w:val="nil"/>
              <w:bottom w:val="nil"/>
              <w:right w:val="nil"/>
            </w:tcBorders>
          </w:tcPr>
          <w:p w14:paraId="627EF6AE" w14:textId="77777777" w:rsidR="007A6E95" w:rsidRDefault="007A6E95" w:rsidP="007C644D">
            <w:pPr>
              <w:spacing w:after="0" w:line="259" w:lineRule="auto"/>
              <w:ind w:left="0" w:firstLine="0"/>
              <w:jc w:val="left"/>
            </w:pPr>
            <w:r>
              <w:t>158.2</w:t>
            </w:r>
          </w:p>
        </w:tc>
        <w:tc>
          <w:tcPr>
            <w:tcW w:w="1052" w:type="dxa"/>
            <w:tcBorders>
              <w:top w:val="nil"/>
              <w:left w:val="nil"/>
              <w:bottom w:val="nil"/>
              <w:right w:val="nil"/>
            </w:tcBorders>
          </w:tcPr>
          <w:p w14:paraId="3BCA619B" w14:textId="77777777" w:rsidR="007A6E95" w:rsidRDefault="007A6E95" w:rsidP="007C644D">
            <w:pPr>
              <w:spacing w:after="0" w:line="259" w:lineRule="auto"/>
              <w:ind w:left="0" w:firstLine="0"/>
              <w:jc w:val="left"/>
            </w:pPr>
            <w:r>
              <w:t>155.6</w:t>
            </w:r>
          </w:p>
        </w:tc>
        <w:tc>
          <w:tcPr>
            <w:tcW w:w="1052" w:type="dxa"/>
            <w:tcBorders>
              <w:top w:val="nil"/>
              <w:left w:val="nil"/>
              <w:bottom w:val="nil"/>
              <w:right w:val="nil"/>
            </w:tcBorders>
          </w:tcPr>
          <w:p w14:paraId="5E0F3C77" w14:textId="77777777" w:rsidR="007A6E95" w:rsidRDefault="007A6E95" w:rsidP="007C644D">
            <w:pPr>
              <w:spacing w:after="0" w:line="259" w:lineRule="auto"/>
              <w:ind w:left="0" w:firstLine="0"/>
              <w:jc w:val="left"/>
            </w:pPr>
            <w:r>
              <w:t>162.5</w:t>
            </w:r>
          </w:p>
        </w:tc>
        <w:tc>
          <w:tcPr>
            <w:tcW w:w="1052" w:type="dxa"/>
            <w:tcBorders>
              <w:top w:val="nil"/>
              <w:left w:val="nil"/>
              <w:bottom w:val="nil"/>
              <w:right w:val="nil"/>
            </w:tcBorders>
          </w:tcPr>
          <w:p w14:paraId="098F942D" w14:textId="77777777" w:rsidR="007A6E95" w:rsidRDefault="007A6E95" w:rsidP="007C644D">
            <w:pPr>
              <w:spacing w:after="0" w:line="259" w:lineRule="auto"/>
              <w:ind w:left="0" w:firstLine="0"/>
              <w:jc w:val="left"/>
            </w:pPr>
            <w:r>
              <w:t>162.2</w:t>
            </w:r>
          </w:p>
        </w:tc>
        <w:tc>
          <w:tcPr>
            <w:tcW w:w="1052" w:type="dxa"/>
            <w:tcBorders>
              <w:top w:val="nil"/>
              <w:left w:val="nil"/>
              <w:bottom w:val="nil"/>
              <w:right w:val="nil"/>
            </w:tcBorders>
          </w:tcPr>
          <w:p w14:paraId="643427E3" w14:textId="77777777" w:rsidR="007A6E95" w:rsidRDefault="007A6E95" w:rsidP="007C644D">
            <w:pPr>
              <w:spacing w:after="0" w:line="259" w:lineRule="auto"/>
              <w:ind w:left="0" w:firstLine="0"/>
              <w:jc w:val="left"/>
            </w:pPr>
            <w:r>
              <w:t>161.2</w:t>
            </w:r>
          </w:p>
        </w:tc>
        <w:tc>
          <w:tcPr>
            <w:tcW w:w="933" w:type="dxa"/>
            <w:tcBorders>
              <w:top w:val="nil"/>
              <w:left w:val="nil"/>
              <w:bottom w:val="nil"/>
              <w:right w:val="nil"/>
            </w:tcBorders>
          </w:tcPr>
          <w:p w14:paraId="3FEB0961" w14:textId="77777777" w:rsidR="007A6E95" w:rsidRDefault="007A6E95" w:rsidP="007C644D">
            <w:pPr>
              <w:spacing w:after="0" w:line="259" w:lineRule="auto"/>
              <w:ind w:left="0" w:firstLine="0"/>
              <w:jc w:val="left"/>
            </w:pPr>
            <w:r>
              <w:t>165.6</w:t>
            </w:r>
          </w:p>
        </w:tc>
      </w:tr>
      <w:tr w:rsidR="007A6E95" w14:paraId="1C843F25" w14:textId="77777777" w:rsidTr="007C644D">
        <w:trPr>
          <w:trHeight w:val="427"/>
        </w:trPr>
        <w:tc>
          <w:tcPr>
            <w:tcW w:w="3167" w:type="dxa"/>
            <w:tcBorders>
              <w:top w:val="nil"/>
              <w:left w:val="nil"/>
              <w:bottom w:val="nil"/>
              <w:right w:val="nil"/>
            </w:tcBorders>
            <w:vAlign w:val="center"/>
          </w:tcPr>
          <w:p w14:paraId="70B5DB01" w14:textId="77777777" w:rsidR="007A6E95" w:rsidRDefault="007A6E95" w:rsidP="007C644D">
            <w:pPr>
              <w:spacing w:after="0" w:line="259" w:lineRule="auto"/>
              <w:ind w:left="120" w:firstLine="0"/>
              <w:jc w:val="left"/>
            </w:pPr>
            <w:r>
              <w:rPr>
                <w:b/>
              </w:rPr>
              <w:t xml:space="preserve">RH steam exit temp </w:t>
            </w:r>
            <w:r>
              <w:t>[</w:t>
            </w:r>
            <w:r>
              <w:rPr>
                <w:rFonts w:ascii="Cambria" w:eastAsia="Cambria" w:hAnsi="Cambria" w:cs="Cambria"/>
                <w:vertAlign w:val="superscript"/>
              </w:rPr>
              <w:t>◦</w:t>
            </w:r>
            <w:r>
              <w:rPr>
                <w:rFonts w:ascii="Cambria" w:eastAsia="Cambria" w:hAnsi="Cambria" w:cs="Cambria"/>
                <w:i/>
              </w:rPr>
              <w:t>C</w:t>
            </w:r>
            <w:r>
              <w:t>]</w:t>
            </w:r>
          </w:p>
        </w:tc>
        <w:tc>
          <w:tcPr>
            <w:tcW w:w="1052" w:type="dxa"/>
            <w:tcBorders>
              <w:top w:val="nil"/>
              <w:left w:val="nil"/>
              <w:bottom w:val="nil"/>
              <w:right w:val="nil"/>
            </w:tcBorders>
            <w:vAlign w:val="center"/>
          </w:tcPr>
          <w:p w14:paraId="0B9FAA54" w14:textId="77777777" w:rsidR="007A6E95" w:rsidRDefault="007A6E95" w:rsidP="007C644D">
            <w:pPr>
              <w:spacing w:after="0" w:line="259" w:lineRule="auto"/>
              <w:ind w:left="0" w:firstLine="0"/>
              <w:jc w:val="left"/>
            </w:pPr>
            <w:r>
              <w:t>524</w:t>
            </w:r>
          </w:p>
        </w:tc>
        <w:tc>
          <w:tcPr>
            <w:tcW w:w="1052" w:type="dxa"/>
            <w:tcBorders>
              <w:top w:val="nil"/>
              <w:left w:val="nil"/>
              <w:bottom w:val="nil"/>
              <w:right w:val="nil"/>
            </w:tcBorders>
            <w:vAlign w:val="center"/>
          </w:tcPr>
          <w:p w14:paraId="075620D3" w14:textId="77777777" w:rsidR="007A6E95" w:rsidRDefault="007A6E95" w:rsidP="007C644D">
            <w:pPr>
              <w:spacing w:after="0" w:line="259" w:lineRule="auto"/>
              <w:ind w:left="0" w:firstLine="0"/>
              <w:jc w:val="left"/>
            </w:pPr>
            <w:r>
              <w:t>527</w:t>
            </w:r>
          </w:p>
        </w:tc>
        <w:tc>
          <w:tcPr>
            <w:tcW w:w="1052" w:type="dxa"/>
            <w:tcBorders>
              <w:top w:val="nil"/>
              <w:left w:val="nil"/>
              <w:bottom w:val="nil"/>
              <w:right w:val="nil"/>
            </w:tcBorders>
            <w:vAlign w:val="center"/>
          </w:tcPr>
          <w:p w14:paraId="0E35FCFF" w14:textId="77777777" w:rsidR="007A6E95" w:rsidRDefault="007A6E95" w:rsidP="007C644D">
            <w:pPr>
              <w:spacing w:after="0" w:line="259" w:lineRule="auto"/>
              <w:ind w:left="0" w:firstLine="0"/>
              <w:jc w:val="left"/>
            </w:pPr>
            <w:r>
              <w:t>531</w:t>
            </w:r>
          </w:p>
        </w:tc>
        <w:tc>
          <w:tcPr>
            <w:tcW w:w="1052" w:type="dxa"/>
            <w:tcBorders>
              <w:top w:val="nil"/>
              <w:left w:val="nil"/>
              <w:bottom w:val="nil"/>
              <w:right w:val="nil"/>
            </w:tcBorders>
            <w:vAlign w:val="center"/>
          </w:tcPr>
          <w:p w14:paraId="48377AE8" w14:textId="77777777" w:rsidR="007A6E95" w:rsidRDefault="007A6E95" w:rsidP="007C644D">
            <w:pPr>
              <w:spacing w:after="0" w:line="259" w:lineRule="auto"/>
              <w:ind w:left="0" w:firstLine="0"/>
              <w:jc w:val="left"/>
            </w:pPr>
            <w:r>
              <w:t>512</w:t>
            </w:r>
          </w:p>
        </w:tc>
        <w:tc>
          <w:tcPr>
            <w:tcW w:w="1052" w:type="dxa"/>
            <w:tcBorders>
              <w:top w:val="nil"/>
              <w:left w:val="nil"/>
              <w:bottom w:val="nil"/>
              <w:right w:val="nil"/>
            </w:tcBorders>
            <w:vAlign w:val="center"/>
          </w:tcPr>
          <w:p w14:paraId="1372FFEF" w14:textId="77777777" w:rsidR="007A6E95" w:rsidRDefault="007A6E95" w:rsidP="007C644D">
            <w:pPr>
              <w:spacing w:after="0" w:line="259" w:lineRule="auto"/>
              <w:ind w:left="0" w:firstLine="0"/>
              <w:jc w:val="left"/>
            </w:pPr>
            <w:r>
              <w:t>510</w:t>
            </w:r>
          </w:p>
        </w:tc>
        <w:tc>
          <w:tcPr>
            <w:tcW w:w="933" w:type="dxa"/>
            <w:tcBorders>
              <w:top w:val="nil"/>
              <w:left w:val="nil"/>
              <w:bottom w:val="nil"/>
              <w:right w:val="nil"/>
            </w:tcBorders>
            <w:vAlign w:val="center"/>
          </w:tcPr>
          <w:p w14:paraId="3DD12BA5" w14:textId="77777777" w:rsidR="007A6E95" w:rsidRDefault="007A6E95" w:rsidP="007C644D">
            <w:pPr>
              <w:spacing w:after="0" w:line="259" w:lineRule="auto"/>
              <w:ind w:left="0" w:firstLine="0"/>
              <w:jc w:val="left"/>
            </w:pPr>
            <w:r>
              <w:t>520</w:t>
            </w:r>
          </w:p>
        </w:tc>
      </w:tr>
      <w:tr w:rsidR="007A6E95" w14:paraId="7B6F90EB" w14:textId="77777777" w:rsidTr="007C644D">
        <w:trPr>
          <w:trHeight w:val="406"/>
        </w:trPr>
        <w:tc>
          <w:tcPr>
            <w:tcW w:w="3167" w:type="dxa"/>
            <w:tcBorders>
              <w:top w:val="nil"/>
              <w:left w:val="nil"/>
              <w:bottom w:val="nil"/>
              <w:right w:val="nil"/>
            </w:tcBorders>
            <w:vAlign w:val="center"/>
          </w:tcPr>
          <w:p w14:paraId="18773EFE" w14:textId="77777777" w:rsidR="007A6E95" w:rsidRDefault="007A6E95" w:rsidP="007C644D">
            <w:pPr>
              <w:spacing w:after="0" w:line="259" w:lineRule="auto"/>
              <w:ind w:left="120" w:firstLine="0"/>
              <w:jc w:val="left"/>
            </w:pPr>
            <w:r>
              <w:rPr>
                <w:b/>
              </w:rPr>
              <w:t xml:space="preserve">Boiler efficiency </w:t>
            </w:r>
            <w:r>
              <w:t>[</w:t>
            </w:r>
            <w:r>
              <w:rPr>
                <w:rFonts w:ascii="Cambria" w:eastAsia="Cambria" w:hAnsi="Cambria" w:cs="Cambria"/>
              </w:rPr>
              <w:t>%</w:t>
            </w:r>
            <w:r>
              <w:t>]</w:t>
            </w:r>
          </w:p>
        </w:tc>
        <w:tc>
          <w:tcPr>
            <w:tcW w:w="1052" w:type="dxa"/>
            <w:tcBorders>
              <w:top w:val="nil"/>
              <w:left w:val="nil"/>
              <w:bottom w:val="nil"/>
              <w:right w:val="nil"/>
            </w:tcBorders>
            <w:vAlign w:val="center"/>
          </w:tcPr>
          <w:p w14:paraId="31B853DE" w14:textId="77777777" w:rsidR="007A6E95" w:rsidRDefault="007A6E95" w:rsidP="007C644D">
            <w:pPr>
              <w:spacing w:after="0" w:line="259" w:lineRule="auto"/>
              <w:ind w:left="0" w:firstLine="0"/>
              <w:jc w:val="left"/>
            </w:pPr>
            <w:r>
              <w:t>85.3</w:t>
            </w:r>
          </w:p>
        </w:tc>
        <w:tc>
          <w:tcPr>
            <w:tcW w:w="1052" w:type="dxa"/>
            <w:tcBorders>
              <w:top w:val="nil"/>
              <w:left w:val="nil"/>
              <w:bottom w:val="nil"/>
              <w:right w:val="nil"/>
            </w:tcBorders>
            <w:vAlign w:val="center"/>
          </w:tcPr>
          <w:p w14:paraId="07762AF7" w14:textId="77777777" w:rsidR="007A6E95" w:rsidRDefault="007A6E95" w:rsidP="007C644D">
            <w:pPr>
              <w:spacing w:after="0" w:line="259" w:lineRule="auto"/>
              <w:ind w:left="0" w:firstLine="0"/>
              <w:jc w:val="left"/>
            </w:pPr>
            <w:r>
              <w:t>84.1</w:t>
            </w:r>
          </w:p>
        </w:tc>
        <w:tc>
          <w:tcPr>
            <w:tcW w:w="1052" w:type="dxa"/>
            <w:tcBorders>
              <w:top w:val="nil"/>
              <w:left w:val="nil"/>
              <w:bottom w:val="nil"/>
              <w:right w:val="nil"/>
            </w:tcBorders>
            <w:vAlign w:val="center"/>
          </w:tcPr>
          <w:p w14:paraId="5B5B0BDD" w14:textId="77777777" w:rsidR="007A6E95" w:rsidRDefault="007A6E95" w:rsidP="007C644D">
            <w:pPr>
              <w:spacing w:after="0" w:line="259" w:lineRule="auto"/>
              <w:ind w:left="0" w:firstLine="0"/>
              <w:jc w:val="left"/>
            </w:pPr>
            <w:r>
              <w:t>87.9</w:t>
            </w:r>
          </w:p>
        </w:tc>
        <w:tc>
          <w:tcPr>
            <w:tcW w:w="1052" w:type="dxa"/>
            <w:tcBorders>
              <w:top w:val="nil"/>
              <w:left w:val="nil"/>
              <w:bottom w:val="nil"/>
              <w:right w:val="nil"/>
            </w:tcBorders>
            <w:vAlign w:val="center"/>
          </w:tcPr>
          <w:p w14:paraId="4EE2F7B9" w14:textId="77777777" w:rsidR="007A6E95" w:rsidRDefault="007A6E95" w:rsidP="007C644D">
            <w:pPr>
              <w:spacing w:after="0" w:line="259" w:lineRule="auto"/>
              <w:ind w:left="0" w:firstLine="0"/>
              <w:jc w:val="left"/>
            </w:pPr>
            <w:r>
              <w:t>87.2</w:t>
            </w:r>
          </w:p>
        </w:tc>
        <w:tc>
          <w:tcPr>
            <w:tcW w:w="1052" w:type="dxa"/>
            <w:tcBorders>
              <w:top w:val="nil"/>
              <w:left w:val="nil"/>
              <w:bottom w:val="nil"/>
              <w:right w:val="nil"/>
            </w:tcBorders>
            <w:vAlign w:val="center"/>
          </w:tcPr>
          <w:p w14:paraId="74465742" w14:textId="77777777" w:rsidR="007A6E95" w:rsidRDefault="007A6E95" w:rsidP="007C644D">
            <w:pPr>
              <w:spacing w:after="0" w:line="259" w:lineRule="auto"/>
              <w:ind w:left="0" w:firstLine="0"/>
              <w:jc w:val="left"/>
            </w:pPr>
            <w:r>
              <w:t>85.9</w:t>
            </w:r>
          </w:p>
        </w:tc>
        <w:tc>
          <w:tcPr>
            <w:tcW w:w="933" w:type="dxa"/>
            <w:tcBorders>
              <w:top w:val="nil"/>
              <w:left w:val="nil"/>
              <w:bottom w:val="nil"/>
              <w:right w:val="nil"/>
            </w:tcBorders>
            <w:vAlign w:val="center"/>
          </w:tcPr>
          <w:p w14:paraId="498E8420" w14:textId="77777777" w:rsidR="007A6E95" w:rsidRDefault="007A6E95" w:rsidP="007C644D">
            <w:pPr>
              <w:spacing w:after="0" w:line="259" w:lineRule="auto"/>
              <w:ind w:left="0" w:firstLine="0"/>
              <w:jc w:val="left"/>
            </w:pPr>
            <w:r>
              <w:t>89.1</w:t>
            </w:r>
          </w:p>
        </w:tc>
      </w:tr>
      <w:tr w:rsidR="007A6E95" w14:paraId="03E00B7D" w14:textId="77777777" w:rsidTr="007C644D">
        <w:trPr>
          <w:trHeight w:val="406"/>
        </w:trPr>
        <w:tc>
          <w:tcPr>
            <w:tcW w:w="3167" w:type="dxa"/>
            <w:tcBorders>
              <w:top w:val="nil"/>
              <w:left w:val="nil"/>
              <w:bottom w:val="nil"/>
              <w:right w:val="nil"/>
            </w:tcBorders>
            <w:vAlign w:val="center"/>
          </w:tcPr>
          <w:p w14:paraId="02178AA6" w14:textId="77777777" w:rsidR="007A6E95" w:rsidRDefault="007A6E95" w:rsidP="007C644D">
            <w:pPr>
              <w:spacing w:after="0" w:line="259" w:lineRule="auto"/>
              <w:ind w:left="120" w:firstLine="0"/>
              <w:jc w:val="left"/>
            </w:pPr>
            <w:r>
              <w:rPr>
                <w:b/>
              </w:rPr>
              <w:t xml:space="preserve">ATT1 </w:t>
            </w:r>
            <w:r>
              <w:t>[</w:t>
            </w:r>
            <w:r>
              <w:rPr>
                <w:rFonts w:ascii="Cambria" w:eastAsia="Cambria" w:hAnsi="Cambria" w:cs="Cambria"/>
                <w:i/>
              </w:rPr>
              <w:t>kg/s</w:t>
            </w:r>
            <w:r>
              <w:t>]</w:t>
            </w:r>
          </w:p>
        </w:tc>
        <w:tc>
          <w:tcPr>
            <w:tcW w:w="1052" w:type="dxa"/>
            <w:tcBorders>
              <w:top w:val="nil"/>
              <w:left w:val="nil"/>
              <w:bottom w:val="nil"/>
              <w:right w:val="nil"/>
            </w:tcBorders>
            <w:vAlign w:val="center"/>
          </w:tcPr>
          <w:p w14:paraId="5C2EBEC5" w14:textId="77777777" w:rsidR="007A6E95" w:rsidRDefault="007A6E95" w:rsidP="007C644D">
            <w:pPr>
              <w:spacing w:after="0" w:line="259" w:lineRule="auto"/>
              <w:ind w:left="0" w:firstLine="0"/>
              <w:jc w:val="left"/>
            </w:pPr>
            <w:r>
              <w:t>10.4</w:t>
            </w:r>
          </w:p>
        </w:tc>
        <w:tc>
          <w:tcPr>
            <w:tcW w:w="1052" w:type="dxa"/>
            <w:tcBorders>
              <w:top w:val="nil"/>
              <w:left w:val="nil"/>
              <w:bottom w:val="nil"/>
              <w:right w:val="nil"/>
            </w:tcBorders>
            <w:vAlign w:val="center"/>
          </w:tcPr>
          <w:p w14:paraId="08597BD1" w14:textId="77777777" w:rsidR="007A6E95" w:rsidRDefault="007A6E95" w:rsidP="007C644D">
            <w:pPr>
              <w:spacing w:after="0" w:line="259" w:lineRule="auto"/>
              <w:ind w:left="0" w:firstLine="0"/>
              <w:jc w:val="left"/>
            </w:pPr>
            <w:r>
              <w:t>16.9</w:t>
            </w:r>
          </w:p>
        </w:tc>
        <w:tc>
          <w:tcPr>
            <w:tcW w:w="1052" w:type="dxa"/>
            <w:tcBorders>
              <w:top w:val="nil"/>
              <w:left w:val="nil"/>
              <w:bottom w:val="nil"/>
              <w:right w:val="nil"/>
            </w:tcBorders>
            <w:vAlign w:val="center"/>
          </w:tcPr>
          <w:p w14:paraId="6BEFA8C9" w14:textId="77777777" w:rsidR="007A6E95" w:rsidRDefault="007A6E95" w:rsidP="007C644D">
            <w:pPr>
              <w:spacing w:after="0" w:line="259" w:lineRule="auto"/>
              <w:ind w:left="0" w:firstLine="0"/>
              <w:jc w:val="left"/>
            </w:pPr>
            <w:r>
              <w:t>13.9</w:t>
            </w:r>
          </w:p>
        </w:tc>
        <w:tc>
          <w:tcPr>
            <w:tcW w:w="1052" w:type="dxa"/>
            <w:tcBorders>
              <w:top w:val="nil"/>
              <w:left w:val="nil"/>
              <w:bottom w:val="nil"/>
              <w:right w:val="nil"/>
            </w:tcBorders>
            <w:vAlign w:val="center"/>
          </w:tcPr>
          <w:p w14:paraId="642B1922" w14:textId="77777777" w:rsidR="007A6E95" w:rsidRDefault="007A6E95" w:rsidP="007C644D">
            <w:pPr>
              <w:spacing w:after="0" w:line="259" w:lineRule="auto"/>
              <w:ind w:left="0" w:firstLine="0"/>
              <w:jc w:val="left"/>
            </w:pPr>
            <w:r>
              <w:t>7.9</w:t>
            </w:r>
          </w:p>
        </w:tc>
        <w:tc>
          <w:tcPr>
            <w:tcW w:w="1052" w:type="dxa"/>
            <w:tcBorders>
              <w:top w:val="nil"/>
              <w:left w:val="nil"/>
              <w:bottom w:val="nil"/>
              <w:right w:val="nil"/>
            </w:tcBorders>
            <w:vAlign w:val="center"/>
          </w:tcPr>
          <w:p w14:paraId="64701FC4" w14:textId="77777777" w:rsidR="007A6E95" w:rsidRDefault="007A6E95" w:rsidP="007C644D">
            <w:pPr>
              <w:spacing w:after="0" w:line="259" w:lineRule="auto"/>
              <w:ind w:left="0" w:firstLine="0"/>
              <w:jc w:val="left"/>
            </w:pPr>
            <w:r>
              <w:t>5.5</w:t>
            </w:r>
          </w:p>
        </w:tc>
        <w:tc>
          <w:tcPr>
            <w:tcW w:w="933" w:type="dxa"/>
            <w:tcBorders>
              <w:top w:val="nil"/>
              <w:left w:val="nil"/>
              <w:bottom w:val="nil"/>
              <w:right w:val="nil"/>
            </w:tcBorders>
            <w:vAlign w:val="center"/>
          </w:tcPr>
          <w:p w14:paraId="3C7F8A0E" w14:textId="77777777" w:rsidR="007A6E95" w:rsidRDefault="007A6E95" w:rsidP="007C644D">
            <w:pPr>
              <w:spacing w:after="0" w:line="259" w:lineRule="auto"/>
              <w:ind w:left="0" w:firstLine="0"/>
              <w:jc w:val="left"/>
            </w:pPr>
            <w:r>
              <w:t>10.9</w:t>
            </w:r>
          </w:p>
        </w:tc>
      </w:tr>
      <w:tr w:rsidR="007A6E95" w14:paraId="6B4BCAF2" w14:textId="77777777" w:rsidTr="007C644D">
        <w:trPr>
          <w:trHeight w:val="406"/>
        </w:trPr>
        <w:tc>
          <w:tcPr>
            <w:tcW w:w="3167" w:type="dxa"/>
            <w:tcBorders>
              <w:top w:val="nil"/>
              <w:left w:val="nil"/>
              <w:bottom w:val="nil"/>
              <w:right w:val="nil"/>
            </w:tcBorders>
            <w:vAlign w:val="center"/>
          </w:tcPr>
          <w:p w14:paraId="45256A11" w14:textId="77777777" w:rsidR="007A6E95" w:rsidRDefault="007A6E95" w:rsidP="007C644D">
            <w:pPr>
              <w:spacing w:after="0" w:line="259" w:lineRule="auto"/>
              <w:ind w:left="120" w:firstLine="0"/>
              <w:jc w:val="left"/>
            </w:pPr>
            <w:r>
              <w:rPr>
                <w:b/>
              </w:rPr>
              <w:t xml:space="preserve">ATT2 </w:t>
            </w:r>
            <w:r>
              <w:t>[</w:t>
            </w:r>
            <w:r>
              <w:rPr>
                <w:rFonts w:ascii="Cambria" w:eastAsia="Cambria" w:hAnsi="Cambria" w:cs="Cambria"/>
                <w:i/>
              </w:rPr>
              <w:t>kg/s</w:t>
            </w:r>
            <w:r>
              <w:t>]</w:t>
            </w:r>
          </w:p>
        </w:tc>
        <w:tc>
          <w:tcPr>
            <w:tcW w:w="1052" w:type="dxa"/>
            <w:tcBorders>
              <w:top w:val="nil"/>
              <w:left w:val="nil"/>
              <w:bottom w:val="nil"/>
              <w:right w:val="nil"/>
            </w:tcBorders>
            <w:vAlign w:val="center"/>
          </w:tcPr>
          <w:p w14:paraId="4762D5BB" w14:textId="77777777" w:rsidR="007A6E95" w:rsidRDefault="007A6E95" w:rsidP="007C644D">
            <w:pPr>
              <w:spacing w:after="0" w:line="259" w:lineRule="auto"/>
              <w:ind w:left="0" w:firstLine="0"/>
              <w:jc w:val="left"/>
            </w:pPr>
            <w:r>
              <w:t>1.7</w:t>
            </w:r>
          </w:p>
        </w:tc>
        <w:tc>
          <w:tcPr>
            <w:tcW w:w="1052" w:type="dxa"/>
            <w:tcBorders>
              <w:top w:val="nil"/>
              <w:left w:val="nil"/>
              <w:bottom w:val="nil"/>
              <w:right w:val="nil"/>
            </w:tcBorders>
            <w:vAlign w:val="center"/>
          </w:tcPr>
          <w:p w14:paraId="35AE52AE" w14:textId="77777777" w:rsidR="007A6E95" w:rsidRDefault="007A6E95" w:rsidP="007C644D">
            <w:pPr>
              <w:spacing w:after="0" w:line="259" w:lineRule="auto"/>
              <w:ind w:left="0" w:firstLine="0"/>
              <w:jc w:val="left"/>
            </w:pPr>
            <w:r>
              <w:t>3.8</w:t>
            </w:r>
          </w:p>
        </w:tc>
        <w:tc>
          <w:tcPr>
            <w:tcW w:w="1052" w:type="dxa"/>
            <w:tcBorders>
              <w:top w:val="nil"/>
              <w:left w:val="nil"/>
              <w:bottom w:val="nil"/>
              <w:right w:val="nil"/>
            </w:tcBorders>
            <w:vAlign w:val="center"/>
          </w:tcPr>
          <w:p w14:paraId="7BA6BEB0" w14:textId="77777777" w:rsidR="007A6E95" w:rsidRDefault="007A6E95" w:rsidP="007C644D">
            <w:pPr>
              <w:spacing w:after="0" w:line="259" w:lineRule="auto"/>
              <w:ind w:left="0" w:firstLine="0"/>
              <w:jc w:val="left"/>
            </w:pPr>
            <w:r>
              <w:t>4.2</w:t>
            </w:r>
          </w:p>
        </w:tc>
        <w:tc>
          <w:tcPr>
            <w:tcW w:w="1052" w:type="dxa"/>
            <w:tcBorders>
              <w:top w:val="nil"/>
              <w:left w:val="nil"/>
              <w:bottom w:val="nil"/>
              <w:right w:val="nil"/>
            </w:tcBorders>
            <w:vAlign w:val="center"/>
          </w:tcPr>
          <w:p w14:paraId="46EE7234" w14:textId="77777777" w:rsidR="007A6E95" w:rsidRDefault="007A6E95" w:rsidP="007C644D">
            <w:pPr>
              <w:spacing w:after="0" w:line="259" w:lineRule="auto"/>
              <w:ind w:left="0" w:firstLine="0"/>
              <w:jc w:val="left"/>
            </w:pPr>
            <w:r>
              <w:t>3.8</w:t>
            </w:r>
          </w:p>
        </w:tc>
        <w:tc>
          <w:tcPr>
            <w:tcW w:w="1052" w:type="dxa"/>
            <w:tcBorders>
              <w:top w:val="nil"/>
              <w:left w:val="nil"/>
              <w:bottom w:val="nil"/>
              <w:right w:val="nil"/>
            </w:tcBorders>
            <w:vAlign w:val="center"/>
          </w:tcPr>
          <w:p w14:paraId="44A00FEE" w14:textId="77777777" w:rsidR="007A6E95" w:rsidRDefault="007A6E95" w:rsidP="007C644D">
            <w:pPr>
              <w:spacing w:after="0" w:line="259" w:lineRule="auto"/>
              <w:ind w:left="0" w:firstLine="0"/>
              <w:jc w:val="left"/>
            </w:pPr>
            <w:r>
              <w:t>3.6</w:t>
            </w:r>
          </w:p>
        </w:tc>
        <w:tc>
          <w:tcPr>
            <w:tcW w:w="933" w:type="dxa"/>
            <w:tcBorders>
              <w:top w:val="nil"/>
              <w:left w:val="nil"/>
              <w:bottom w:val="nil"/>
              <w:right w:val="nil"/>
            </w:tcBorders>
            <w:vAlign w:val="center"/>
          </w:tcPr>
          <w:p w14:paraId="4B8FEB89" w14:textId="77777777" w:rsidR="007A6E95" w:rsidRDefault="007A6E95" w:rsidP="007C644D">
            <w:pPr>
              <w:spacing w:after="0" w:line="259" w:lineRule="auto"/>
              <w:ind w:left="0" w:firstLine="0"/>
              <w:jc w:val="left"/>
            </w:pPr>
            <w:r>
              <w:t>4.2</w:t>
            </w:r>
          </w:p>
        </w:tc>
      </w:tr>
      <w:tr w:rsidR="007A6E95" w14:paraId="52CEB6E9" w14:textId="77777777" w:rsidTr="007C644D">
        <w:trPr>
          <w:trHeight w:val="384"/>
        </w:trPr>
        <w:tc>
          <w:tcPr>
            <w:tcW w:w="3167" w:type="dxa"/>
            <w:tcBorders>
              <w:top w:val="nil"/>
              <w:left w:val="nil"/>
              <w:bottom w:val="single" w:sz="3" w:space="0" w:color="000000"/>
              <w:right w:val="nil"/>
            </w:tcBorders>
          </w:tcPr>
          <w:p w14:paraId="55B5A07F" w14:textId="77777777" w:rsidR="007A6E95" w:rsidRDefault="007A6E95" w:rsidP="007C644D">
            <w:pPr>
              <w:spacing w:after="0" w:line="259" w:lineRule="auto"/>
              <w:ind w:left="120" w:firstLine="0"/>
              <w:jc w:val="left"/>
            </w:pPr>
            <w:r>
              <w:rPr>
                <w:b/>
              </w:rPr>
              <w:t xml:space="preserve">ATT-RH </w:t>
            </w:r>
            <w:r>
              <w:t>[</w:t>
            </w:r>
            <w:r>
              <w:rPr>
                <w:rFonts w:ascii="Cambria" w:eastAsia="Cambria" w:hAnsi="Cambria" w:cs="Cambria"/>
                <w:i/>
              </w:rPr>
              <w:t>kg/s</w:t>
            </w:r>
            <w:r>
              <w:t>]</w:t>
            </w:r>
          </w:p>
        </w:tc>
        <w:tc>
          <w:tcPr>
            <w:tcW w:w="1052" w:type="dxa"/>
            <w:tcBorders>
              <w:top w:val="nil"/>
              <w:left w:val="nil"/>
              <w:bottom w:val="single" w:sz="3" w:space="0" w:color="000000"/>
              <w:right w:val="nil"/>
            </w:tcBorders>
          </w:tcPr>
          <w:p w14:paraId="33DB0845" w14:textId="77777777" w:rsidR="007A6E95" w:rsidRDefault="007A6E95" w:rsidP="007C644D">
            <w:pPr>
              <w:spacing w:after="0" w:line="259" w:lineRule="auto"/>
              <w:ind w:left="0" w:firstLine="0"/>
              <w:jc w:val="left"/>
            </w:pPr>
            <w:r>
              <w:t>0.0</w:t>
            </w:r>
          </w:p>
        </w:tc>
        <w:tc>
          <w:tcPr>
            <w:tcW w:w="1052" w:type="dxa"/>
            <w:tcBorders>
              <w:top w:val="nil"/>
              <w:left w:val="nil"/>
              <w:bottom w:val="single" w:sz="3" w:space="0" w:color="000000"/>
              <w:right w:val="nil"/>
            </w:tcBorders>
          </w:tcPr>
          <w:p w14:paraId="74D91AA0" w14:textId="77777777" w:rsidR="007A6E95" w:rsidRDefault="007A6E95" w:rsidP="007C644D">
            <w:pPr>
              <w:spacing w:after="0" w:line="259" w:lineRule="auto"/>
              <w:ind w:left="0" w:firstLine="0"/>
              <w:jc w:val="left"/>
            </w:pPr>
            <w:r>
              <w:t>0.0</w:t>
            </w:r>
          </w:p>
        </w:tc>
        <w:tc>
          <w:tcPr>
            <w:tcW w:w="1052" w:type="dxa"/>
            <w:tcBorders>
              <w:top w:val="nil"/>
              <w:left w:val="nil"/>
              <w:bottom w:val="single" w:sz="3" w:space="0" w:color="000000"/>
              <w:right w:val="nil"/>
            </w:tcBorders>
          </w:tcPr>
          <w:p w14:paraId="47DF6AFA" w14:textId="77777777" w:rsidR="007A6E95" w:rsidRDefault="007A6E95" w:rsidP="007C644D">
            <w:pPr>
              <w:spacing w:after="0" w:line="259" w:lineRule="auto"/>
              <w:ind w:left="0" w:firstLine="0"/>
              <w:jc w:val="left"/>
            </w:pPr>
            <w:r>
              <w:t>0.0</w:t>
            </w:r>
          </w:p>
        </w:tc>
        <w:tc>
          <w:tcPr>
            <w:tcW w:w="1052" w:type="dxa"/>
            <w:tcBorders>
              <w:top w:val="nil"/>
              <w:left w:val="nil"/>
              <w:bottom w:val="single" w:sz="3" w:space="0" w:color="000000"/>
              <w:right w:val="nil"/>
            </w:tcBorders>
          </w:tcPr>
          <w:p w14:paraId="6117E697" w14:textId="77777777" w:rsidR="007A6E95" w:rsidRDefault="007A6E95" w:rsidP="007C644D">
            <w:pPr>
              <w:spacing w:after="0" w:line="259" w:lineRule="auto"/>
              <w:ind w:left="0" w:firstLine="0"/>
              <w:jc w:val="left"/>
            </w:pPr>
            <w:r>
              <w:t>0.0</w:t>
            </w:r>
          </w:p>
        </w:tc>
        <w:tc>
          <w:tcPr>
            <w:tcW w:w="1052" w:type="dxa"/>
            <w:tcBorders>
              <w:top w:val="nil"/>
              <w:left w:val="nil"/>
              <w:bottom w:val="single" w:sz="3" w:space="0" w:color="000000"/>
              <w:right w:val="nil"/>
            </w:tcBorders>
          </w:tcPr>
          <w:p w14:paraId="6CF60CAA" w14:textId="77777777" w:rsidR="007A6E95" w:rsidRDefault="007A6E95" w:rsidP="007C644D">
            <w:pPr>
              <w:spacing w:after="0" w:line="259" w:lineRule="auto"/>
              <w:ind w:left="0" w:firstLine="0"/>
              <w:jc w:val="left"/>
            </w:pPr>
            <w:r>
              <w:t>0.0</w:t>
            </w:r>
          </w:p>
        </w:tc>
        <w:tc>
          <w:tcPr>
            <w:tcW w:w="933" w:type="dxa"/>
            <w:tcBorders>
              <w:top w:val="nil"/>
              <w:left w:val="nil"/>
              <w:bottom w:val="single" w:sz="3" w:space="0" w:color="000000"/>
              <w:right w:val="nil"/>
            </w:tcBorders>
          </w:tcPr>
          <w:p w14:paraId="3650BF7C" w14:textId="77777777" w:rsidR="007A6E95" w:rsidRDefault="007A6E95" w:rsidP="007C644D">
            <w:pPr>
              <w:spacing w:after="0" w:line="259" w:lineRule="auto"/>
              <w:ind w:left="0" w:firstLine="0"/>
              <w:jc w:val="left"/>
            </w:pPr>
            <w:r>
              <w:t>0.0</w:t>
            </w:r>
          </w:p>
        </w:tc>
      </w:tr>
    </w:tbl>
    <w:p w14:paraId="6A5B9860" w14:textId="77777777" w:rsidR="007A6E95" w:rsidRDefault="007A6E95">
      <w:pPr>
        <w:spacing w:after="160" w:line="259" w:lineRule="auto"/>
        <w:ind w:left="0" w:firstLine="0"/>
        <w:jc w:val="left"/>
      </w:pPr>
      <w:r>
        <w:br w:type="page"/>
      </w:r>
    </w:p>
    <w:p w14:paraId="608D10F9" w14:textId="77777777" w:rsidR="007A6E95" w:rsidRDefault="007A6E95" w:rsidP="007A6E95">
      <w:pPr>
        <w:tabs>
          <w:tab w:val="center" w:pos="2734"/>
          <w:tab w:val="center" w:pos="5037"/>
        </w:tabs>
        <w:spacing w:after="3" w:line="265" w:lineRule="auto"/>
        <w:ind w:left="0" w:firstLine="0"/>
        <w:jc w:val="left"/>
      </w:pPr>
      <w:r>
        <w:lastRenderedPageBreak/>
        <w:tab/>
      </w:r>
      <w:r>
        <w:rPr>
          <w:sz w:val="16"/>
        </w:rPr>
        <w:t>Table 6.</w:t>
      </w:r>
      <w:r>
        <w:rPr>
          <w:sz w:val="16"/>
        </w:rPr>
        <w:tab/>
        <w:t>Radiative heat transfer percentage for Cases 3 and 6</w:t>
      </w:r>
    </w:p>
    <w:tbl>
      <w:tblPr>
        <w:tblStyle w:val="TableGrid"/>
        <w:tblW w:w="5616" w:type="dxa"/>
        <w:tblInd w:w="1842" w:type="dxa"/>
        <w:tblCellMar>
          <w:top w:w="102" w:type="dxa"/>
          <w:right w:w="115" w:type="dxa"/>
        </w:tblCellMar>
        <w:tblLook w:val="04A0" w:firstRow="1" w:lastRow="0" w:firstColumn="1" w:lastColumn="0" w:noHBand="0" w:noVBand="1"/>
      </w:tblPr>
      <w:tblGrid>
        <w:gridCol w:w="2698"/>
        <w:gridCol w:w="1519"/>
        <w:gridCol w:w="1399"/>
      </w:tblGrid>
      <w:tr w:rsidR="007A6E95" w14:paraId="239B2865" w14:textId="77777777" w:rsidTr="007C644D">
        <w:trPr>
          <w:trHeight w:val="414"/>
        </w:trPr>
        <w:tc>
          <w:tcPr>
            <w:tcW w:w="2699" w:type="dxa"/>
            <w:tcBorders>
              <w:top w:val="single" w:sz="3" w:space="0" w:color="000000"/>
              <w:left w:val="nil"/>
              <w:bottom w:val="single" w:sz="3" w:space="0" w:color="000000"/>
              <w:right w:val="nil"/>
            </w:tcBorders>
          </w:tcPr>
          <w:p w14:paraId="1ED0F7D3" w14:textId="77777777" w:rsidR="007A6E95" w:rsidRDefault="007A6E95" w:rsidP="007C644D">
            <w:pPr>
              <w:spacing w:after="160" w:line="259" w:lineRule="auto"/>
              <w:ind w:left="0" w:firstLine="0"/>
              <w:jc w:val="left"/>
            </w:pPr>
          </w:p>
        </w:tc>
        <w:tc>
          <w:tcPr>
            <w:tcW w:w="1519" w:type="dxa"/>
            <w:tcBorders>
              <w:top w:val="single" w:sz="3" w:space="0" w:color="000000"/>
              <w:left w:val="nil"/>
              <w:bottom w:val="single" w:sz="3" w:space="0" w:color="000000"/>
              <w:right w:val="nil"/>
            </w:tcBorders>
          </w:tcPr>
          <w:p w14:paraId="51C02B8C" w14:textId="77777777" w:rsidR="007A6E95" w:rsidRDefault="007A6E95" w:rsidP="007C644D">
            <w:pPr>
              <w:spacing w:after="0" w:line="259" w:lineRule="auto"/>
              <w:ind w:left="0" w:firstLine="0"/>
              <w:jc w:val="left"/>
            </w:pPr>
            <w:r>
              <w:rPr>
                <w:b/>
              </w:rPr>
              <w:t>Case 3</w:t>
            </w:r>
          </w:p>
        </w:tc>
        <w:tc>
          <w:tcPr>
            <w:tcW w:w="1399" w:type="dxa"/>
            <w:tcBorders>
              <w:top w:val="single" w:sz="3" w:space="0" w:color="000000"/>
              <w:left w:val="nil"/>
              <w:bottom w:val="single" w:sz="3" w:space="0" w:color="000000"/>
              <w:right w:val="nil"/>
            </w:tcBorders>
          </w:tcPr>
          <w:p w14:paraId="54538827" w14:textId="77777777" w:rsidR="007A6E95" w:rsidRDefault="007A6E95" w:rsidP="007C644D">
            <w:pPr>
              <w:spacing w:after="0" w:line="259" w:lineRule="auto"/>
              <w:ind w:left="0" w:firstLine="0"/>
              <w:jc w:val="left"/>
            </w:pPr>
            <w:r>
              <w:rPr>
                <w:b/>
              </w:rPr>
              <w:t>Case 6</w:t>
            </w:r>
          </w:p>
        </w:tc>
      </w:tr>
      <w:tr w:rsidR="007A6E95" w14:paraId="034CDF2F" w14:textId="77777777" w:rsidTr="007C644D">
        <w:trPr>
          <w:trHeight w:val="437"/>
        </w:trPr>
        <w:tc>
          <w:tcPr>
            <w:tcW w:w="2699" w:type="dxa"/>
            <w:tcBorders>
              <w:top w:val="single" w:sz="3" w:space="0" w:color="000000"/>
              <w:left w:val="nil"/>
              <w:bottom w:val="nil"/>
              <w:right w:val="nil"/>
            </w:tcBorders>
            <w:vAlign w:val="center"/>
          </w:tcPr>
          <w:p w14:paraId="12697792" w14:textId="77777777" w:rsidR="007A6E95" w:rsidRDefault="007A6E95" w:rsidP="007C644D">
            <w:pPr>
              <w:spacing w:after="0" w:line="259" w:lineRule="auto"/>
              <w:ind w:left="120" w:firstLine="0"/>
              <w:jc w:val="left"/>
            </w:pPr>
            <w:r>
              <w:t>Furnace [%]</w:t>
            </w:r>
          </w:p>
        </w:tc>
        <w:tc>
          <w:tcPr>
            <w:tcW w:w="1519" w:type="dxa"/>
            <w:tcBorders>
              <w:top w:val="single" w:sz="3" w:space="0" w:color="000000"/>
              <w:left w:val="nil"/>
              <w:bottom w:val="nil"/>
              <w:right w:val="nil"/>
            </w:tcBorders>
            <w:vAlign w:val="center"/>
          </w:tcPr>
          <w:p w14:paraId="731CDD73" w14:textId="77777777" w:rsidR="007A6E95" w:rsidRDefault="007A6E95" w:rsidP="007C644D">
            <w:pPr>
              <w:spacing w:after="0" w:line="259" w:lineRule="auto"/>
              <w:ind w:left="0" w:firstLine="0"/>
              <w:jc w:val="left"/>
            </w:pPr>
            <w:r>
              <w:t>89.2</w:t>
            </w:r>
          </w:p>
        </w:tc>
        <w:tc>
          <w:tcPr>
            <w:tcW w:w="1399" w:type="dxa"/>
            <w:tcBorders>
              <w:top w:val="single" w:sz="3" w:space="0" w:color="000000"/>
              <w:left w:val="nil"/>
              <w:bottom w:val="nil"/>
              <w:right w:val="nil"/>
            </w:tcBorders>
            <w:vAlign w:val="center"/>
          </w:tcPr>
          <w:p w14:paraId="35687492" w14:textId="77777777" w:rsidR="007A6E95" w:rsidRDefault="007A6E95" w:rsidP="007C644D">
            <w:pPr>
              <w:spacing w:after="0" w:line="259" w:lineRule="auto"/>
              <w:ind w:left="0" w:firstLine="0"/>
              <w:jc w:val="left"/>
            </w:pPr>
            <w:r>
              <w:t>88.9</w:t>
            </w:r>
          </w:p>
        </w:tc>
      </w:tr>
      <w:tr w:rsidR="007A6E95" w14:paraId="4258A12A" w14:textId="77777777" w:rsidTr="007C644D">
        <w:trPr>
          <w:trHeight w:val="406"/>
        </w:trPr>
        <w:tc>
          <w:tcPr>
            <w:tcW w:w="2699" w:type="dxa"/>
            <w:tcBorders>
              <w:top w:val="nil"/>
              <w:left w:val="nil"/>
              <w:bottom w:val="nil"/>
              <w:right w:val="nil"/>
            </w:tcBorders>
            <w:vAlign w:val="center"/>
          </w:tcPr>
          <w:p w14:paraId="371AAEE5" w14:textId="77777777" w:rsidR="007A6E95" w:rsidRDefault="007A6E95" w:rsidP="007C644D">
            <w:pPr>
              <w:spacing w:after="0" w:line="259" w:lineRule="auto"/>
              <w:ind w:left="120" w:firstLine="0"/>
              <w:jc w:val="left"/>
            </w:pPr>
            <w:r>
              <w:t>Platen SH (SH2) [%]</w:t>
            </w:r>
          </w:p>
        </w:tc>
        <w:tc>
          <w:tcPr>
            <w:tcW w:w="1519" w:type="dxa"/>
            <w:tcBorders>
              <w:top w:val="nil"/>
              <w:left w:val="nil"/>
              <w:bottom w:val="nil"/>
              <w:right w:val="nil"/>
            </w:tcBorders>
            <w:vAlign w:val="center"/>
          </w:tcPr>
          <w:p w14:paraId="15B4501A" w14:textId="77777777" w:rsidR="007A6E95" w:rsidRDefault="007A6E95" w:rsidP="007C644D">
            <w:pPr>
              <w:spacing w:after="0" w:line="259" w:lineRule="auto"/>
              <w:ind w:left="0" w:firstLine="0"/>
              <w:jc w:val="left"/>
            </w:pPr>
            <w:r>
              <w:t>92.5</w:t>
            </w:r>
          </w:p>
        </w:tc>
        <w:tc>
          <w:tcPr>
            <w:tcW w:w="1399" w:type="dxa"/>
            <w:tcBorders>
              <w:top w:val="nil"/>
              <w:left w:val="nil"/>
              <w:bottom w:val="nil"/>
              <w:right w:val="nil"/>
            </w:tcBorders>
            <w:vAlign w:val="center"/>
          </w:tcPr>
          <w:p w14:paraId="4171B5CF" w14:textId="77777777" w:rsidR="007A6E95" w:rsidRDefault="007A6E95" w:rsidP="007C644D">
            <w:pPr>
              <w:spacing w:after="0" w:line="259" w:lineRule="auto"/>
              <w:ind w:left="0" w:firstLine="0"/>
              <w:jc w:val="left"/>
            </w:pPr>
            <w:r>
              <w:t>93.4</w:t>
            </w:r>
          </w:p>
        </w:tc>
      </w:tr>
      <w:tr w:rsidR="007A6E95" w14:paraId="4CBF9B79" w14:textId="77777777" w:rsidTr="007C644D">
        <w:trPr>
          <w:trHeight w:val="406"/>
        </w:trPr>
        <w:tc>
          <w:tcPr>
            <w:tcW w:w="2699" w:type="dxa"/>
            <w:tcBorders>
              <w:top w:val="nil"/>
              <w:left w:val="nil"/>
              <w:bottom w:val="nil"/>
              <w:right w:val="nil"/>
            </w:tcBorders>
            <w:vAlign w:val="center"/>
          </w:tcPr>
          <w:p w14:paraId="5D2B8F5D" w14:textId="77777777" w:rsidR="007A6E95" w:rsidRDefault="007A6E95" w:rsidP="007C644D">
            <w:pPr>
              <w:spacing w:after="0" w:line="259" w:lineRule="auto"/>
              <w:ind w:left="120" w:firstLine="0"/>
              <w:jc w:val="left"/>
            </w:pPr>
            <w:r>
              <w:t>Final SH (SH3) [%]</w:t>
            </w:r>
          </w:p>
        </w:tc>
        <w:tc>
          <w:tcPr>
            <w:tcW w:w="1519" w:type="dxa"/>
            <w:tcBorders>
              <w:top w:val="nil"/>
              <w:left w:val="nil"/>
              <w:bottom w:val="nil"/>
              <w:right w:val="nil"/>
            </w:tcBorders>
            <w:vAlign w:val="center"/>
          </w:tcPr>
          <w:p w14:paraId="6B27CB15" w14:textId="77777777" w:rsidR="007A6E95" w:rsidRDefault="007A6E95" w:rsidP="007C644D">
            <w:pPr>
              <w:spacing w:after="0" w:line="259" w:lineRule="auto"/>
              <w:ind w:left="0" w:firstLine="0"/>
              <w:jc w:val="left"/>
            </w:pPr>
            <w:r>
              <w:t>93.5</w:t>
            </w:r>
          </w:p>
        </w:tc>
        <w:tc>
          <w:tcPr>
            <w:tcW w:w="1399" w:type="dxa"/>
            <w:tcBorders>
              <w:top w:val="nil"/>
              <w:left w:val="nil"/>
              <w:bottom w:val="nil"/>
              <w:right w:val="nil"/>
            </w:tcBorders>
            <w:vAlign w:val="center"/>
          </w:tcPr>
          <w:p w14:paraId="70A6DED6" w14:textId="77777777" w:rsidR="007A6E95" w:rsidRDefault="007A6E95" w:rsidP="007C644D">
            <w:pPr>
              <w:spacing w:after="0" w:line="259" w:lineRule="auto"/>
              <w:ind w:left="0" w:firstLine="0"/>
              <w:jc w:val="left"/>
            </w:pPr>
            <w:r>
              <w:t>94.0</w:t>
            </w:r>
          </w:p>
        </w:tc>
      </w:tr>
      <w:tr w:rsidR="007A6E95" w14:paraId="3FAE38FF" w14:textId="77777777" w:rsidTr="007C644D">
        <w:trPr>
          <w:trHeight w:val="406"/>
        </w:trPr>
        <w:tc>
          <w:tcPr>
            <w:tcW w:w="2699" w:type="dxa"/>
            <w:tcBorders>
              <w:top w:val="nil"/>
              <w:left w:val="nil"/>
              <w:bottom w:val="nil"/>
              <w:right w:val="nil"/>
            </w:tcBorders>
            <w:vAlign w:val="center"/>
          </w:tcPr>
          <w:p w14:paraId="6DBC41CD" w14:textId="77777777" w:rsidR="007A6E95" w:rsidRDefault="007A6E95" w:rsidP="007C644D">
            <w:pPr>
              <w:spacing w:after="0" w:line="259" w:lineRule="auto"/>
              <w:ind w:left="120" w:firstLine="0"/>
              <w:jc w:val="left"/>
            </w:pPr>
            <w:r>
              <w:t>RH2 [%]</w:t>
            </w:r>
          </w:p>
        </w:tc>
        <w:tc>
          <w:tcPr>
            <w:tcW w:w="1519" w:type="dxa"/>
            <w:tcBorders>
              <w:top w:val="nil"/>
              <w:left w:val="nil"/>
              <w:bottom w:val="nil"/>
              <w:right w:val="nil"/>
            </w:tcBorders>
            <w:vAlign w:val="center"/>
          </w:tcPr>
          <w:p w14:paraId="6A35554C" w14:textId="77777777" w:rsidR="007A6E95" w:rsidRDefault="007A6E95" w:rsidP="007C644D">
            <w:pPr>
              <w:spacing w:after="0" w:line="259" w:lineRule="auto"/>
              <w:ind w:left="0" w:firstLine="0"/>
              <w:jc w:val="left"/>
            </w:pPr>
            <w:r>
              <w:t>47.6</w:t>
            </w:r>
          </w:p>
        </w:tc>
        <w:tc>
          <w:tcPr>
            <w:tcW w:w="1399" w:type="dxa"/>
            <w:tcBorders>
              <w:top w:val="nil"/>
              <w:left w:val="nil"/>
              <w:bottom w:val="nil"/>
              <w:right w:val="nil"/>
            </w:tcBorders>
            <w:vAlign w:val="center"/>
          </w:tcPr>
          <w:p w14:paraId="1B164052" w14:textId="77777777" w:rsidR="007A6E95" w:rsidRDefault="007A6E95" w:rsidP="007C644D">
            <w:pPr>
              <w:spacing w:after="0" w:line="259" w:lineRule="auto"/>
              <w:ind w:left="0" w:firstLine="0"/>
              <w:jc w:val="left"/>
            </w:pPr>
            <w:r>
              <w:t>52.2</w:t>
            </w:r>
          </w:p>
        </w:tc>
      </w:tr>
      <w:tr w:rsidR="007A6E95" w14:paraId="68EABB41" w14:textId="77777777" w:rsidTr="007C644D">
        <w:trPr>
          <w:trHeight w:val="406"/>
        </w:trPr>
        <w:tc>
          <w:tcPr>
            <w:tcW w:w="2699" w:type="dxa"/>
            <w:tcBorders>
              <w:top w:val="nil"/>
              <w:left w:val="nil"/>
              <w:bottom w:val="nil"/>
              <w:right w:val="nil"/>
            </w:tcBorders>
            <w:vAlign w:val="center"/>
          </w:tcPr>
          <w:p w14:paraId="19CD52C0" w14:textId="77777777" w:rsidR="007A6E95" w:rsidRDefault="007A6E95" w:rsidP="007C644D">
            <w:pPr>
              <w:spacing w:after="0" w:line="259" w:lineRule="auto"/>
              <w:ind w:left="120" w:firstLine="0"/>
              <w:jc w:val="left"/>
            </w:pPr>
            <w:r>
              <w:t>SH1 [%]</w:t>
            </w:r>
          </w:p>
        </w:tc>
        <w:tc>
          <w:tcPr>
            <w:tcW w:w="1519" w:type="dxa"/>
            <w:tcBorders>
              <w:top w:val="nil"/>
              <w:left w:val="nil"/>
              <w:bottom w:val="nil"/>
              <w:right w:val="nil"/>
            </w:tcBorders>
            <w:vAlign w:val="center"/>
          </w:tcPr>
          <w:p w14:paraId="74EC477E" w14:textId="77777777" w:rsidR="007A6E95" w:rsidRDefault="007A6E95" w:rsidP="007C644D">
            <w:pPr>
              <w:spacing w:after="0" w:line="259" w:lineRule="auto"/>
              <w:ind w:left="0" w:firstLine="0"/>
              <w:jc w:val="left"/>
            </w:pPr>
            <w:r>
              <w:t>37.2</w:t>
            </w:r>
          </w:p>
        </w:tc>
        <w:tc>
          <w:tcPr>
            <w:tcW w:w="1399" w:type="dxa"/>
            <w:tcBorders>
              <w:top w:val="nil"/>
              <w:left w:val="nil"/>
              <w:bottom w:val="nil"/>
              <w:right w:val="nil"/>
            </w:tcBorders>
            <w:vAlign w:val="center"/>
          </w:tcPr>
          <w:p w14:paraId="277FB25F" w14:textId="77777777" w:rsidR="007A6E95" w:rsidRDefault="007A6E95" w:rsidP="007C644D">
            <w:pPr>
              <w:spacing w:after="0" w:line="259" w:lineRule="auto"/>
              <w:ind w:left="0" w:firstLine="0"/>
              <w:jc w:val="left"/>
            </w:pPr>
            <w:r>
              <w:t>40.7</w:t>
            </w:r>
          </w:p>
        </w:tc>
      </w:tr>
      <w:tr w:rsidR="007A6E95" w14:paraId="20E65916" w14:textId="77777777" w:rsidTr="007C644D">
        <w:trPr>
          <w:trHeight w:val="406"/>
        </w:trPr>
        <w:tc>
          <w:tcPr>
            <w:tcW w:w="2699" w:type="dxa"/>
            <w:tcBorders>
              <w:top w:val="nil"/>
              <w:left w:val="nil"/>
              <w:bottom w:val="nil"/>
              <w:right w:val="nil"/>
            </w:tcBorders>
            <w:vAlign w:val="center"/>
          </w:tcPr>
          <w:p w14:paraId="101E972A" w14:textId="77777777" w:rsidR="007A6E95" w:rsidRDefault="007A6E95" w:rsidP="007C644D">
            <w:pPr>
              <w:spacing w:after="0" w:line="259" w:lineRule="auto"/>
              <w:ind w:left="120" w:firstLine="0"/>
              <w:jc w:val="left"/>
            </w:pPr>
            <w:r>
              <w:t>RH1 [%]</w:t>
            </w:r>
          </w:p>
        </w:tc>
        <w:tc>
          <w:tcPr>
            <w:tcW w:w="1519" w:type="dxa"/>
            <w:tcBorders>
              <w:top w:val="nil"/>
              <w:left w:val="nil"/>
              <w:bottom w:val="nil"/>
              <w:right w:val="nil"/>
            </w:tcBorders>
            <w:vAlign w:val="center"/>
          </w:tcPr>
          <w:p w14:paraId="0099E4FA" w14:textId="77777777" w:rsidR="007A6E95" w:rsidRDefault="007A6E95" w:rsidP="007C644D">
            <w:pPr>
              <w:spacing w:after="0" w:line="259" w:lineRule="auto"/>
              <w:ind w:left="0" w:firstLine="0"/>
              <w:jc w:val="left"/>
            </w:pPr>
            <w:r>
              <w:t>18.7</w:t>
            </w:r>
          </w:p>
        </w:tc>
        <w:tc>
          <w:tcPr>
            <w:tcW w:w="1399" w:type="dxa"/>
            <w:tcBorders>
              <w:top w:val="nil"/>
              <w:left w:val="nil"/>
              <w:bottom w:val="nil"/>
              <w:right w:val="nil"/>
            </w:tcBorders>
            <w:vAlign w:val="center"/>
          </w:tcPr>
          <w:p w14:paraId="2AF1FF92" w14:textId="77777777" w:rsidR="007A6E95" w:rsidRDefault="007A6E95" w:rsidP="007C644D">
            <w:pPr>
              <w:spacing w:after="0" w:line="259" w:lineRule="auto"/>
              <w:ind w:left="0" w:firstLine="0"/>
              <w:jc w:val="left"/>
            </w:pPr>
            <w:r>
              <w:t>21.5</w:t>
            </w:r>
          </w:p>
        </w:tc>
      </w:tr>
      <w:tr w:rsidR="007A6E95" w14:paraId="02DA29D6" w14:textId="77777777" w:rsidTr="007C644D">
        <w:trPr>
          <w:trHeight w:val="384"/>
        </w:trPr>
        <w:tc>
          <w:tcPr>
            <w:tcW w:w="2699" w:type="dxa"/>
            <w:tcBorders>
              <w:top w:val="nil"/>
              <w:left w:val="nil"/>
              <w:bottom w:val="single" w:sz="3" w:space="0" w:color="000000"/>
              <w:right w:val="nil"/>
            </w:tcBorders>
          </w:tcPr>
          <w:p w14:paraId="3FF46630" w14:textId="77777777" w:rsidR="007A6E95" w:rsidRDefault="007A6E95" w:rsidP="007C644D">
            <w:pPr>
              <w:spacing w:after="0" w:line="259" w:lineRule="auto"/>
              <w:ind w:left="120" w:firstLine="0"/>
              <w:jc w:val="left"/>
            </w:pPr>
            <w:r>
              <w:t>EC [%]</w:t>
            </w:r>
          </w:p>
        </w:tc>
        <w:tc>
          <w:tcPr>
            <w:tcW w:w="1519" w:type="dxa"/>
            <w:tcBorders>
              <w:top w:val="nil"/>
              <w:left w:val="nil"/>
              <w:bottom w:val="single" w:sz="3" w:space="0" w:color="000000"/>
              <w:right w:val="nil"/>
            </w:tcBorders>
          </w:tcPr>
          <w:p w14:paraId="1E0122AF" w14:textId="77777777" w:rsidR="007A6E95" w:rsidRDefault="007A6E95" w:rsidP="007C644D">
            <w:pPr>
              <w:spacing w:after="0" w:line="259" w:lineRule="auto"/>
              <w:ind w:left="0" w:firstLine="0"/>
              <w:jc w:val="left"/>
            </w:pPr>
            <w:r>
              <w:t>5.4</w:t>
            </w:r>
          </w:p>
        </w:tc>
        <w:tc>
          <w:tcPr>
            <w:tcW w:w="1399" w:type="dxa"/>
            <w:tcBorders>
              <w:top w:val="nil"/>
              <w:left w:val="nil"/>
              <w:bottom w:val="single" w:sz="3" w:space="0" w:color="000000"/>
              <w:right w:val="nil"/>
            </w:tcBorders>
          </w:tcPr>
          <w:p w14:paraId="2C9C4A46" w14:textId="77777777" w:rsidR="007A6E95" w:rsidRDefault="007A6E95" w:rsidP="007C644D">
            <w:pPr>
              <w:spacing w:after="0" w:line="259" w:lineRule="auto"/>
              <w:ind w:left="0" w:firstLine="0"/>
              <w:jc w:val="left"/>
            </w:pPr>
            <w:r>
              <w:t>6.5</w:t>
            </w:r>
          </w:p>
        </w:tc>
      </w:tr>
    </w:tbl>
    <w:p w14:paraId="23F8E62A" w14:textId="77777777" w:rsidR="007A6E95" w:rsidRPr="00D1475C" w:rsidRDefault="007A6E95" w:rsidP="00D1475C"/>
    <w:sectPr w:rsidR="007A6E95" w:rsidRPr="00D1475C">
      <w:headerReference w:type="even" r:id="rId34"/>
      <w:headerReference w:type="default" r:id="rId35"/>
      <w:footerReference w:type="even" r:id="rId36"/>
      <w:footerReference w:type="default" r:id="rId37"/>
      <w:headerReference w:type="first" r:id="rId38"/>
      <w:footerReference w:type="first" r:id="rId39"/>
      <w:type w:val="continuous"/>
      <w:pgSz w:w="12240" w:h="15840"/>
      <w:pgMar w:top="1512" w:right="365" w:bottom="1872" w:left="14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99865" w14:textId="77777777" w:rsidR="00757B79" w:rsidRDefault="00757B79">
      <w:pPr>
        <w:spacing w:after="0" w:line="240" w:lineRule="auto"/>
      </w:pPr>
      <w:r>
        <w:separator/>
      </w:r>
    </w:p>
  </w:endnote>
  <w:endnote w:type="continuationSeparator" w:id="0">
    <w:p w14:paraId="45105968" w14:textId="77777777" w:rsidR="00757B79" w:rsidRDefault="00757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9141" w14:textId="77777777" w:rsidR="00CD21A2" w:rsidRDefault="002656DE">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4A34D" w14:textId="77777777" w:rsidR="00CD21A2" w:rsidRDefault="002656DE">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84B83" w14:textId="77777777" w:rsidR="00CD21A2" w:rsidRDefault="002656DE">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F020E" w14:textId="77777777" w:rsidR="00757B79" w:rsidRDefault="00757B79">
      <w:pPr>
        <w:spacing w:after="0" w:line="259" w:lineRule="auto"/>
        <w:ind w:left="0" w:firstLine="0"/>
        <w:jc w:val="left"/>
      </w:pPr>
      <w:r>
        <w:separator/>
      </w:r>
    </w:p>
  </w:footnote>
  <w:footnote w:type="continuationSeparator" w:id="0">
    <w:p w14:paraId="5149C223" w14:textId="77777777" w:rsidR="00757B79" w:rsidRDefault="00757B79">
      <w:pPr>
        <w:spacing w:after="0" w:line="259" w:lineRule="auto"/>
        <w:ind w:left="0" w:firstLine="0"/>
        <w:jc w:val="left"/>
      </w:pPr>
      <w:r>
        <w:continuationSeparator/>
      </w:r>
    </w:p>
  </w:footnote>
  <w:footnote w:id="1">
    <w:p w14:paraId="700B1694" w14:textId="77777777" w:rsidR="00CD21A2" w:rsidRDefault="002656DE">
      <w:pPr>
        <w:pStyle w:val="footnotedescription"/>
      </w:pPr>
      <w:r>
        <w:rPr>
          <w:rStyle w:val="footnotemark"/>
        </w:rPr>
        <w:footnoteRef/>
      </w:r>
      <w:r>
        <w:t xml:space="preserve"> Corresponding author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DD59C" w14:textId="77777777" w:rsidR="00CD21A2" w:rsidRDefault="002656DE">
    <w:pPr>
      <w:spacing w:after="0" w:line="259" w:lineRule="auto"/>
      <w:ind w:left="-236" w:firstLine="0"/>
      <w:jc w:val="left"/>
    </w:pPr>
    <w:r>
      <w:rPr>
        <w:i/>
      </w:rPr>
      <w:t>Journal of Thermal Science and Engineering Applications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8F3FA" w14:textId="77777777" w:rsidR="00CD21A2" w:rsidRDefault="002656DE">
    <w:pPr>
      <w:spacing w:after="0" w:line="259" w:lineRule="auto"/>
      <w:ind w:left="-236" w:firstLine="0"/>
      <w:jc w:val="left"/>
    </w:pPr>
    <w:r>
      <w:rPr>
        <w:i/>
      </w:rPr>
      <w:t>Journal of Thermal Science and Engineering Applications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51497" w14:textId="77777777" w:rsidR="00CD21A2" w:rsidRDefault="00CD21A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34A07"/>
    <w:multiLevelType w:val="hybridMultilevel"/>
    <w:tmpl w:val="8AC8B7F4"/>
    <w:lvl w:ilvl="0" w:tplc="85429E9E">
      <w:start w:val="1"/>
      <w:numFmt w:val="decimal"/>
      <w:lvlText w:val="[%1]"/>
      <w:lvlJc w:val="left"/>
      <w:pPr>
        <w:ind w:left="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74055A">
      <w:start w:val="1"/>
      <w:numFmt w:val="lowerLetter"/>
      <w:lvlText w:val="%2"/>
      <w:lvlJc w:val="left"/>
      <w:pPr>
        <w:ind w:left="11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C8A854">
      <w:start w:val="1"/>
      <w:numFmt w:val="lowerRoman"/>
      <w:lvlText w:val="%3"/>
      <w:lvlJc w:val="left"/>
      <w:pPr>
        <w:ind w:left="18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04F0B0">
      <w:start w:val="1"/>
      <w:numFmt w:val="decimal"/>
      <w:lvlText w:val="%4"/>
      <w:lvlJc w:val="left"/>
      <w:pPr>
        <w:ind w:left="25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6CC95A">
      <w:start w:val="1"/>
      <w:numFmt w:val="lowerLetter"/>
      <w:lvlText w:val="%5"/>
      <w:lvlJc w:val="left"/>
      <w:pPr>
        <w:ind w:left="3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F2DF06">
      <w:start w:val="1"/>
      <w:numFmt w:val="lowerRoman"/>
      <w:lvlText w:val="%6"/>
      <w:lvlJc w:val="left"/>
      <w:pPr>
        <w:ind w:left="3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56E0DC">
      <w:start w:val="1"/>
      <w:numFmt w:val="decimal"/>
      <w:lvlText w:val="%7"/>
      <w:lvlJc w:val="left"/>
      <w:pPr>
        <w:ind w:left="47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6265BE">
      <w:start w:val="1"/>
      <w:numFmt w:val="lowerLetter"/>
      <w:lvlText w:val="%8"/>
      <w:lvlJc w:val="left"/>
      <w:pPr>
        <w:ind w:left="54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3E53AA">
      <w:start w:val="1"/>
      <w:numFmt w:val="lowerRoman"/>
      <w:lvlText w:val="%9"/>
      <w:lvlJc w:val="left"/>
      <w:pPr>
        <w:ind w:left="6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BFE35B1"/>
    <w:multiLevelType w:val="hybridMultilevel"/>
    <w:tmpl w:val="27F8D852"/>
    <w:lvl w:ilvl="0" w:tplc="3B802EF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043BCE">
      <w:start w:val="1"/>
      <w:numFmt w:val="lowerLetter"/>
      <w:lvlText w:val="%2"/>
      <w:lvlJc w:val="left"/>
      <w:pPr>
        <w:ind w:left="1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C88AD6">
      <w:start w:val="1"/>
      <w:numFmt w:val="lowerRoman"/>
      <w:lvlText w:val="%3"/>
      <w:lvlJc w:val="left"/>
      <w:pPr>
        <w:ind w:left="1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A24F42">
      <w:start w:val="1"/>
      <w:numFmt w:val="decimal"/>
      <w:lvlText w:val="%4"/>
      <w:lvlJc w:val="left"/>
      <w:pPr>
        <w:ind w:left="2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9E3870">
      <w:start w:val="1"/>
      <w:numFmt w:val="lowerLetter"/>
      <w:lvlText w:val="%5"/>
      <w:lvlJc w:val="left"/>
      <w:pPr>
        <w:ind w:left="33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02C10C">
      <w:start w:val="1"/>
      <w:numFmt w:val="lowerRoman"/>
      <w:lvlText w:val="%6"/>
      <w:lvlJc w:val="left"/>
      <w:pPr>
        <w:ind w:left="40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0E18C4">
      <w:start w:val="1"/>
      <w:numFmt w:val="decimal"/>
      <w:lvlText w:val="%7"/>
      <w:lvlJc w:val="left"/>
      <w:pPr>
        <w:ind w:left="4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3C76A0">
      <w:start w:val="1"/>
      <w:numFmt w:val="lowerLetter"/>
      <w:lvlText w:val="%8"/>
      <w:lvlJc w:val="left"/>
      <w:pPr>
        <w:ind w:left="54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802EB4">
      <w:start w:val="1"/>
      <w:numFmt w:val="lowerRoman"/>
      <w:lvlText w:val="%9"/>
      <w:lvlJc w:val="left"/>
      <w:pPr>
        <w:ind w:left="6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CEF36F0"/>
    <w:multiLevelType w:val="multilevel"/>
    <w:tmpl w:val="8DC8A15C"/>
    <w:lvl w:ilvl="0">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1A2"/>
    <w:rsid w:val="000654E3"/>
    <w:rsid w:val="002656DE"/>
    <w:rsid w:val="003B0651"/>
    <w:rsid w:val="003D0FEE"/>
    <w:rsid w:val="00497730"/>
    <w:rsid w:val="004B3E1D"/>
    <w:rsid w:val="004C39B8"/>
    <w:rsid w:val="005319DD"/>
    <w:rsid w:val="00584939"/>
    <w:rsid w:val="006C7D9B"/>
    <w:rsid w:val="00757B79"/>
    <w:rsid w:val="007A6E95"/>
    <w:rsid w:val="008E40A1"/>
    <w:rsid w:val="009226D9"/>
    <w:rsid w:val="00A46405"/>
    <w:rsid w:val="00A53208"/>
    <w:rsid w:val="00BA445A"/>
    <w:rsid w:val="00C3570C"/>
    <w:rsid w:val="00CD21A2"/>
    <w:rsid w:val="00D1475C"/>
    <w:rsid w:val="00FB3E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CA41"/>
  <w15:docId w15:val="{85AF8710-AFDF-4AA6-A417-6DF5FAAE8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407" w:lineRule="auto"/>
      <w:ind w:left="124" w:firstLine="350"/>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3"/>
      </w:numPr>
      <w:spacing w:after="171" w:line="265" w:lineRule="auto"/>
      <w:ind w:left="64"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numPr>
        <w:ilvl w:val="1"/>
        <w:numId w:val="3"/>
      </w:numPr>
      <w:spacing w:after="171" w:line="265" w:lineRule="auto"/>
      <w:ind w:left="64"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000000"/>
      <w:sz w:val="22"/>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35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570C"/>
    <w:rPr>
      <w:color w:val="808080"/>
    </w:rPr>
  </w:style>
  <w:style w:type="character" w:styleId="Hyperlink">
    <w:name w:val="Hyperlink"/>
    <w:basedOn w:val="DefaultParagraphFont"/>
    <w:uiPriority w:val="99"/>
    <w:unhideWhenUsed/>
    <w:rsid w:val="00FB3E4C"/>
    <w:rPr>
      <w:color w:val="0563C1" w:themeColor="hyperlink"/>
      <w:u w:val="single"/>
    </w:rPr>
  </w:style>
  <w:style w:type="character" w:styleId="UnresolvedMention">
    <w:name w:val="Unresolved Mention"/>
    <w:basedOn w:val="DefaultParagraphFont"/>
    <w:uiPriority w:val="99"/>
    <w:semiHidden/>
    <w:unhideWhenUsed/>
    <w:rsid w:val="00FB3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29</Pages>
  <Words>6720</Words>
  <Characters>38305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Rawlins</dc:creator>
  <cp:keywords/>
  <cp:lastModifiedBy>Brad Rawlins</cp:lastModifiedBy>
  <cp:revision>11</cp:revision>
  <dcterms:created xsi:type="dcterms:W3CDTF">2022-02-12T11:54:00Z</dcterms:created>
  <dcterms:modified xsi:type="dcterms:W3CDTF">2022-02-23T15:05:00Z</dcterms:modified>
</cp:coreProperties>
</file>