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24C85" w14:textId="77777777" w:rsidR="009C2D3C" w:rsidRDefault="009C2D3C" w:rsidP="009C2D3C">
      <w:pPr>
        <w:jc w:val="center"/>
      </w:pPr>
      <w:r>
        <w:rPr>
          <w:b/>
        </w:rPr>
        <w:t>Brad Saucier</w:t>
      </w:r>
      <w:r>
        <w:rPr>
          <w:b/>
        </w:rPr>
        <w:br/>
      </w:r>
      <w:r>
        <w:t>August 16, 2026</w:t>
      </w:r>
      <w:r>
        <w:br/>
        <w:t xml:space="preserve">YouTube video: </w:t>
      </w:r>
      <w:hyperlink r:id="rId10" w:history="1">
        <w:r w:rsidRPr="00685230">
          <w:rPr>
            <w:rStyle w:val="Hyperlink"/>
          </w:rPr>
          <w:t>https://youtu.be/8oMDYZSEDjM</w:t>
        </w:r>
      </w:hyperlink>
      <w:r>
        <w:br/>
      </w:r>
    </w:p>
    <w:tbl>
      <w:tblPr>
        <w:tblStyle w:val="TableGrid"/>
        <w:tblW w:w="0" w:type="auto"/>
        <w:tblLayout w:type="fixed"/>
        <w:tblLook w:val="04A0" w:firstRow="1" w:lastRow="0" w:firstColumn="1" w:lastColumn="0" w:noHBand="0" w:noVBand="1"/>
      </w:tblPr>
      <w:tblGrid>
        <w:gridCol w:w="5112"/>
        <w:gridCol w:w="5112"/>
      </w:tblGrid>
      <w:tr w:rsidR="009C2D3C" w14:paraId="115FB4EF" w14:textId="77777777" w:rsidTr="004B1B60">
        <w:trPr>
          <w:cantSplit/>
        </w:trPr>
        <w:tc>
          <w:tcPr>
            <w:tcW w:w="5112" w:type="dxa"/>
            <w:shd w:val="clear" w:color="auto" w:fill="182126"/>
            <w:vAlign w:val="center"/>
          </w:tcPr>
          <w:p w14:paraId="199E3939" w14:textId="77777777" w:rsidR="009C2D3C" w:rsidRDefault="009C2D3C" w:rsidP="004B1B60">
            <w:pPr>
              <w:jc w:val="center"/>
            </w:pPr>
            <w:r>
              <w:rPr>
                <w:b/>
                <w:color w:val="FFFFFF"/>
                <w:sz w:val="19"/>
              </w:rPr>
              <w:t>Slide</w:t>
            </w:r>
          </w:p>
        </w:tc>
        <w:tc>
          <w:tcPr>
            <w:tcW w:w="5112" w:type="dxa"/>
            <w:shd w:val="clear" w:color="auto" w:fill="182126"/>
            <w:vAlign w:val="center"/>
          </w:tcPr>
          <w:p w14:paraId="66060E4E" w14:textId="77777777" w:rsidR="009C2D3C" w:rsidRDefault="009C2D3C" w:rsidP="004B1B60">
            <w:pPr>
              <w:jc w:val="center"/>
            </w:pPr>
            <w:r>
              <w:rPr>
                <w:b/>
                <w:color w:val="FFFFFF"/>
                <w:sz w:val="19"/>
              </w:rPr>
              <w:t>Narrative</w:t>
            </w:r>
          </w:p>
        </w:tc>
      </w:tr>
      <w:tr w:rsidR="009C2D3C" w14:paraId="14D84CA6" w14:textId="77777777" w:rsidTr="004B1B60">
        <w:trPr>
          <w:cantSplit/>
        </w:trPr>
        <w:tc>
          <w:tcPr>
            <w:tcW w:w="5112" w:type="dxa"/>
          </w:tcPr>
          <w:p w14:paraId="1FACEC33" w14:textId="77777777" w:rsidR="009C2D3C" w:rsidRDefault="009C2D3C" w:rsidP="004B1B60">
            <w:pPr>
              <w:jc w:val="center"/>
            </w:pPr>
            <w:r>
              <w:rPr>
                <w:b/>
                <w:color w:val="78A93E"/>
              </w:rPr>
              <w:t>1</w:t>
            </w:r>
          </w:p>
        </w:tc>
        <w:tc>
          <w:tcPr>
            <w:tcW w:w="5112" w:type="dxa"/>
          </w:tcPr>
          <w:p w14:paraId="47EE1CEB" w14:textId="77777777" w:rsidR="009C2D3C" w:rsidRDefault="009C2D3C" w:rsidP="004B1B60">
            <w:pPr>
              <w:spacing w:after="80"/>
            </w:pPr>
            <w:r>
              <w:rPr>
                <w:b/>
                <w:color w:val="182126"/>
              </w:rPr>
              <w:t>GREEN PACE SECURITY POLICY</w:t>
            </w:r>
            <w:r>
              <w:br/>
            </w:r>
            <w:r>
              <w:rPr>
                <w:color w:val="263238"/>
                <w:sz w:val="20"/>
              </w:rPr>
              <w:t>Hello. I am Brad Saucier, and this is the Green Pace security policy briefing. Over the next fifteen minutes, I will cover the policy and the threats it answers, the ten coding standards that carry it into daily work, the test evidence showing those standards already run, and the plan to finish the job. The mission is simple. Make the secure choice the easy choice for every developer, then use automation to catch the mistakes we still make before a customer, an attacker, or an auditor catches them for us.</w:t>
            </w:r>
          </w:p>
        </w:tc>
      </w:tr>
    </w:tbl>
    <w:p w14:paraId="490137A6" w14:textId="77777777" w:rsidR="009C2D3C" w:rsidRDefault="009C2D3C" w:rsidP="009C2D3C">
      <w:pPr>
        <w:spacing w:after="40"/>
      </w:pPr>
    </w:p>
    <w:tbl>
      <w:tblPr>
        <w:tblStyle w:val="TableGrid"/>
        <w:tblW w:w="0" w:type="auto"/>
        <w:tblLayout w:type="fixed"/>
        <w:tblLook w:val="04A0" w:firstRow="1" w:lastRow="0" w:firstColumn="1" w:lastColumn="0" w:noHBand="0" w:noVBand="1"/>
      </w:tblPr>
      <w:tblGrid>
        <w:gridCol w:w="5112"/>
        <w:gridCol w:w="5112"/>
      </w:tblGrid>
      <w:tr w:rsidR="009C2D3C" w14:paraId="4CAC4FCC" w14:textId="77777777" w:rsidTr="004B1B60">
        <w:trPr>
          <w:cantSplit/>
        </w:trPr>
        <w:tc>
          <w:tcPr>
            <w:tcW w:w="5112" w:type="dxa"/>
            <w:shd w:val="clear" w:color="auto" w:fill="F4F7F8"/>
          </w:tcPr>
          <w:p w14:paraId="4EC0AFC0" w14:textId="77777777" w:rsidR="009C2D3C" w:rsidRDefault="009C2D3C" w:rsidP="004B1B60">
            <w:pPr>
              <w:jc w:val="center"/>
            </w:pPr>
            <w:r>
              <w:rPr>
                <w:b/>
                <w:color w:val="1FAFC4"/>
              </w:rPr>
              <w:t>2</w:t>
            </w:r>
          </w:p>
        </w:tc>
        <w:tc>
          <w:tcPr>
            <w:tcW w:w="5112" w:type="dxa"/>
            <w:shd w:val="clear" w:color="auto" w:fill="F4F7F8"/>
          </w:tcPr>
          <w:p w14:paraId="5123276D" w14:textId="77777777" w:rsidR="009C2D3C" w:rsidRDefault="009C2D3C" w:rsidP="004B1B60">
            <w:pPr>
              <w:spacing w:after="80"/>
            </w:pPr>
            <w:r>
              <w:rPr>
                <w:b/>
                <w:color w:val="182126"/>
              </w:rPr>
              <w:t>OVERVIEW: DEFENSE IN DEPTH</w:t>
            </w:r>
            <w:r>
              <w:br/>
            </w:r>
            <w:r>
              <w:rPr>
                <w:color w:val="263238"/>
                <w:sz w:val="20"/>
              </w:rPr>
              <w:t xml:space="preserve">Green Pace has grown past the point where security can live in people's heads. Today, the answer to 'is this safe' depends on who you ask and whether that person is at lunch. One written standard replaces that, covering design, coding, testing, deployment, and monitoring. The organizing idea is defense in depth. We never rely on one control. We stack several independent controls and assume each will eventually fail. Input validation rejects bad data. Safer coding rules reduce defects. Encryption protects the information itself. Access controls limit how far a mistake travels. Logs let us detect and investigate. If </w:t>
            </w:r>
            <w:proofErr w:type="gramStart"/>
            <w:r>
              <w:rPr>
                <w:color w:val="263238"/>
                <w:sz w:val="20"/>
              </w:rPr>
              <w:t>one layer</w:t>
            </w:r>
            <w:proofErr w:type="gramEnd"/>
            <w:r>
              <w:rPr>
                <w:color w:val="263238"/>
                <w:sz w:val="20"/>
              </w:rPr>
              <w:t xml:space="preserve"> misses, the next still has a job. That matches the National Institute of Standards and Technology model: security built into the whole software life cycle, not a review at the end.</w:t>
            </w:r>
          </w:p>
        </w:tc>
      </w:tr>
    </w:tbl>
    <w:p w14:paraId="097E1EBA" w14:textId="77777777" w:rsidR="009C2D3C" w:rsidRDefault="009C2D3C" w:rsidP="009C2D3C">
      <w:pPr>
        <w:spacing w:after="40"/>
      </w:pPr>
    </w:p>
    <w:tbl>
      <w:tblPr>
        <w:tblStyle w:val="TableGrid"/>
        <w:tblW w:w="0" w:type="auto"/>
        <w:tblLayout w:type="fixed"/>
        <w:tblLook w:val="04A0" w:firstRow="1" w:lastRow="0" w:firstColumn="1" w:lastColumn="0" w:noHBand="0" w:noVBand="1"/>
      </w:tblPr>
      <w:tblGrid>
        <w:gridCol w:w="5112"/>
        <w:gridCol w:w="5112"/>
      </w:tblGrid>
      <w:tr w:rsidR="009C2D3C" w14:paraId="6A35BDBC" w14:textId="77777777" w:rsidTr="004B1B60">
        <w:trPr>
          <w:cantSplit/>
        </w:trPr>
        <w:tc>
          <w:tcPr>
            <w:tcW w:w="5112" w:type="dxa"/>
          </w:tcPr>
          <w:p w14:paraId="466D8256" w14:textId="77777777" w:rsidR="009C2D3C" w:rsidRDefault="009C2D3C" w:rsidP="004B1B60">
            <w:pPr>
              <w:jc w:val="center"/>
            </w:pPr>
            <w:r>
              <w:rPr>
                <w:b/>
                <w:color w:val="78A93E"/>
              </w:rPr>
              <w:lastRenderedPageBreak/>
              <w:t>3</w:t>
            </w:r>
          </w:p>
        </w:tc>
        <w:tc>
          <w:tcPr>
            <w:tcW w:w="5112" w:type="dxa"/>
          </w:tcPr>
          <w:p w14:paraId="722E02FE" w14:textId="77777777" w:rsidR="009C2D3C" w:rsidRDefault="009C2D3C" w:rsidP="004B1B60">
            <w:pPr>
              <w:spacing w:after="80"/>
            </w:pPr>
            <w:r>
              <w:rPr>
                <w:b/>
                <w:color w:val="182126"/>
              </w:rPr>
              <w:t>THREATS MATRIX</w:t>
            </w:r>
            <w:r>
              <w:br/>
            </w:r>
            <w:r>
              <w:rPr>
                <w:color w:val="263238"/>
                <w:sz w:val="20"/>
              </w:rPr>
              <w:t xml:space="preserve">This matrix plots each threat on two axes. Up is how likely. Right is how much damage. Upper right is Priority: plausible and damaging. Four threats sit there. SQL injection is when an attacker </w:t>
            </w:r>
            <w:proofErr w:type="gramStart"/>
            <w:r>
              <w:rPr>
                <w:color w:val="263238"/>
                <w:sz w:val="20"/>
              </w:rPr>
              <w:t>types</w:t>
            </w:r>
            <w:proofErr w:type="gramEnd"/>
            <w:r>
              <w:rPr>
                <w:color w:val="263238"/>
                <w:sz w:val="20"/>
              </w:rPr>
              <w:t xml:space="preserve"> database commands into an ordinary input box and the application runs them. Memory misuse is when code reads or writes storage it does not own. Unsigned arithmetic can wrap a number past </w:t>
            </w:r>
            <w:proofErr w:type="gramStart"/>
            <w:r>
              <w:rPr>
                <w:color w:val="263238"/>
                <w:sz w:val="20"/>
              </w:rPr>
              <w:t>zero</w:t>
            </w:r>
            <w:proofErr w:type="gramEnd"/>
            <w:r>
              <w:rPr>
                <w:color w:val="263238"/>
                <w:sz w:val="20"/>
              </w:rPr>
              <w:t xml:space="preserve"> so a size check quietly passes. Container bounds fail when code reaches past the end of a list. Any of the four can expose data, corrupt execution, or crash a service. Upper left is Likely: common problems with smaller impact, such as uninitialized values and string handling. Lower right is unlikely but serious. Lower left is Low Priority, which is not the same as No Priority. Assertions sit there. One distinction: standard one, data types, carries high severity but priority Level 2 because its assessed likelihood is low. Severity is how bad it would be. Priority is what we fix first.</w:t>
            </w:r>
          </w:p>
        </w:tc>
      </w:tr>
    </w:tbl>
    <w:p w14:paraId="2ABCD20E" w14:textId="77777777" w:rsidR="009C2D3C" w:rsidRDefault="009C2D3C" w:rsidP="009C2D3C">
      <w:pPr>
        <w:spacing w:after="40"/>
      </w:pPr>
    </w:p>
    <w:tbl>
      <w:tblPr>
        <w:tblStyle w:val="TableGrid"/>
        <w:tblW w:w="0" w:type="auto"/>
        <w:tblLayout w:type="fixed"/>
        <w:tblLook w:val="04A0" w:firstRow="1" w:lastRow="0" w:firstColumn="1" w:lastColumn="0" w:noHBand="0" w:noVBand="1"/>
      </w:tblPr>
      <w:tblGrid>
        <w:gridCol w:w="5112"/>
        <w:gridCol w:w="5112"/>
      </w:tblGrid>
      <w:tr w:rsidR="009C2D3C" w14:paraId="1372FDC7" w14:textId="77777777" w:rsidTr="004B1B60">
        <w:trPr>
          <w:cantSplit/>
        </w:trPr>
        <w:tc>
          <w:tcPr>
            <w:tcW w:w="5112" w:type="dxa"/>
            <w:shd w:val="clear" w:color="auto" w:fill="F4F7F8"/>
          </w:tcPr>
          <w:p w14:paraId="28D3271F" w14:textId="77777777" w:rsidR="009C2D3C" w:rsidRDefault="009C2D3C" w:rsidP="004B1B60">
            <w:pPr>
              <w:jc w:val="center"/>
            </w:pPr>
            <w:r>
              <w:rPr>
                <w:b/>
                <w:color w:val="1FAFC4"/>
              </w:rPr>
              <w:t>4</w:t>
            </w:r>
          </w:p>
        </w:tc>
        <w:tc>
          <w:tcPr>
            <w:tcW w:w="5112" w:type="dxa"/>
            <w:shd w:val="clear" w:color="auto" w:fill="F4F7F8"/>
          </w:tcPr>
          <w:p w14:paraId="4790A767" w14:textId="77777777" w:rsidR="009C2D3C" w:rsidRDefault="009C2D3C" w:rsidP="004B1B60">
            <w:pPr>
              <w:spacing w:after="80"/>
            </w:pPr>
            <w:r>
              <w:rPr>
                <w:b/>
                <w:color w:val="182126"/>
              </w:rPr>
              <w:t>10 PRINCIPLES: OWNERSHIP</w:t>
            </w:r>
            <w:r>
              <w:br/>
            </w:r>
            <w:r>
              <w:rPr>
                <w:color w:val="263238"/>
                <w:sz w:val="20"/>
              </w:rPr>
              <w:t xml:space="preserve">The ten principles are the compass. The ten standards are the map coordinates. Group the principles three ways. Keep bad data out: validate input, sanitize what we send to other systems, and default to deny. Those drive our rules on data types, values, strings, SQL, and bounds. Keep the code honest: heed compiler warnings, keep it simple, architect for the security policy, and grant least privilege. Those drive conversions, initialization, and memory management. Prove it </w:t>
            </w:r>
            <w:proofErr w:type="gramStart"/>
            <w:r>
              <w:rPr>
                <w:color w:val="263238"/>
                <w:sz w:val="20"/>
              </w:rPr>
              <w:t>works:</w:t>
            </w:r>
            <w:proofErr w:type="gramEnd"/>
            <w:r>
              <w:rPr>
                <w:color w:val="263238"/>
                <w:sz w:val="20"/>
              </w:rPr>
              <w:t xml:space="preserve"> effective quality assurance and defense in depth across all of it. That is where unit tests, static analysis, and runtime tools earn their place. The tenth ties the set together. Adopt a recognized secure coding standard. Ours is CERT C++, from Carnegie Mellon's Software Engineering Institute. A rule with no owner is a poster, and posters do not stop exploits.</w:t>
            </w:r>
          </w:p>
        </w:tc>
      </w:tr>
    </w:tbl>
    <w:p w14:paraId="3D7E6939" w14:textId="77777777" w:rsidR="009C2D3C" w:rsidRDefault="009C2D3C" w:rsidP="009C2D3C">
      <w:pPr>
        <w:spacing w:after="40"/>
      </w:pPr>
    </w:p>
    <w:tbl>
      <w:tblPr>
        <w:tblStyle w:val="TableGrid"/>
        <w:tblW w:w="0" w:type="auto"/>
        <w:tblLayout w:type="fixed"/>
        <w:tblLook w:val="04A0" w:firstRow="1" w:lastRow="0" w:firstColumn="1" w:lastColumn="0" w:noHBand="0" w:noVBand="1"/>
      </w:tblPr>
      <w:tblGrid>
        <w:gridCol w:w="5112"/>
        <w:gridCol w:w="5112"/>
      </w:tblGrid>
      <w:tr w:rsidR="009C2D3C" w14:paraId="647F1E71" w14:textId="77777777" w:rsidTr="004B1B60">
        <w:trPr>
          <w:cantSplit/>
        </w:trPr>
        <w:tc>
          <w:tcPr>
            <w:tcW w:w="5112" w:type="dxa"/>
          </w:tcPr>
          <w:p w14:paraId="359796CF" w14:textId="77777777" w:rsidR="009C2D3C" w:rsidRDefault="009C2D3C" w:rsidP="004B1B60">
            <w:pPr>
              <w:jc w:val="center"/>
            </w:pPr>
            <w:r>
              <w:rPr>
                <w:b/>
                <w:color w:val="78A93E"/>
              </w:rPr>
              <w:lastRenderedPageBreak/>
              <w:t>5</w:t>
            </w:r>
          </w:p>
        </w:tc>
        <w:tc>
          <w:tcPr>
            <w:tcW w:w="5112" w:type="dxa"/>
          </w:tcPr>
          <w:p w14:paraId="13815AA5" w14:textId="77777777" w:rsidR="009C2D3C" w:rsidRDefault="009C2D3C" w:rsidP="004B1B60">
            <w:pPr>
              <w:spacing w:after="80"/>
            </w:pPr>
            <w:r>
              <w:rPr>
                <w:b/>
                <w:color w:val="182126"/>
              </w:rPr>
              <w:t>CODING STANDARDS: RANKED</w:t>
            </w:r>
            <w:r>
              <w:br/>
            </w:r>
            <w:r>
              <w:rPr>
                <w:color w:val="263238"/>
                <w:sz w:val="20"/>
              </w:rPr>
              <w:t>We ranked the ten standards on five factors. Business impact. Likelihood. Ease of exploitation. Amount of the system exposed. And detectability before release. Level 5, fix first: memory protection and SQL injection. Either one can hand an attacker data or control in a single step. Level 4: unsigned arithmetic and container bounds. These seldom cause harm alone, but they feed memory corruption, denial of service, and bypassed logic. Level 3: strings, initialization, and memory management. Level 2: data types and exceptions. Level 1: assertions. The short line under every standard gives an example of when that policy applies, from an unsafe conversion to an invalid index. Read this as a work queue, not permission to ignore the bottom.</w:t>
            </w:r>
          </w:p>
        </w:tc>
      </w:tr>
    </w:tbl>
    <w:p w14:paraId="7BBFBF39" w14:textId="77777777" w:rsidR="009C2D3C" w:rsidRDefault="009C2D3C" w:rsidP="009C2D3C">
      <w:pPr>
        <w:spacing w:after="40"/>
      </w:pPr>
    </w:p>
    <w:tbl>
      <w:tblPr>
        <w:tblStyle w:val="TableGrid"/>
        <w:tblW w:w="0" w:type="auto"/>
        <w:tblLayout w:type="fixed"/>
        <w:tblLook w:val="04A0" w:firstRow="1" w:lastRow="0" w:firstColumn="1" w:lastColumn="0" w:noHBand="0" w:noVBand="1"/>
      </w:tblPr>
      <w:tblGrid>
        <w:gridCol w:w="5112"/>
        <w:gridCol w:w="5112"/>
      </w:tblGrid>
      <w:tr w:rsidR="009C2D3C" w14:paraId="26761242" w14:textId="77777777" w:rsidTr="004B1B60">
        <w:trPr>
          <w:cantSplit/>
        </w:trPr>
        <w:tc>
          <w:tcPr>
            <w:tcW w:w="5112" w:type="dxa"/>
            <w:shd w:val="clear" w:color="auto" w:fill="F4F7F8"/>
          </w:tcPr>
          <w:p w14:paraId="0617D650" w14:textId="77777777" w:rsidR="009C2D3C" w:rsidRDefault="009C2D3C" w:rsidP="004B1B60">
            <w:pPr>
              <w:jc w:val="center"/>
            </w:pPr>
            <w:r>
              <w:rPr>
                <w:b/>
                <w:color w:val="1FAFC4"/>
              </w:rPr>
              <w:t>6</w:t>
            </w:r>
          </w:p>
        </w:tc>
        <w:tc>
          <w:tcPr>
            <w:tcW w:w="5112" w:type="dxa"/>
            <w:shd w:val="clear" w:color="auto" w:fill="F4F7F8"/>
          </w:tcPr>
          <w:p w14:paraId="5B855E0D" w14:textId="77777777" w:rsidR="009C2D3C" w:rsidRDefault="009C2D3C" w:rsidP="004B1B60">
            <w:pPr>
              <w:spacing w:after="80"/>
            </w:pPr>
            <w:r>
              <w:rPr>
                <w:b/>
                <w:color w:val="182126"/>
              </w:rPr>
              <w:t>ENCRYPTION: THREE STATES</w:t>
            </w:r>
            <w:r>
              <w:br/>
            </w:r>
            <w:r>
              <w:rPr>
                <w:color w:val="263238"/>
                <w:sz w:val="20"/>
              </w:rPr>
              <w:t xml:space="preserve">Data lives in three states, and each needs its own protection. At rest means stored on disk or in a database. We use AES-256 in </w:t>
            </w:r>
            <w:proofErr w:type="gramStart"/>
            <w:r>
              <w:rPr>
                <w:color w:val="263238"/>
                <w:sz w:val="20"/>
              </w:rPr>
              <w:t>an approved</w:t>
            </w:r>
            <w:proofErr w:type="gramEnd"/>
            <w:r>
              <w:rPr>
                <w:color w:val="263238"/>
                <w:sz w:val="20"/>
              </w:rPr>
              <w:t xml:space="preserve"> mode, and we keep the keys somewhere other than the data they protect: a key management service or a hardware security module. A key stored beside the data is a locked door with the key taped to it. In flight means moving across a network. TLS 1.3 is our standard. TLS 1.2 requires a written exception with an expiration date. Anything older is prohibited. In use means loaded in memory, where data </w:t>
            </w:r>
            <w:proofErr w:type="gramStart"/>
            <w:r>
              <w:rPr>
                <w:color w:val="263238"/>
                <w:sz w:val="20"/>
              </w:rPr>
              <w:t>has to</w:t>
            </w:r>
            <w:proofErr w:type="gramEnd"/>
            <w:r>
              <w:rPr>
                <w:color w:val="263238"/>
                <w:sz w:val="20"/>
              </w:rPr>
              <w:t xml:space="preserve"> be readable to be useful. </w:t>
            </w:r>
            <w:proofErr w:type="gramStart"/>
            <w:r>
              <w:rPr>
                <w:color w:val="263238"/>
                <w:sz w:val="20"/>
              </w:rPr>
              <w:t>So</w:t>
            </w:r>
            <w:proofErr w:type="gramEnd"/>
            <w:r>
              <w:rPr>
                <w:color w:val="263238"/>
                <w:sz w:val="20"/>
              </w:rPr>
              <w:t xml:space="preserve"> we shrink the window. Minimize how long plaintext sits in memory, keep it out of debug logs and crash dumps, wipe sensitive buffers, and consider confidential computing when the risk earns it. Encryption is not finished because a browser shows a padlock.</w:t>
            </w:r>
          </w:p>
        </w:tc>
      </w:tr>
    </w:tbl>
    <w:p w14:paraId="1AA73948" w14:textId="77777777" w:rsidR="009C2D3C" w:rsidRDefault="009C2D3C" w:rsidP="009C2D3C">
      <w:pPr>
        <w:spacing w:after="40"/>
      </w:pPr>
    </w:p>
    <w:tbl>
      <w:tblPr>
        <w:tblStyle w:val="TableGrid"/>
        <w:tblW w:w="0" w:type="auto"/>
        <w:tblLayout w:type="fixed"/>
        <w:tblLook w:val="04A0" w:firstRow="1" w:lastRow="0" w:firstColumn="1" w:lastColumn="0" w:noHBand="0" w:noVBand="1"/>
      </w:tblPr>
      <w:tblGrid>
        <w:gridCol w:w="5112"/>
        <w:gridCol w:w="5112"/>
      </w:tblGrid>
      <w:tr w:rsidR="009C2D3C" w14:paraId="08FB2359" w14:textId="77777777" w:rsidTr="004B1B60">
        <w:trPr>
          <w:cantSplit/>
        </w:trPr>
        <w:tc>
          <w:tcPr>
            <w:tcW w:w="5112" w:type="dxa"/>
          </w:tcPr>
          <w:p w14:paraId="1C4D47B0" w14:textId="77777777" w:rsidR="009C2D3C" w:rsidRDefault="009C2D3C" w:rsidP="004B1B60">
            <w:pPr>
              <w:jc w:val="center"/>
            </w:pPr>
            <w:r>
              <w:rPr>
                <w:b/>
                <w:color w:val="78A93E"/>
              </w:rPr>
              <w:t>7</w:t>
            </w:r>
          </w:p>
        </w:tc>
        <w:tc>
          <w:tcPr>
            <w:tcW w:w="5112" w:type="dxa"/>
          </w:tcPr>
          <w:p w14:paraId="5BC3FE2E" w14:textId="77777777" w:rsidR="009C2D3C" w:rsidRDefault="009C2D3C" w:rsidP="004B1B60">
            <w:pPr>
              <w:spacing w:after="80"/>
            </w:pPr>
            <w:r>
              <w:rPr>
                <w:b/>
                <w:color w:val="182126"/>
              </w:rPr>
              <w:t>TRIPLE-A: WHO, WHAT, PROOF</w:t>
            </w:r>
            <w:r>
              <w:br/>
            </w:r>
            <w:r>
              <w:rPr>
                <w:color w:val="263238"/>
                <w:sz w:val="20"/>
              </w:rPr>
              <w:t xml:space="preserve">Triple-A answers three questions. Who are you. What may you do. What did you do. Authentication is who. Green Pace uses unique accounts, centralized identity, managed service credentials, and multi-factor authentication that is phishing </w:t>
            </w:r>
            <w:proofErr w:type="gramStart"/>
            <w:r>
              <w:rPr>
                <w:color w:val="263238"/>
                <w:sz w:val="20"/>
              </w:rPr>
              <w:t>resistant</w:t>
            </w:r>
            <w:proofErr w:type="gramEnd"/>
            <w:r>
              <w:rPr>
                <w:color w:val="263238"/>
                <w:sz w:val="20"/>
              </w:rPr>
              <w:t xml:space="preserve">, meaning a code someone can talk you into reading aloud does not count. Authorization is what you may do. Default </w:t>
            </w:r>
            <w:proofErr w:type="gramStart"/>
            <w:r>
              <w:rPr>
                <w:color w:val="263238"/>
                <w:sz w:val="20"/>
              </w:rPr>
              <w:t>deny</w:t>
            </w:r>
            <w:proofErr w:type="gramEnd"/>
            <w:r>
              <w:rPr>
                <w:color w:val="263238"/>
                <w:sz w:val="20"/>
              </w:rPr>
              <w:t>. Least privilege, the minimum needed for the job. And the check happens on the server, never in the browser. Accounting is what happened. Logs record the actor, the action, the result, and the time in UTC, then go to central monitoring with tamper protection. The hardware key shown here is real strong authentication, and it is only the first A. A badge proves who walked into the building. It does not decide which rooms you may enter, and it does not write down where you went.</w:t>
            </w:r>
          </w:p>
        </w:tc>
      </w:tr>
    </w:tbl>
    <w:p w14:paraId="2587D1BE" w14:textId="77777777" w:rsidR="009C2D3C" w:rsidRDefault="009C2D3C" w:rsidP="009C2D3C">
      <w:pPr>
        <w:spacing w:after="40"/>
      </w:pPr>
    </w:p>
    <w:tbl>
      <w:tblPr>
        <w:tblStyle w:val="TableGrid"/>
        <w:tblW w:w="0" w:type="auto"/>
        <w:tblLayout w:type="fixed"/>
        <w:tblLook w:val="04A0" w:firstRow="1" w:lastRow="0" w:firstColumn="1" w:lastColumn="0" w:noHBand="0" w:noVBand="1"/>
      </w:tblPr>
      <w:tblGrid>
        <w:gridCol w:w="5112"/>
        <w:gridCol w:w="5112"/>
      </w:tblGrid>
      <w:tr w:rsidR="009C2D3C" w14:paraId="28718578" w14:textId="77777777" w:rsidTr="004B1B60">
        <w:trPr>
          <w:cantSplit/>
        </w:trPr>
        <w:tc>
          <w:tcPr>
            <w:tcW w:w="5112" w:type="dxa"/>
            <w:shd w:val="clear" w:color="auto" w:fill="F4F7F8"/>
          </w:tcPr>
          <w:p w14:paraId="668639A4" w14:textId="77777777" w:rsidR="009C2D3C" w:rsidRDefault="009C2D3C" w:rsidP="004B1B60">
            <w:pPr>
              <w:jc w:val="center"/>
            </w:pPr>
            <w:r>
              <w:rPr>
                <w:b/>
                <w:color w:val="1FAFC4"/>
              </w:rPr>
              <w:lastRenderedPageBreak/>
              <w:t>8</w:t>
            </w:r>
          </w:p>
        </w:tc>
        <w:tc>
          <w:tcPr>
            <w:tcW w:w="5112" w:type="dxa"/>
            <w:shd w:val="clear" w:color="auto" w:fill="F4F7F8"/>
          </w:tcPr>
          <w:p w14:paraId="465E3DB1" w14:textId="77777777" w:rsidR="009C2D3C" w:rsidRDefault="009C2D3C" w:rsidP="004B1B60">
            <w:pPr>
              <w:spacing w:after="80"/>
            </w:pPr>
            <w:r>
              <w:rPr>
                <w:b/>
                <w:color w:val="182126"/>
              </w:rPr>
              <w:t>CAN ONE ADDED VALUE PROVE THE VECTOR CHANGED?</w:t>
            </w:r>
            <w:r>
              <w:br/>
            </w:r>
            <w:r>
              <w:rPr>
                <w:color w:val="263238"/>
                <w:sz w:val="20"/>
              </w:rPr>
              <w:t xml:space="preserve">The next six slides are unit tests. A unit test is a small automated check that runs one piece of code and confirms it behaves as specified. Ours use Google Test, an </w:t>
            </w:r>
            <w:proofErr w:type="gramStart"/>
            <w:r>
              <w:rPr>
                <w:color w:val="263238"/>
                <w:sz w:val="20"/>
              </w:rPr>
              <w:t>open source</w:t>
            </w:r>
            <w:proofErr w:type="gramEnd"/>
            <w:r>
              <w:rPr>
                <w:color w:val="263238"/>
                <w:sz w:val="20"/>
              </w:rPr>
              <w:t xml:space="preserve"> C++ framework. The submitted Visual Studio run shows all fifteen passing. Here are six. Setup: an empty vector, which is a list that grows on demand. Action: add one entry. Expected result: the vector is no longer empty, and its size is exactly one. The assertions guard the setup. The expectations check the behavior. Security value: the test proves container state through defined operations, which supports standard ten and our quality assurance principle. Next improvement: run it as a parameterized test across several values and types. One example is useful. A family of examples is harder for a defect to dodge.</w:t>
            </w:r>
          </w:p>
        </w:tc>
      </w:tr>
    </w:tbl>
    <w:p w14:paraId="261A2217" w14:textId="77777777" w:rsidR="009C2D3C" w:rsidRDefault="009C2D3C" w:rsidP="009C2D3C">
      <w:pPr>
        <w:spacing w:after="40"/>
      </w:pPr>
    </w:p>
    <w:tbl>
      <w:tblPr>
        <w:tblStyle w:val="TableGrid"/>
        <w:tblW w:w="0" w:type="auto"/>
        <w:tblLayout w:type="fixed"/>
        <w:tblLook w:val="04A0" w:firstRow="1" w:lastRow="0" w:firstColumn="1" w:lastColumn="0" w:noHBand="0" w:noVBand="1"/>
      </w:tblPr>
      <w:tblGrid>
        <w:gridCol w:w="5112"/>
        <w:gridCol w:w="5112"/>
      </w:tblGrid>
      <w:tr w:rsidR="009C2D3C" w14:paraId="24E98802" w14:textId="77777777" w:rsidTr="004B1B60">
        <w:trPr>
          <w:cantSplit/>
        </w:trPr>
        <w:tc>
          <w:tcPr>
            <w:tcW w:w="5112" w:type="dxa"/>
          </w:tcPr>
          <w:p w14:paraId="539A897F" w14:textId="77777777" w:rsidR="009C2D3C" w:rsidRDefault="009C2D3C" w:rsidP="004B1B60">
            <w:pPr>
              <w:jc w:val="center"/>
            </w:pPr>
            <w:r>
              <w:rPr>
                <w:b/>
                <w:color w:val="78A93E"/>
              </w:rPr>
              <w:t>9</w:t>
            </w:r>
          </w:p>
        </w:tc>
        <w:tc>
          <w:tcPr>
            <w:tcW w:w="5112" w:type="dxa"/>
          </w:tcPr>
          <w:p w14:paraId="6A99AF5E" w14:textId="77777777" w:rsidR="009C2D3C" w:rsidRDefault="009C2D3C" w:rsidP="004B1B60">
            <w:pPr>
              <w:spacing w:after="80"/>
            </w:pPr>
            <w:r>
              <w:rPr>
                <w:b/>
                <w:color w:val="182126"/>
              </w:rPr>
              <w:t>CAN RESERVE GROW CAPACITY WITHOUT CHANGING SIZE?</w:t>
            </w:r>
            <w:r>
              <w:br/>
            </w:r>
            <w:r>
              <w:rPr>
                <w:color w:val="263238"/>
                <w:sz w:val="20"/>
              </w:rPr>
              <w:t xml:space="preserve">Setup: a vector with a known size. Action: call reserve, which asks for more storage </w:t>
            </w:r>
            <w:proofErr w:type="gramStart"/>
            <w:r>
              <w:rPr>
                <w:color w:val="263238"/>
                <w:sz w:val="20"/>
              </w:rPr>
              <w:t>room</w:t>
            </w:r>
            <w:proofErr w:type="gramEnd"/>
            <w:r>
              <w:rPr>
                <w:color w:val="263238"/>
                <w:sz w:val="20"/>
              </w:rPr>
              <w:t xml:space="preserve"> without adding elements. Expected result: size stays the same, and capacity reaches at least what we asked for. It passed. Security value: size is how many items exist. Capacity is how many could fit. Confusing the two is how boundary checks quietly become wrong. Next improvement: repeat the test at several starting sizes, then add </w:t>
            </w:r>
            <w:proofErr w:type="spellStart"/>
            <w:r>
              <w:rPr>
                <w:color w:val="263238"/>
                <w:sz w:val="20"/>
              </w:rPr>
              <w:t>AddressSanitizer</w:t>
            </w:r>
            <w:proofErr w:type="spellEnd"/>
            <w:r>
              <w:rPr>
                <w:color w:val="263238"/>
                <w:sz w:val="20"/>
              </w:rPr>
              <w:t xml:space="preserve"> in continuous integration. A sanitizer watches the program run and reports memory errors when they happen.</w:t>
            </w:r>
          </w:p>
        </w:tc>
      </w:tr>
    </w:tbl>
    <w:p w14:paraId="2E138CEB" w14:textId="77777777" w:rsidR="009C2D3C" w:rsidRDefault="009C2D3C" w:rsidP="009C2D3C">
      <w:pPr>
        <w:spacing w:after="40"/>
      </w:pPr>
    </w:p>
    <w:tbl>
      <w:tblPr>
        <w:tblStyle w:val="TableGrid"/>
        <w:tblW w:w="0" w:type="auto"/>
        <w:tblLayout w:type="fixed"/>
        <w:tblLook w:val="04A0" w:firstRow="1" w:lastRow="0" w:firstColumn="1" w:lastColumn="0" w:noHBand="0" w:noVBand="1"/>
      </w:tblPr>
      <w:tblGrid>
        <w:gridCol w:w="5112"/>
        <w:gridCol w:w="5112"/>
      </w:tblGrid>
      <w:tr w:rsidR="009C2D3C" w14:paraId="08E467FA" w14:textId="77777777" w:rsidTr="004B1B60">
        <w:trPr>
          <w:cantSplit/>
        </w:trPr>
        <w:tc>
          <w:tcPr>
            <w:tcW w:w="5112" w:type="dxa"/>
            <w:shd w:val="clear" w:color="auto" w:fill="F4F7F8"/>
          </w:tcPr>
          <w:p w14:paraId="3F11E531" w14:textId="77777777" w:rsidR="009C2D3C" w:rsidRDefault="009C2D3C" w:rsidP="004B1B60">
            <w:pPr>
              <w:jc w:val="center"/>
            </w:pPr>
            <w:r>
              <w:rPr>
                <w:b/>
                <w:color w:val="1FAFC4"/>
              </w:rPr>
              <w:t>10</w:t>
            </w:r>
          </w:p>
        </w:tc>
        <w:tc>
          <w:tcPr>
            <w:tcW w:w="5112" w:type="dxa"/>
            <w:shd w:val="clear" w:color="auto" w:fill="F4F7F8"/>
          </w:tcPr>
          <w:p w14:paraId="2C927021" w14:textId="77777777" w:rsidR="009C2D3C" w:rsidRDefault="009C2D3C" w:rsidP="004B1B60">
            <w:pPr>
              <w:spacing w:after="80"/>
            </w:pPr>
            <w:r>
              <w:rPr>
                <w:b/>
                <w:color w:val="182126"/>
              </w:rPr>
              <w:t>CAN RESIZE SAFELY SHRINK THE VECTOR TO ZERO?</w:t>
            </w:r>
            <w:r>
              <w:br/>
            </w:r>
            <w:r>
              <w:rPr>
                <w:color w:val="263238"/>
                <w:sz w:val="20"/>
              </w:rPr>
              <w:t xml:space="preserve">Setup: a vector holding five entries. Action: resize to zero. Expected result: empty, size zero. It passed. Security value: zero is the classic boundary. A function can work perfectly for five items and fall apart for none, because nobody wrote the empty case. Boundary tests expose the </w:t>
            </w:r>
            <w:proofErr w:type="gramStart"/>
            <w:r>
              <w:rPr>
                <w:color w:val="263238"/>
                <w:sz w:val="20"/>
              </w:rPr>
              <w:t>assumptions</w:t>
            </w:r>
            <w:proofErr w:type="gramEnd"/>
            <w:r>
              <w:rPr>
                <w:color w:val="263238"/>
                <w:sz w:val="20"/>
              </w:rPr>
              <w:t xml:space="preserve"> ordinary values hide. Next improvement: test the transitions. One to zero. Zero to one. A large size back to zero.</w:t>
            </w:r>
          </w:p>
        </w:tc>
      </w:tr>
    </w:tbl>
    <w:p w14:paraId="3D7587F6" w14:textId="77777777" w:rsidR="009C2D3C" w:rsidRDefault="009C2D3C" w:rsidP="009C2D3C">
      <w:pPr>
        <w:spacing w:after="40"/>
      </w:pPr>
    </w:p>
    <w:tbl>
      <w:tblPr>
        <w:tblStyle w:val="TableGrid"/>
        <w:tblW w:w="0" w:type="auto"/>
        <w:tblLayout w:type="fixed"/>
        <w:tblLook w:val="04A0" w:firstRow="1" w:lastRow="0" w:firstColumn="1" w:lastColumn="0" w:noHBand="0" w:noVBand="1"/>
      </w:tblPr>
      <w:tblGrid>
        <w:gridCol w:w="5112"/>
        <w:gridCol w:w="5112"/>
      </w:tblGrid>
      <w:tr w:rsidR="009C2D3C" w14:paraId="38B0C1FE" w14:textId="77777777" w:rsidTr="004B1B60">
        <w:trPr>
          <w:cantSplit/>
        </w:trPr>
        <w:tc>
          <w:tcPr>
            <w:tcW w:w="5112" w:type="dxa"/>
          </w:tcPr>
          <w:p w14:paraId="60EDAD4D" w14:textId="77777777" w:rsidR="009C2D3C" w:rsidRDefault="009C2D3C" w:rsidP="004B1B60">
            <w:pPr>
              <w:jc w:val="center"/>
            </w:pPr>
            <w:r>
              <w:rPr>
                <w:b/>
                <w:color w:val="78A93E"/>
              </w:rPr>
              <w:lastRenderedPageBreak/>
              <w:t>11</w:t>
            </w:r>
          </w:p>
        </w:tc>
        <w:tc>
          <w:tcPr>
            <w:tcW w:w="5112" w:type="dxa"/>
          </w:tcPr>
          <w:p w14:paraId="191E4103" w14:textId="77777777" w:rsidR="009C2D3C" w:rsidRDefault="009C2D3C" w:rsidP="004B1B60">
            <w:pPr>
              <w:spacing w:after="80"/>
            </w:pPr>
            <w:r>
              <w:rPr>
                <w:b/>
                <w:color w:val="182126"/>
              </w:rPr>
              <w:t>DOES CHECKED ACCESS REJECT THE OFF-BY-ONE INDEX?</w:t>
            </w:r>
            <w:r>
              <w:br/>
            </w:r>
            <w:r>
              <w:rPr>
                <w:color w:val="263238"/>
                <w:sz w:val="20"/>
              </w:rPr>
              <w:t>This is a negative test. A negative test confirms the code fails on purpose, the way we intended. Setup: a vector with one element, whose only valid index is zero. Action: ask for index one, using the checked accessor. That is the at function, which validates the index before reading. Expected result: an out-of-range exception. It passed. Security value: this is the classic off-by-one and a direct test of standard ten, container bounds. The square bracket operator makes no such guarantee. Next improvement: parameterize with size, size plus one, and the largest practical index. Then use mutation testing, which weakens the bounds check on purpose to confirm the test catches it. A test that cannot catch a planted mistake is just confident paperwork.</w:t>
            </w:r>
          </w:p>
        </w:tc>
      </w:tr>
    </w:tbl>
    <w:p w14:paraId="700F0610" w14:textId="77777777" w:rsidR="009C2D3C" w:rsidRDefault="009C2D3C" w:rsidP="009C2D3C">
      <w:pPr>
        <w:spacing w:after="40"/>
      </w:pPr>
    </w:p>
    <w:tbl>
      <w:tblPr>
        <w:tblStyle w:val="TableGrid"/>
        <w:tblW w:w="0" w:type="auto"/>
        <w:tblLayout w:type="fixed"/>
        <w:tblLook w:val="04A0" w:firstRow="1" w:lastRow="0" w:firstColumn="1" w:lastColumn="0" w:noHBand="0" w:noVBand="1"/>
      </w:tblPr>
      <w:tblGrid>
        <w:gridCol w:w="5112"/>
        <w:gridCol w:w="5112"/>
      </w:tblGrid>
      <w:tr w:rsidR="009C2D3C" w14:paraId="4EC1A454" w14:textId="77777777" w:rsidTr="004B1B60">
        <w:trPr>
          <w:cantSplit/>
        </w:trPr>
        <w:tc>
          <w:tcPr>
            <w:tcW w:w="5112" w:type="dxa"/>
            <w:shd w:val="clear" w:color="auto" w:fill="F4F7F8"/>
          </w:tcPr>
          <w:p w14:paraId="0B687705" w14:textId="77777777" w:rsidR="009C2D3C" w:rsidRDefault="009C2D3C" w:rsidP="004B1B60">
            <w:pPr>
              <w:jc w:val="center"/>
            </w:pPr>
            <w:r>
              <w:rPr>
                <w:b/>
                <w:color w:val="1FAFC4"/>
              </w:rPr>
              <w:t>12</w:t>
            </w:r>
          </w:p>
        </w:tc>
        <w:tc>
          <w:tcPr>
            <w:tcW w:w="5112" w:type="dxa"/>
            <w:shd w:val="clear" w:color="auto" w:fill="F4F7F8"/>
          </w:tcPr>
          <w:p w14:paraId="41AAC12D" w14:textId="77777777" w:rsidR="009C2D3C" w:rsidRDefault="009C2D3C" w:rsidP="004B1B60">
            <w:pPr>
              <w:spacing w:after="80"/>
            </w:pPr>
            <w:r>
              <w:rPr>
                <w:b/>
                <w:color w:val="182126"/>
              </w:rPr>
              <w:t>DOES AN EMPTY VECTOR REJECT INDEX ZERO?</w:t>
            </w:r>
            <w:r>
              <w:br/>
            </w:r>
            <w:r>
              <w:rPr>
                <w:color w:val="263238"/>
                <w:sz w:val="20"/>
              </w:rPr>
              <w:t>Setup: an empty vector. The test confirms it is empty first. Action: ask for index zero. Expected result: an out-of-range exception. It passed. Security value: developers treat zero as automatically safe. Zero is valid only when something is there to point at, and an empty container has nothing. Next improvement: apply this to every function that takes an index from a file, a request, or a user, and pair it with fuzzing. Fuzzing throws large volumes of unexpected input at a program to see what breaks. The unit test guards the edge we thought of. Fuzzing finds the values nobody remembered to invite.</w:t>
            </w:r>
          </w:p>
        </w:tc>
      </w:tr>
    </w:tbl>
    <w:p w14:paraId="75CA0134" w14:textId="77777777" w:rsidR="009C2D3C" w:rsidRDefault="009C2D3C" w:rsidP="009C2D3C">
      <w:pPr>
        <w:spacing w:after="40"/>
      </w:pPr>
    </w:p>
    <w:tbl>
      <w:tblPr>
        <w:tblStyle w:val="TableGrid"/>
        <w:tblW w:w="0" w:type="auto"/>
        <w:tblLayout w:type="fixed"/>
        <w:tblLook w:val="04A0" w:firstRow="1" w:lastRow="0" w:firstColumn="1" w:lastColumn="0" w:noHBand="0" w:noVBand="1"/>
      </w:tblPr>
      <w:tblGrid>
        <w:gridCol w:w="5112"/>
        <w:gridCol w:w="5112"/>
      </w:tblGrid>
      <w:tr w:rsidR="009C2D3C" w14:paraId="470240DC" w14:textId="77777777" w:rsidTr="004B1B60">
        <w:trPr>
          <w:cantSplit/>
        </w:trPr>
        <w:tc>
          <w:tcPr>
            <w:tcW w:w="5112" w:type="dxa"/>
          </w:tcPr>
          <w:p w14:paraId="619D2E29" w14:textId="77777777" w:rsidR="009C2D3C" w:rsidRDefault="009C2D3C" w:rsidP="004B1B60">
            <w:pPr>
              <w:jc w:val="center"/>
            </w:pPr>
            <w:r>
              <w:rPr>
                <w:b/>
                <w:color w:val="78A93E"/>
              </w:rPr>
              <w:t>13</w:t>
            </w:r>
          </w:p>
        </w:tc>
        <w:tc>
          <w:tcPr>
            <w:tcW w:w="5112" w:type="dxa"/>
          </w:tcPr>
          <w:p w14:paraId="6600C7EA" w14:textId="77777777" w:rsidR="009C2D3C" w:rsidRDefault="009C2D3C" w:rsidP="004B1B60">
            <w:pPr>
              <w:spacing w:after="80"/>
            </w:pPr>
            <w:r>
              <w:rPr>
                <w:b/>
                <w:color w:val="182126"/>
              </w:rPr>
              <w:t>DO FRONT AND BACK RETURN THE RIGHT VALUES?</w:t>
            </w:r>
            <w:r>
              <w:br/>
            </w:r>
            <w:r>
              <w:rPr>
                <w:color w:val="263238"/>
                <w:sz w:val="20"/>
              </w:rPr>
              <w:t xml:space="preserve">Setup: a vector with three fixed values: ten, twenty, and thirty. Action: read the size, then the front and back elements. Expected </w:t>
            </w:r>
            <w:proofErr w:type="gramStart"/>
            <w:r>
              <w:rPr>
                <w:color w:val="263238"/>
                <w:sz w:val="20"/>
              </w:rPr>
              <w:t>result</w:t>
            </w:r>
            <w:proofErr w:type="gramEnd"/>
            <w:r>
              <w:rPr>
                <w:color w:val="263238"/>
                <w:sz w:val="20"/>
              </w:rPr>
              <w:t>: size three, front ten, back thirty. It passed. Security value: fixed values make the result deterministic. We avoided random data here on purpose, because with random input nobody can say what the correct endpoints should be. A test that cannot state its expected answer is not evidence. Next improvement: add the one-element case, where front and back return the same value, and log the seed anywhere randomized helpers remain. Six of fifteen, all passing. So where should the rest of the checks live?</w:t>
            </w:r>
          </w:p>
        </w:tc>
      </w:tr>
    </w:tbl>
    <w:p w14:paraId="3C7F247E" w14:textId="77777777" w:rsidR="009C2D3C" w:rsidRDefault="009C2D3C" w:rsidP="009C2D3C">
      <w:pPr>
        <w:spacing w:after="40"/>
      </w:pPr>
    </w:p>
    <w:tbl>
      <w:tblPr>
        <w:tblStyle w:val="TableGrid"/>
        <w:tblW w:w="0" w:type="auto"/>
        <w:tblLayout w:type="fixed"/>
        <w:tblLook w:val="04A0" w:firstRow="1" w:lastRow="0" w:firstColumn="1" w:lastColumn="0" w:noHBand="0" w:noVBand="1"/>
      </w:tblPr>
      <w:tblGrid>
        <w:gridCol w:w="5112"/>
        <w:gridCol w:w="5112"/>
      </w:tblGrid>
      <w:tr w:rsidR="009C2D3C" w14:paraId="4AC83F2D" w14:textId="77777777" w:rsidTr="004B1B60">
        <w:trPr>
          <w:cantSplit/>
        </w:trPr>
        <w:tc>
          <w:tcPr>
            <w:tcW w:w="5112" w:type="dxa"/>
            <w:shd w:val="clear" w:color="auto" w:fill="F4F7F8"/>
          </w:tcPr>
          <w:p w14:paraId="74A7D72D" w14:textId="77777777" w:rsidR="009C2D3C" w:rsidRDefault="009C2D3C" w:rsidP="004B1B60">
            <w:pPr>
              <w:jc w:val="center"/>
            </w:pPr>
            <w:r>
              <w:rPr>
                <w:b/>
                <w:color w:val="1FAFC4"/>
              </w:rPr>
              <w:lastRenderedPageBreak/>
              <w:t>14</w:t>
            </w:r>
          </w:p>
        </w:tc>
        <w:tc>
          <w:tcPr>
            <w:tcW w:w="5112" w:type="dxa"/>
            <w:shd w:val="clear" w:color="auto" w:fill="F4F7F8"/>
          </w:tcPr>
          <w:p w14:paraId="65F6DEA5" w14:textId="77777777" w:rsidR="009C2D3C" w:rsidRDefault="009C2D3C" w:rsidP="004B1B60">
            <w:pPr>
              <w:spacing w:after="80"/>
            </w:pPr>
            <w:r>
              <w:rPr>
                <w:b/>
                <w:color w:val="182126"/>
              </w:rPr>
              <w:t>AUTOMATION: CONTROLS BY STAGE</w:t>
            </w:r>
            <w:r>
              <w:br/>
            </w:r>
            <w:r>
              <w:rPr>
                <w:color w:val="263238"/>
                <w:sz w:val="20"/>
              </w:rPr>
              <w:t xml:space="preserve">Security automation belongs at every stage, not in one dramatic scan the week before release. Here is where each control belongs. While coding, the development environment and pre-commit checks flag unsafe patterns and catch secrets, meaning passwords, keys, and tokens, before they reach the repository. At build, the compiler runs with warnings turned up and treats approved warning classes as failures. </w:t>
            </w:r>
            <w:proofErr w:type="gramStart"/>
            <w:r>
              <w:rPr>
                <w:color w:val="263238"/>
                <w:sz w:val="20"/>
              </w:rPr>
              <w:t>At test</w:t>
            </w:r>
            <w:proofErr w:type="gramEnd"/>
            <w:r>
              <w:rPr>
                <w:color w:val="263238"/>
                <w:sz w:val="20"/>
              </w:rPr>
              <w:t>, Google Test checks behavior while sanitizers and fuzzing probe memory and boundaries. At packaging, software composition analysis inventories third-party libraries and produces a software bill of materials, which is a parts list for the application. Before deployment, dynamic testing and configuration checks examine the running application. In operation, logs and alerts support accounting and response. The best gate is the one that answers while the developer still remembers writing the code.</w:t>
            </w:r>
          </w:p>
        </w:tc>
      </w:tr>
    </w:tbl>
    <w:p w14:paraId="7F2C7603" w14:textId="77777777" w:rsidR="009C2D3C" w:rsidRDefault="009C2D3C" w:rsidP="009C2D3C">
      <w:pPr>
        <w:spacing w:after="40"/>
      </w:pPr>
    </w:p>
    <w:tbl>
      <w:tblPr>
        <w:tblStyle w:val="TableGrid"/>
        <w:tblW w:w="0" w:type="auto"/>
        <w:tblLayout w:type="fixed"/>
        <w:tblLook w:val="04A0" w:firstRow="1" w:lastRow="0" w:firstColumn="1" w:lastColumn="0" w:noHBand="0" w:noVBand="1"/>
      </w:tblPr>
      <w:tblGrid>
        <w:gridCol w:w="5112"/>
        <w:gridCol w:w="5112"/>
      </w:tblGrid>
      <w:tr w:rsidR="009C2D3C" w14:paraId="774A656A" w14:textId="77777777" w:rsidTr="004B1B60">
        <w:trPr>
          <w:cantSplit/>
        </w:trPr>
        <w:tc>
          <w:tcPr>
            <w:tcW w:w="5112" w:type="dxa"/>
          </w:tcPr>
          <w:p w14:paraId="67B85B08" w14:textId="77777777" w:rsidR="009C2D3C" w:rsidRDefault="009C2D3C" w:rsidP="004B1B60">
            <w:pPr>
              <w:jc w:val="center"/>
            </w:pPr>
            <w:r>
              <w:rPr>
                <w:b/>
                <w:color w:val="78A93E"/>
              </w:rPr>
              <w:t>15</w:t>
            </w:r>
          </w:p>
        </w:tc>
        <w:tc>
          <w:tcPr>
            <w:tcW w:w="5112" w:type="dxa"/>
          </w:tcPr>
          <w:p w14:paraId="26892B2F" w14:textId="77777777" w:rsidR="009C2D3C" w:rsidRDefault="009C2D3C" w:rsidP="004B1B60">
            <w:pPr>
              <w:spacing w:after="80"/>
            </w:pPr>
            <w:r>
              <w:rPr>
                <w:b/>
                <w:color w:val="182126"/>
              </w:rPr>
              <w:t>EXTERNAL TOOLS: BLIND SPOTS</w:t>
            </w:r>
            <w:r>
              <w:br/>
            </w:r>
            <w:r>
              <w:rPr>
                <w:color w:val="263238"/>
                <w:sz w:val="20"/>
              </w:rPr>
              <w:t xml:space="preserve">That was when each tool runs. This is what each one can see and what it can miss. The compiler catches risky conversions and uninitialized values, but not wrong business logic. Google Test checks specified behavior, but only for cases we wrote. Sanitizers and </w:t>
            </w:r>
            <w:proofErr w:type="spellStart"/>
            <w:r>
              <w:rPr>
                <w:color w:val="263238"/>
                <w:sz w:val="20"/>
              </w:rPr>
              <w:t>fuzzers</w:t>
            </w:r>
            <w:proofErr w:type="spellEnd"/>
            <w:r>
              <w:rPr>
                <w:color w:val="263238"/>
                <w:sz w:val="20"/>
              </w:rPr>
              <w:t xml:space="preserve"> expose memory and boundary failures while code runs, but they miss paths that never execute. Static application security testing traces code for patterns such as </w:t>
            </w:r>
            <w:proofErr w:type="gramStart"/>
            <w:r>
              <w:rPr>
                <w:color w:val="263238"/>
                <w:sz w:val="20"/>
              </w:rPr>
              <w:t>injection</w:t>
            </w:r>
            <w:proofErr w:type="gramEnd"/>
            <w:r>
              <w:rPr>
                <w:color w:val="263238"/>
                <w:sz w:val="20"/>
              </w:rPr>
              <w:t xml:space="preserve">, but it can raise false alarms. Software composition analysis finds known risks in third-party </w:t>
            </w:r>
            <w:proofErr w:type="gramStart"/>
            <w:r>
              <w:rPr>
                <w:color w:val="263238"/>
                <w:sz w:val="20"/>
              </w:rPr>
              <w:t>components, but</w:t>
            </w:r>
            <w:proofErr w:type="gramEnd"/>
            <w:r>
              <w:rPr>
                <w:color w:val="263238"/>
                <w:sz w:val="20"/>
              </w:rPr>
              <w:t xml:space="preserve"> not flaws in our custom logic. Dynamic testing probes the running service from outside, but it can miss code paths it cannot reach. The tools overlap on purpose. The compiler flags the smoke, the unit test catches the broken behavior, and the sanitizer points at the wire that is burning. Use the combined signal. One perfect scanner does not exist.</w:t>
            </w:r>
          </w:p>
        </w:tc>
      </w:tr>
    </w:tbl>
    <w:p w14:paraId="7C218E50" w14:textId="77777777" w:rsidR="009C2D3C" w:rsidRDefault="009C2D3C" w:rsidP="009C2D3C">
      <w:pPr>
        <w:spacing w:after="40"/>
      </w:pPr>
    </w:p>
    <w:tbl>
      <w:tblPr>
        <w:tblStyle w:val="TableGrid"/>
        <w:tblW w:w="0" w:type="auto"/>
        <w:tblLayout w:type="fixed"/>
        <w:tblLook w:val="04A0" w:firstRow="1" w:lastRow="0" w:firstColumn="1" w:lastColumn="0" w:noHBand="0" w:noVBand="1"/>
      </w:tblPr>
      <w:tblGrid>
        <w:gridCol w:w="5112"/>
        <w:gridCol w:w="5112"/>
      </w:tblGrid>
      <w:tr w:rsidR="009C2D3C" w14:paraId="46100951" w14:textId="77777777" w:rsidTr="004B1B60">
        <w:trPr>
          <w:cantSplit/>
        </w:trPr>
        <w:tc>
          <w:tcPr>
            <w:tcW w:w="5112" w:type="dxa"/>
            <w:shd w:val="clear" w:color="auto" w:fill="F4F7F8"/>
          </w:tcPr>
          <w:p w14:paraId="2E5D882D" w14:textId="77777777" w:rsidR="009C2D3C" w:rsidRDefault="009C2D3C" w:rsidP="004B1B60">
            <w:pPr>
              <w:jc w:val="center"/>
            </w:pPr>
            <w:r>
              <w:rPr>
                <w:b/>
                <w:color w:val="1FAFC4"/>
              </w:rPr>
              <w:lastRenderedPageBreak/>
              <w:t>16</w:t>
            </w:r>
          </w:p>
        </w:tc>
        <w:tc>
          <w:tcPr>
            <w:tcW w:w="5112" w:type="dxa"/>
            <w:shd w:val="clear" w:color="auto" w:fill="F4F7F8"/>
          </w:tcPr>
          <w:p w14:paraId="553DFC97" w14:textId="77777777" w:rsidR="009C2D3C" w:rsidRDefault="009C2D3C" w:rsidP="004B1B60">
            <w:pPr>
              <w:spacing w:after="80"/>
            </w:pPr>
            <w:r>
              <w:rPr>
                <w:b/>
                <w:color w:val="182126"/>
              </w:rPr>
              <w:t>RISK DECISIONS: ACT OR WAIT?</w:t>
            </w:r>
            <w:r>
              <w:br/>
            </w:r>
            <w:r>
              <w:rPr>
                <w:color w:val="263238"/>
                <w:sz w:val="20"/>
              </w:rPr>
              <w:t xml:space="preserve">So, fix now or wait? Sequence first. Level 5, memory protection and SQL injection, leads because either can expose data or change what the program does. Level 4, arithmetic and bounds, follows because those defects turn into crashes, corruption, and bypassed checks. Acting now </w:t>
            </w:r>
            <w:proofErr w:type="gramStart"/>
            <w:r>
              <w:rPr>
                <w:color w:val="263238"/>
                <w:sz w:val="20"/>
              </w:rPr>
              <w:t>costs</w:t>
            </w:r>
            <w:proofErr w:type="gramEnd"/>
            <w:r>
              <w:rPr>
                <w:color w:val="263238"/>
                <w:sz w:val="20"/>
              </w:rPr>
              <w:t xml:space="preserve"> engineering hours, test maintenance, and some refactoring. In return, Green Pace gets a smaller blast radius, faster feedback, audit evidence on demand, and less emergency work at midnight. Waiting protects this quarter's schedule. The trade is accumulated security debt and a larger correction later. Two reminders show this is not theoretical. Log4Shell was a flaw in a widely used logging library that let attackers run their own code on other systems. </w:t>
            </w:r>
            <w:proofErr w:type="spellStart"/>
            <w:r>
              <w:rPr>
                <w:color w:val="263238"/>
                <w:sz w:val="20"/>
              </w:rPr>
              <w:t>MOVEit</w:t>
            </w:r>
            <w:proofErr w:type="spellEnd"/>
            <w:r>
              <w:rPr>
                <w:color w:val="263238"/>
                <w:sz w:val="20"/>
              </w:rPr>
              <w:t xml:space="preserve"> was a SQL injection flaw in a file-transfer product that exposed data at hundreds of organizations. Accepting risk is legitimate. It just </w:t>
            </w:r>
            <w:proofErr w:type="gramStart"/>
            <w:r>
              <w:rPr>
                <w:color w:val="263238"/>
                <w:sz w:val="20"/>
              </w:rPr>
              <w:t>has to</w:t>
            </w:r>
            <w:proofErr w:type="gramEnd"/>
            <w:r>
              <w:rPr>
                <w:color w:val="263238"/>
                <w:sz w:val="20"/>
              </w:rPr>
              <w:t xml:space="preserve"> be written down, owned, time limited, and reviewed. Hope is not an exception process.</w:t>
            </w:r>
          </w:p>
        </w:tc>
      </w:tr>
    </w:tbl>
    <w:p w14:paraId="704247CF" w14:textId="77777777" w:rsidR="009C2D3C" w:rsidRDefault="009C2D3C" w:rsidP="009C2D3C">
      <w:pPr>
        <w:spacing w:after="40"/>
      </w:pPr>
    </w:p>
    <w:tbl>
      <w:tblPr>
        <w:tblStyle w:val="TableGrid"/>
        <w:tblW w:w="0" w:type="auto"/>
        <w:tblLayout w:type="fixed"/>
        <w:tblLook w:val="04A0" w:firstRow="1" w:lastRow="0" w:firstColumn="1" w:lastColumn="0" w:noHBand="0" w:noVBand="1"/>
      </w:tblPr>
      <w:tblGrid>
        <w:gridCol w:w="5112"/>
        <w:gridCol w:w="5112"/>
      </w:tblGrid>
      <w:tr w:rsidR="009C2D3C" w14:paraId="0D58D5F0" w14:textId="77777777" w:rsidTr="004B1B60">
        <w:trPr>
          <w:cantSplit/>
        </w:trPr>
        <w:tc>
          <w:tcPr>
            <w:tcW w:w="5112" w:type="dxa"/>
          </w:tcPr>
          <w:p w14:paraId="39C9B2CE" w14:textId="77777777" w:rsidR="009C2D3C" w:rsidRDefault="009C2D3C" w:rsidP="004B1B60">
            <w:pPr>
              <w:jc w:val="center"/>
            </w:pPr>
            <w:r>
              <w:rPr>
                <w:b/>
                <w:color w:val="78A93E"/>
              </w:rPr>
              <w:t>17</w:t>
            </w:r>
          </w:p>
        </w:tc>
        <w:tc>
          <w:tcPr>
            <w:tcW w:w="5112" w:type="dxa"/>
          </w:tcPr>
          <w:p w14:paraId="09DD642D" w14:textId="77777777" w:rsidR="009C2D3C" w:rsidRDefault="009C2D3C" w:rsidP="004B1B60">
            <w:pPr>
              <w:spacing w:after="80"/>
            </w:pPr>
            <w:r>
              <w:rPr>
                <w:b/>
                <w:color w:val="182126"/>
              </w:rPr>
              <w:t>RECOMMENDATIONS: CLOSE GAPS</w:t>
            </w:r>
            <w:r>
              <w:br/>
            </w:r>
            <w:r>
              <w:rPr>
                <w:color w:val="263238"/>
                <w:sz w:val="20"/>
              </w:rPr>
              <w:t xml:space="preserve">The policy already covers governance, exceptions, audit evidence, encryption, access control, and secure coding standards. Those are strengths. The gaps are operational. The policy says what good looks like. It does not yet say who, how fast, and how we will know. Five recommendations. One: measurable pipeline gates, each with a named owner and a response time for failed checks. Two: a required software bill of materials and a written process for reviewing and patching critical dependencies. Three: secret scanning and a key-rotation procedure. Four: sanitizer and fuzzing targets for high-risk C++ components, plus data classification and retention rules. Five: evidence. Record which tool ran, which version, what it found, who accepted the risk, and when that acceptance expires. Policy tells people where to go. Measurement confirms the convoy </w:t>
            </w:r>
            <w:proofErr w:type="gramStart"/>
            <w:r>
              <w:rPr>
                <w:color w:val="263238"/>
                <w:sz w:val="20"/>
              </w:rPr>
              <w:t>actually moved</w:t>
            </w:r>
            <w:proofErr w:type="gramEnd"/>
            <w:r>
              <w:rPr>
                <w:color w:val="263238"/>
                <w:sz w:val="20"/>
              </w:rPr>
              <w:t>.</w:t>
            </w:r>
          </w:p>
        </w:tc>
      </w:tr>
    </w:tbl>
    <w:p w14:paraId="24140585" w14:textId="77777777" w:rsidR="009C2D3C" w:rsidRDefault="009C2D3C" w:rsidP="009C2D3C">
      <w:pPr>
        <w:spacing w:after="40"/>
      </w:pPr>
    </w:p>
    <w:tbl>
      <w:tblPr>
        <w:tblStyle w:val="TableGrid"/>
        <w:tblW w:w="0" w:type="auto"/>
        <w:tblLayout w:type="fixed"/>
        <w:tblLook w:val="04A0" w:firstRow="1" w:lastRow="0" w:firstColumn="1" w:lastColumn="0" w:noHBand="0" w:noVBand="1"/>
      </w:tblPr>
      <w:tblGrid>
        <w:gridCol w:w="5112"/>
        <w:gridCol w:w="5112"/>
      </w:tblGrid>
      <w:tr w:rsidR="009C2D3C" w14:paraId="3A5A954B" w14:textId="77777777" w:rsidTr="004B1B60">
        <w:trPr>
          <w:cantSplit/>
        </w:trPr>
        <w:tc>
          <w:tcPr>
            <w:tcW w:w="5112" w:type="dxa"/>
            <w:shd w:val="clear" w:color="auto" w:fill="F4F7F8"/>
          </w:tcPr>
          <w:p w14:paraId="2F249509" w14:textId="77777777" w:rsidR="009C2D3C" w:rsidRDefault="009C2D3C" w:rsidP="004B1B60">
            <w:pPr>
              <w:jc w:val="center"/>
            </w:pPr>
            <w:r>
              <w:rPr>
                <w:b/>
                <w:color w:val="1FAFC4"/>
              </w:rPr>
              <w:lastRenderedPageBreak/>
              <w:t>18</w:t>
            </w:r>
          </w:p>
        </w:tc>
        <w:tc>
          <w:tcPr>
            <w:tcW w:w="5112" w:type="dxa"/>
            <w:shd w:val="clear" w:color="auto" w:fill="F4F7F8"/>
          </w:tcPr>
          <w:p w14:paraId="29764C51" w14:textId="77777777" w:rsidR="009C2D3C" w:rsidRDefault="009C2D3C" w:rsidP="004B1B60">
            <w:pPr>
              <w:spacing w:after="80"/>
            </w:pPr>
            <w:r>
              <w:rPr>
                <w:b/>
                <w:color w:val="182126"/>
              </w:rPr>
              <w:t>CONCLUSION: SECURITY BY DEFAULT</w:t>
            </w:r>
            <w:r>
              <w:br/>
            </w:r>
            <w:r>
              <w:rPr>
                <w:color w:val="263238"/>
                <w:sz w:val="20"/>
              </w:rPr>
              <w:t xml:space="preserve">The rollout has three horizons. First thirty days: approve the ten standards, assign owners, enforce compiler warnings, and run the unit suite on every change. That last one already works: fifteen of fifteen. By sixty days: static analysis, dependency scanning, secret scanning, the software bill of materials, and defined security gates. By ninety days: targeted sanitizers, fuzzing, dynamic testing, dashboards, and alerts when an exception is about to expire. Three frameworks anchor the work. The National Institute of Standards and Technology Secure Software Development Framework guides how we operate. CERT C++ supplies the coding baseline. OWASP guides verification and testing. Log4Shell and </w:t>
            </w:r>
            <w:proofErr w:type="spellStart"/>
            <w:r>
              <w:rPr>
                <w:color w:val="263238"/>
                <w:sz w:val="20"/>
              </w:rPr>
              <w:t>MOVEit</w:t>
            </w:r>
            <w:proofErr w:type="spellEnd"/>
            <w:r>
              <w:rPr>
                <w:color w:val="263238"/>
                <w:sz w:val="20"/>
              </w:rPr>
              <w:t xml:space="preserve"> show what happens when one unchecked input path reaches vulnerable code. The end state here is the opposite: secure design, secure code, automated proof, and decisions with a name attached. That is how Green Pace stays ahead of the threat instead of filing paperwork behind it.</w:t>
            </w:r>
          </w:p>
        </w:tc>
      </w:tr>
    </w:tbl>
    <w:p w14:paraId="401E3E3B" w14:textId="77777777" w:rsidR="009C2D3C" w:rsidRDefault="009C2D3C" w:rsidP="009C2D3C">
      <w:pPr>
        <w:spacing w:after="40"/>
      </w:pPr>
    </w:p>
    <w:tbl>
      <w:tblPr>
        <w:tblStyle w:val="TableGrid"/>
        <w:tblW w:w="0" w:type="auto"/>
        <w:tblLayout w:type="fixed"/>
        <w:tblLook w:val="04A0" w:firstRow="1" w:lastRow="0" w:firstColumn="1" w:lastColumn="0" w:noHBand="0" w:noVBand="1"/>
      </w:tblPr>
      <w:tblGrid>
        <w:gridCol w:w="5112"/>
        <w:gridCol w:w="5112"/>
      </w:tblGrid>
      <w:tr w:rsidR="009C2D3C" w14:paraId="032934A9" w14:textId="77777777" w:rsidTr="004B1B60">
        <w:trPr>
          <w:cantSplit/>
        </w:trPr>
        <w:tc>
          <w:tcPr>
            <w:tcW w:w="5112" w:type="dxa"/>
          </w:tcPr>
          <w:p w14:paraId="63462B0F" w14:textId="77777777" w:rsidR="009C2D3C" w:rsidRDefault="009C2D3C" w:rsidP="004B1B60">
            <w:pPr>
              <w:jc w:val="center"/>
            </w:pPr>
            <w:r>
              <w:rPr>
                <w:b/>
                <w:color w:val="78A93E"/>
              </w:rPr>
              <w:t>19</w:t>
            </w:r>
          </w:p>
        </w:tc>
        <w:tc>
          <w:tcPr>
            <w:tcW w:w="5112" w:type="dxa"/>
          </w:tcPr>
          <w:p w14:paraId="15EEBF2F" w14:textId="77777777" w:rsidR="009C2D3C" w:rsidRDefault="009C2D3C" w:rsidP="004B1B60">
            <w:pPr>
              <w:spacing w:after="80"/>
            </w:pPr>
            <w:r>
              <w:rPr>
                <w:b/>
                <w:color w:val="182126"/>
              </w:rPr>
              <w:t>REFERENCES</w:t>
            </w:r>
            <w:r>
              <w:br/>
            </w:r>
            <w:r>
              <w:rPr>
                <w:color w:val="263238"/>
                <w:sz w:val="20"/>
              </w:rPr>
              <w:t xml:space="preserve">These references support the coding standards, testing methods, encryption requirements, two case examples, and licensed images in this deck. The transcript carries the same list, so every claim can be </w:t>
            </w:r>
            <w:proofErr w:type="gramStart"/>
            <w:r>
              <w:rPr>
                <w:color w:val="263238"/>
                <w:sz w:val="20"/>
              </w:rPr>
              <w:t>checked</w:t>
            </w:r>
            <w:proofErr w:type="gramEnd"/>
            <w:r>
              <w:rPr>
                <w:color w:val="263238"/>
                <w:sz w:val="20"/>
              </w:rPr>
              <w:t xml:space="preserve"> and screen-reader users get the sources too. Thank you for your time.</w:t>
            </w:r>
          </w:p>
        </w:tc>
      </w:tr>
    </w:tbl>
    <w:p w14:paraId="5ED5EEEA" w14:textId="77777777" w:rsidR="009C2D3C" w:rsidRDefault="009C2D3C" w:rsidP="009C2D3C">
      <w:pPr>
        <w:spacing w:after="40"/>
      </w:pPr>
    </w:p>
    <w:p w14:paraId="503B77B4" w14:textId="4FB7DDF9" w:rsidR="009C2D3C" w:rsidRDefault="009C2D3C" w:rsidP="009C2D3C">
      <w:pPr>
        <w:pStyle w:val="Heading1"/>
      </w:pPr>
      <w:r>
        <w:t>Reference List</w:t>
      </w:r>
    </w:p>
    <w:p w14:paraId="146C0611" w14:textId="77777777" w:rsidR="009C2D3C" w:rsidRDefault="009C2D3C" w:rsidP="009C2D3C">
      <w:pPr>
        <w:ind w:left="360" w:hanging="360"/>
      </w:pPr>
      <w:r>
        <w:t>Cybersecurity and Infrastructure Security Agency. (2021). Apache Log4j vulnerability guidance. https://www.cisa.gov/news-events/cybersecurity-advisories/aa21-356a</w:t>
      </w:r>
    </w:p>
    <w:p w14:paraId="0F316D35" w14:textId="77777777" w:rsidR="009C2D3C" w:rsidRDefault="009C2D3C" w:rsidP="009C2D3C">
      <w:pPr>
        <w:ind w:left="360" w:hanging="360"/>
      </w:pPr>
      <w:r>
        <w:t xml:space="preserve">Cybersecurity and Infrastructure Security Agency. (2023). CL0P ransomware gang exploits </w:t>
      </w:r>
      <w:proofErr w:type="spellStart"/>
      <w:r>
        <w:t>MOVEit</w:t>
      </w:r>
      <w:proofErr w:type="spellEnd"/>
      <w:r>
        <w:t xml:space="preserve"> transfer vulnerability. https://www.cisa.gov/news-events/cybersecurity-advisories/aa23-158a</w:t>
      </w:r>
    </w:p>
    <w:p w14:paraId="7637321D" w14:textId="77777777" w:rsidR="009C2D3C" w:rsidRDefault="009C2D3C" w:rsidP="009C2D3C">
      <w:pPr>
        <w:ind w:left="360" w:hanging="360"/>
      </w:pPr>
      <w:r>
        <w:t>Cybersecurity and Infrastructure Security Agency. (2023). The case for memory safe roadmaps. https://www.cisa.gov/resources-tools/resources/case-memory-safe-roadmaps</w:t>
      </w:r>
    </w:p>
    <w:p w14:paraId="3E8A74A7" w14:textId="77777777" w:rsidR="009C2D3C" w:rsidRDefault="009C2D3C" w:rsidP="009C2D3C">
      <w:pPr>
        <w:ind w:left="360" w:hanging="360"/>
      </w:pPr>
      <w:r>
        <w:t xml:space="preserve">Google. (n.d.). </w:t>
      </w:r>
      <w:proofErr w:type="spellStart"/>
      <w:r>
        <w:t>GoogleTest</w:t>
      </w:r>
      <w:proofErr w:type="spellEnd"/>
      <w:r>
        <w:t xml:space="preserve"> primer. https://google.github.io/googletest/primer.html</w:t>
      </w:r>
    </w:p>
    <w:p w14:paraId="60A9F6B8" w14:textId="77777777" w:rsidR="009C2D3C" w:rsidRDefault="009C2D3C" w:rsidP="009C2D3C">
      <w:pPr>
        <w:ind w:left="360" w:hanging="360"/>
      </w:pPr>
      <w:r>
        <w:t xml:space="preserve">Internet Engineering Task Force. (2018). RFC 8446: The Transport Layer Security </w:t>
      </w:r>
      <w:proofErr w:type="gramStart"/>
      <w:r>
        <w:t>protocol</w:t>
      </w:r>
      <w:proofErr w:type="gramEnd"/>
      <w:r>
        <w:t xml:space="preserve"> version 1.3. https://datatracker.ietf.org/doc/html/rfc8446</w:t>
      </w:r>
    </w:p>
    <w:p w14:paraId="736AD8B1" w14:textId="77777777" w:rsidR="009C2D3C" w:rsidRDefault="009C2D3C" w:rsidP="009C2D3C">
      <w:pPr>
        <w:ind w:left="360" w:hanging="360"/>
      </w:pPr>
      <w:r>
        <w:t>National Institute of Standards and Technology. (2019). SP 800-52 Rev. 2: Guidelines for TLS implementations. https://csrc.nist.gov/pubs/sp/800/52/r2/final</w:t>
      </w:r>
    </w:p>
    <w:p w14:paraId="6507F50F" w14:textId="77777777" w:rsidR="009C2D3C" w:rsidRDefault="009C2D3C" w:rsidP="009C2D3C">
      <w:pPr>
        <w:ind w:left="360" w:hanging="360"/>
      </w:pPr>
      <w:r>
        <w:t>National Institute of Standards and Technology. (2020). SP 800-57 Part 1 Rev. 5: Recommendation for key management. https://csrc.nist.gov/pubs/sp/800/57/pt1/r5/final</w:t>
      </w:r>
    </w:p>
    <w:p w14:paraId="7D513CE7" w14:textId="77777777" w:rsidR="009C2D3C" w:rsidRDefault="009C2D3C" w:rsidP="009C2D3C">
      <w:pPr>
        <w:ind w:left="360" w:hanging="360"/>
      </w:pPr>
      <w:r>
        <w:lastRenderedPageBreak/>
        <w:t>National Institute of Standards and Technology. (2022). SP 800-218: Secure Software Development Framework. https://csrc.nist.gov/pubs/sp/800/218/final</w:t>
      </w:r>
    </w:p>
    <w:p w14:paraId="309A5ECF" w14:textId="77777777" w:rsidR="009C2D3C" w:rsidRDefault="009C2D3C" w:rsidP="009C2D3C">
      <w:pPr>
        <w:ind w:left="360" w:hanging="360"/>
      </w:pPr>
      <w:r>
        <w:t>National Institute of Standards and Technology. (2024). Cybersecurity Framework 2.0. https://www.nist.gov/cyberframework</w:t>
      </w:r>
    </w:p>
    <w:p w14:paraId="2D33EC77" w14:textId="77777777" w:rsidR="009C2D3C" w:rsidRDefault="009C2D3C" w:rsidP="009C2D3C">
      <w:pPr>
        <w:ind w:left="360" w:hanging="360"/>
      </w:pPr>
      <w:r>
        <w:t>OWASP Foundation. (2021). OWASP Top 10. https://owasp.org/www-project-top-ten/</w:t>
      </w:r>
    </w:p>
    <w:p w14:paraId="3C034CB9" w14:textId="77777777" w:rsidR="009C2D3C" w:rsidRDefault="009C2D3C" w:rsidP="009C2D3C">
      <w:pPr>
        <w:ind w:left="360" w:hanging="360"/>
      </w:pPr>
      <w:r>
        <w:t>OWASP Foundation. (n.d.). Application Security Verification Standard. https://owasp.org/www-project-application-security-verification-standard/</w:t>
      </w:r>
    </w:p>
    <w:p w14:paraId="65A33796" w14:textId="77777777" w:rsidR="009C2D3C" w:rsidRDefault="009C2D3C" w:rsidP="009C2D3C">
      <w:pPr>
        <w:ind w:left="360" w:hanging="360"/>
      </w:pPr>
      <w:r>
        <w:t>Software Engineering Institute. (n.d.). SEI CERT C++ coding standard. https://wiki.sei.cmu.edu/confluence/display/cplusplus/SEI+CERT+C%2B%2B+Coding+Standard</w:t>
      </w:r>
    </w:p>
    <w:p w14:paraId="4198624A" w14:textId="77777777" w:rsidR="009C2D3C" w:rsidRDefault="009C2D3C" w:rsidP="009C2D3C">
      <w:pPr>
        <w:ind w:left="360" w:hanging="360"/>
      </w:pPr>
      <w:proofErr w:type="spellStart"/>
      <w:r>
        <w:t>Fleshgrinder</w:t>
      </w:r>
      <w:proofErr w:type="spellEnd"/>
      <w:r>
        <w:t>. (2016). Full TLS 1.3 handshake [Diagram]. Wikimedia Commons. Public domain. https://commons.wikimedia.org/wiki/File:Full_TLS_1.3_Handshake.svg</w:t>
      </w:r>
    </w:p>
    <w:p w14:paraId="0DFF80D6" w14:textId="77777777" w:rsidR="009C2D3C" w:rsidRDefault="009C2D3C" w:rsidP="009C2D3C">
      <w:pPr>
        <w:ind w:left="360" w:hanging="360"/>
      </w:pPr>
      <w:proofErr w:type="spellStart"/>
      <w:r>
        <w:t>Aldolat</w:t>
      </w:r>
      <w:proofErr w:type="spellEnd"/>
      <w:r>
        <w:t>. (2015). YubiKey 4 [Photograph]. Wikimedia Commons. CC BY-SA 4.0. https://commons.wikimedia.org/wiki/File:Yubikey4.jpg</w:t>
      </w:r>
    </w:p>
    <w:p w14:paraId="2E9A2232" w14:textId="77777777" w:rsidR="00177915" w:rsidRPr="009C2D3C" w:rsidRDefault="00177915" w:rsidP="009C2D3C"/>
    <w:sectPr w:rsidR="00177915" w:rsidRPr="009C2D3C">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F5FF8" w14:textId="77777777" w:rsidR="00B271D3" w:rsidRDefault="00B271D3" w:rsidP="007D553D">
      <w:pPr>
        <w:spacing w:after="0" w:line="240" w:lineRule="auto"/>
      </w:pPr>
      <w:r>
        <w:separator/>
      </w:r>
    </w:p>
  </w:endnote>
  <w:endnote w:type="continuationSeparator" w:id="0">
    <w:p w14:paraId="769FC364" w14:textId="77777777" w:rsidR="00B271D3" w:rsidRDefault="00B271D3"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33DF5" w14:textId="77777777" w:rsidR="00B271D3" w:rsidRDefault="00B271D3" w:rsidP="007D553D">
      <w:pPr>
        <w:spacing w:after="0" w:line="240" w:lineRule="auto"/>
      </w:pPr>
      <w:r>
        <w:separator/>
      </w:r>
    </w:p>
  </w:footnote>
  <w:footnote w:type="continuationSeparator" w:id="0">
    <w:p w14:paraId="61A957E0" w14:textId="77777777" w:rsidR="00B271D3" w:rsidRDefault="00B271D3"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32543C"/>
    <w:rsid w:val="003463DD"/>
    <w:rsid w:val="006224BE"/>
    <w:rsid w:val="007D553D"/>
    <w:rsid w:val="009C2D3C"/>
    <w:rsid w:val="00B271D3"/>
    <w:rsid w:val="00BA25B9"/>
    <w:rsid w:val="00E21EE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5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youtu.be/8oMDYZSEDjM"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2553</Words>
  <Characters>14557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Bradley Saucier</cp:lastModifiedBy>
  <cp:revision>2</cp:revision>
  <dcterms:created xsi:type="dcterms:W3CDTF">2026-08-16T16:22:00Z</dcterms:created>
  <dcterms:modified xsi:type="dcterms:W3CDTF">2026-08-16T16:22:00Z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