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color w:val="C8102E"/>
          <w:sz w:val="36"/>
          <w:szCs w:val="36"/>
        </w:rPr>
        <w:t xml:space="preserve">ACCT/MIS 4420 &amp; 5420: Weekly Due Dates</w:t>
      </w:r>
    </w:p>
    <w:p>
      <w:pPr>
        <w:spacing w:after="100"/>
      </w:pPr>
      <w:r>
        <w:rPr>
          <w:i/>
          <w:iCs/>
          <w:sz w:val="21"/>
          <w:szCs w:val="21"/>
        </w:rPr>
        <w:t xml:space="preserve">Generative AI in Business Decision-Making · Spring 2027 · Course dates: Tuesday, January 19 to Friday, April 16, 2027</w:t>
      </w:r>
    </w:p>
    <w:p>
      <w:pPr>
        <w:spacing w:after="140"/>
      </w:pPr>
      <w:r>
        <w:rPr>
          <w:sz w:val="21"/>
          <w:szCs w:val="21"/>
        </w:rPr>
        <w:t xml:space="preserve">Every due date is 11:59 pm on the Sunday after that week’s work. Graduate students (5420) submit the same documents with the additional graduate items described in each module. Each module’s Word document is built by the course website and uploaded in Canvas; each quiz is taken in Canvas.</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750"/>
        <w:gridCol w:w="1300"/>
        <w:gridCol w:w="2300"/>
        <w:gridCol w:w="4500"/>
        <w:gridCol w:w="3150"/>
        <w:gridCol w:w="2000"/>
      </w:tblGrid>
      <w:tr>
        <w:trPr>
          <w:tblHeader/>
        </w:trPr>
        <w:tc>
          <w:tcPr>
            <w:tcW w:type="dxa" w:w="750"/>
            <w:tcBorders>
              <w:top w:val="single" w:color="999999" w:sz="4"/>
              <w:left w:val="single" w:color="999999" w:sz="4"/>
              <w:bottom w:val="single" w:color="999999" w:sz="4"/>
              <w:right w:val="single" w:color="999999" w:sz="4"/>
            </w:tcBorders>
            <w:shd w:fill="C8102E" w:color="auto" w:val="clear"/>
            <w:tcMar>
              <w:top w:type="dxa" w:w="45"/>
              <w:left w:type="dxa" w:w="100"/>
              <w:bottom w:type="dxa" w:w="45"/>
              <w:right w:type="dxa" w:w="100"/>
            </w:tcMar>
          </w:tcPr>
          <w:p>
            <w:r>
              <w:rPr>
                <w:b/>
                <w:bCs/>
                <w:color w:val="FFFFFF"/>
                <w:sz w:val="19"/>
                <w:szCs w:val="19"/>
              </w:rPr>
              <w:t xml:space="preserve">Week</w:t>
            </w:r>
          </w:p>
        </w:tc>
        <w:tc>
          <w:tcPr>
            <w:tcW w:type="dxa" w:w="1300"/>
            <w:tcBorders>
              <w:top w:val="single" w:color="999999" w:sz="4"/>
              <w:left w:val="single" w:color="999999" w:sz="4"/>
              <w:bottom w:val="single" w:color="999999" w:sz="4"/>
              <w:right w:val="single" w:color="999999" w:sz="4"/>
            </w:tcBorders>
            <w:shd w:fill="C8102E" w:color="auto" w:val="clear"/>
            <w:tcMar>
              <w:top w:type="dxa" w:w="45"/>
              <w:left w:type="dxa" w:w="100"/>
              <w:bottom w:type="dxa" w:w="45"/>
              <w:right w:type="dxa" w:w="100"/>
            </w:tcMar>
          </w:tcPr>
          <w:p>
            <w:r>
              <w:rPr>
                <w:b/>
                <w:bCs/>
                <w:color w:val="FFFFFF"/>
                <w:sz w:val="19"/>
                <w:szCs w:val="19"/>
              </w:rPr>
              <w:t xml:space="preserve">Work week</w:t>
            </w:r>
          </w:p>
        </w:tc>
        <w:tc>
          <w:tcPr>
            <w:tcW w:type="dxa" w:w="2300"/>
            <w:tcBorders>
              <w:top w:val="single" w:color="999999" w:sz="4"/>
              <w:left w:val="single" w:color="999999" w:sz="4"/>
              <w:bottom w:val="single" w:color="999999" w:sz="4"/>
              <w:right w:val="single" w:color="999999" w:sz="4"/>
            </w:tcBorders>
            <w:shd w:fill="C8102E" w:color="auto" w:val="clear"/>
            <w:tcMar>
              <w:top w:type="dxa" w:w="45"/>
              <w:left w:type="dxa" w:w="100"/>
              <w:bottom w:type="dxa" w:w="45"/>
              <w:right w:type="dxa" w:w="100"/>
            </w:tcMar>
          </w:tcPr>
          <w:p>
            <w:r>
              <w:rPr>
                <w:b/>
                <w:bCs/>
                <w:color w:val="FFFFFF"/>
                <w:sz w:val="19"/>
                <w:szCs w:val="19"/>
              </w:rPr>
              <w:t xml:space="preserve">Module</w:t>
            </w:r>
          </w:p>
        </w:tc>
        <w:tc>
          <w:tcPr>
            <w:tcW w:type="dxa" w:w="4500"/>
            <w:tcBorders>
              <w:top w:val="single" w:color="999999" w:sz="4"/>
              <w:left w:val="single" w:color="999999" w:sz="4"/>
              <w:bottom w:val="single" w:color="999999" w:sz="4"/>
              <w:right w:val="single" w:color="999999" w:sz="4"/>
            </w:tcBorders>
            <w:shd w:fill="C8102E" w:color="auto" w:val="clear"/>
            <w:tcMar>
              <w:top w:type="dxa" w:w="45"/>
              <w:left w:type="dxa" w:w="100"/>
              <w:bottom w:type="dxa" w:w="45"/>
              <w:right w:type="dxa" w:w="100"/>
            </w:tcMar>
          </w:tcPr>
          <w:p>
            <w:r>
              <w:rPr>
                <w:b/>
                <w:bCs/>
                <w:color w:val="FFFFFF"/>
                <w:sz w:val="19"/>
                <w:szCs w:val="19"/>
              </w:rPr>
              <w:t xml:space="preserve">Assignment</w:t>
            </w:r>
          </w:p>
        </w:tc>
        <w:tc>
          <w:tcPr>
            <w:tcW w:type="dxa" w:w="3150"/>
            <w:tcBorders>
              <w:top w:val="single" w:color="999999" w:sz="4"/>
              <w:left w:val="single" w:color="999999" w:sz="4"/>
              <w:bottom w:val="single" w:color="999999" w:sz="4"/>
              <w:right w:val="single" w:color="999999" w:sz="4"/>
            </w:tcBorders>
            <w:shd w:fill="C8102E" w:color="auto" w:val="clear"/>
            <w:tcMar>
              <w:top w:type="dxa" w:w="45"/>
              <w:left w:type="dxa" w:w="100"/>
              <w:bottom w:type="dxa" w:w="45"/>
              <w:right w:type="dxa" w:w="100"/>
            </w:tcMar>
          </w:tcPr>
          <w:p>
            <w:r>
              <w:rPr>
                <w:b/>
                <w:bCs/>
                <w:color w:val="FFFFFF"/>
                <w:sz w:val="19"/>
                <w:szCs w:val="19"/>
              </w:rPr>
              <w:t xml:space="preserve">What is due</w:t>
            </w:r>
          </w:p>
        </w:tc>
        <w:tc>
          <w:tcPr>
            <w:tcW w:type="dxa" w:w="2000"/>
            <w:tcBorders>
              <w:top w:val="single" w:color="999999" w:sz="4"/>
              <w:left w:val="single" w:color="999999" w:sz="4"/>
              <w:bottom w:val="single" w:color="999999" w:sz="4"/>
              <w:right w:val="single" w:color="999999" w:sz="4"/>
            </w:tcBorders>
            <w:shd w:fill="C8102E" w:color="auto" w:val="clear"/>
            <w:tcMar>
              <w:top w:type="dxa" w:w="45"/>
              <w:left w:type="dxa" w:w="100"/>
              <w:bottom w:type="dxa" w:w="45"/>
              <w:right w:type="dxa" w:w="100"/>
            </w:tcMar>
          </w:tcPr>
          <w:p>
            <w:r>
              <w:rPr>
                <w:b/>
                <w:bCs/>
                <w:color w:val="FFFFFF"/>
                <w:sz w:val="19"/>
                <w:szCs w:val="19"/>
              </w:rPr>
              <w:t xml:space="preserve">Due date (11:59 pm)</w:t>
            </w:r>
          </w:p>
        </w:tc>
      </w:tr>
      <w:tr>
        <w:trPr>
          <w:cantSplit/>
        </w:trPr>
        <w:tc>
          <w:tcPr>
            <w:tcW w:type="dxa" w:w="75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1</w:t>
            </w:r>
          </w:p>
        </w:tc>
        <w:tc>
          <w:tcPr>
            <w:tcW w:type="dxa" w:w="13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sz w:val="19"/>
                <w:szCs w:val="19"/>
              </w:rPr>
              <w:t xml:space="preserve">Jan 19–22</w:t>
            </w:r>
          </w:p>
        </w:tc>
        <w:tc>
          <w:tcPr>
            <w:tcW w:type="dxa" w:w="23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Module 1: AI as a Capability</w:t>
            </w:r>
          </w:p>
        </w:tc>
        <w:tc>
          <w:tcPr>
            <w:tcW w:type="dxa" w:w="45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sz w:val="19"/>
                <w:szCs w:val="19"/>
              </w:rPr>
              <w:t xml:space="preserve">Word document: “What Can AI Do for Velox?” (task sorting, two AI tests, memo to the CFO)</w:t>
            </w:r>
          </w:p>
        </w:tc>
        <w:tc>
          <w:tcPr>
            <w:tcW w:type="dxa" w:w="315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Word document + quiz</w:t>
            </w:r>
          </w:p>
        </w:tc>
        <w:tc>
          <w:tcPr>
            <w:tcW w:type="dxa" w:w="20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Sun, Jan 24</w:t>
            </w:r>
          </w:p>
        </w:tc>
      </w:tr>
      <w:tr>
        <w:trPr>
          <w:cantSplit/>
        </w:trPr>
        <w:tc>
          <w:tcPr>
            <w:tcW w:type="dxa" w:w="75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2</w:t>
            </w:r>
          </w:p>
        </w:tc>
        <w:tc>
          <w:tcPr>
            <w:tcW w:type="dxa" w:w="13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sz w:val="19"/>
                <w:szCs w:val="19"/>
              </w:rPr>
              <w:t xml:space="preserve">Jan 25–29</w:t>
            </w:r>
          </w:p>
        </w:tc>
        <w:tc>
          <w:tcPr>
            <w:tcW w:type="dxa" w:w="23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Module 2: Communicating with AI in Context</w:t>
            </w:r>
          </w:p>
        </w:tc>
        <w:tc>
          <w:tcPr>
            <w:tcW w:type="dxa" w:w="45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sz w:val="19"/>
                <w:szCs w:val="19"/>
              </w:rPr>
              <w:t xml:space="preserve">Word document: “The Prompt Playbook” (before-and-after comparison and a reusable prompt template)</w:t>
            </w:r>
          </w:p>
        </w:tc>
        <w:tc>
          <w:tcPr>
            <w:tcW w:type="dxa" w:w="315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Word document + quiz</w:t>
            </w:r>
          </w:p>
        </w:tc>
        <w:tc>
          <w:tcPr>
            <w:tcW w:type="dxa" w:w="20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Sun, Jan 31</w:t>
            </w:r>
          </w:p>
        </w:tc>
      </w:tr>
      <w:tr>
        <w:trPr>
          <w:cantSplit/>
        </w:trPr>
        <w:tc>
          <w:tcPr>
            <w:tcW w:type="dxa" w:w="75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3</w:t>
            </w:r>
          </w:p>
        </w:tc>
        <w:tc>
          <w:tcPr>
            <w:tcW w:type="dxa" w:w="13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sz w:val="19"/>
                <w:szCs w:val="19"/>
              </w:rPr>
              <w:t xml:space="preserve">Feb 1–5</w:t>
            </w:r>
          </w:p>
        </w:tc>
        <w:tc>
          <w:tcPr>
            <w:tcW w:type="dxa" w:w="23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Module 3: Thinking Through Work with AI</w:t>
            </w:r>
          </w:p>
        </w:tc>
        <w:tc>
          <w:tcPr>
            <w:tcW w:type="dxa" w:w="45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sz w:val="19"/>
                <w:szCs w:val="19"/>
              </w:rPr>
              <w:t xml:space="preserve">Word document: “The Cash Reconciliation Detective”</w:t>
            </w:r>
          </w:p>
        </w:tc>
        <w:tc>
          <w:tcPr>
            <w:tcW w:type="dxa" w:w="315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Word document + quiz</w:t>
            </w:r>
          </w:p>
        </w:tc>
        <w:tc>
          <w:tcPr>
            <w:tcW w:type="dxa" w:w="20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Sun, Feb 7</w:t>
            </w:r>
          </w:p>
        </w:tc>
      </w:tr>
      <w:tr>
        <w:trPr>
          <w:cantSplit/>
        </w:trPr>
        <w:tc>
          <w:tcPr>
            <w:tcW w:type="dxa" w:w="75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4</w:t>
            </w:r>
          </w:p>
        </w:tc>
        <w:tc>
          <w:tcPr>
            <w:tcW w:type="dxa" w:w="13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sz w:val="19"/>
                <w:szCs w:val="19"/>
              </w:rPr>
              <w:t xml:space="preserve">Feb 8–12</w:t>
            </w:r>
          </w:p>
        </w:tc>
        <w:tc>
          <w:tcPr>
            <w:tcW w:type="dxa" w:w="23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Module 4: AI in Financial Accounting</w:t>
            </w:r>
          </w:p>
        </w:tc>
        <w:tc>
          <w:tcPr>
            <w:tcW w:type="dxa" w:w="45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sz w:val="19"/>
                <w:szCs w:val="19"/>
              </w:rPr>
              <w:t xml:space="preserve">Word document: “Explain the Quarter” (one-page explanation and two verified findings)</w:t>
            </w:r>
          </w:p>
        </w:tc>
        <w:tc>
          <w:tcPr>
            <w:tcW w:type="dxa" w:w="315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Word document + quiz</w:t>
            </w:r>
          </w:p>
        </w:tc>
        <w:tc>
          <w:tcPr>
            <w:tcW w:type="dxa" w:w="20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Sun, Feb 14</w:t>
            </w:r>
          </w:p>
        </w:tc>
      </w:tr>
      <w:tr>
        <w:trPr>
          <w:cantSplit/>
        </w:trPr>
        <w:tc>
          <w:tcPr>
            <w:tcW w:type="dxa" w:w="75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5</w:t>
            </w:r>
          </w:p>
        </w:tc>
        <w:tc>
          <w:tcPr>
            <w:tcW w:type="dxa" w:w="13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sz w:val="19"/>
                <w:szCs w:val="19"/>
              </w:rPr>
              <w:t xml:space="preserve">Feb 15–19</w:t>
            </w:r>
          </w:p>
        </w:tc>
        <w:tc>
          <w:tcPr>
            <w:tcW w:type="dxa" w:w="23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Module 5: AI in Management Accounting</w:t>
            </w:r>
          </w:p>
        </w:tc>
        <w:tc>
          <w:tcPr>
            <w:tcW w:type="dxa" w:w="45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sz w:val="19"/>
                <w:szCs w:val="19"/>
              </w:rPr>
              <w:t xml:space="preserve">Word document: “Making the Call” (analysis template, scenarios, one-page recommendation)</w:t>
            </w:r>
          </w:p>
        </w:tc>
        <w:tc>
          <w:tcPr>
            <w:tcW w:type="dxa" w:w="315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Word document + quiz</w:t>
            </w:r>
          </w:p>
        </w:tc>
        <w:tc>
          <w:tcPr>
            <w:tcW w:type="dxa" w:w="20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Sun, Feb 21</w:t>
            </w:r>
          </w:p>
        </w:tc>
      </w:tr>
      <w:tr>
        <w:trPr>
          <w:cantSplit/>
        </w:trPr>
        <w:tc>
          <w:tcPr>
            <w:tcW w:type="dxa" w:w="75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6</w:t>
            </w:r>
          </w:p>
        </w:tc>
        <w:tc>
          <w:tcPr>
            <w:tcW w:type="dxa" w:w="13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sz w:val="19"/>
                <w:szCs w:val="19"/>
              </w:rPr>
              <w:t xml:space="preserve">Feb 22–26</w:t>
            </w:r>
          </w:p>
        </w:tc>
        <w:tc>
          <w:tcPr>
            <w:tcW w:type="dxa" w:w="23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Module 6: AI in Auditing</w:t>
            </w:r>
          </w:p>
        </w:tc>
        <w:tc>
          <w:tcPr>
            <w:tcW w:type="dxa" w:w="45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sz w:val="19"/>
                <w:szCs w:val="19"/>
              </w:rPr>
              <w:t xml:space="preserve">Word document: “Follow the Money”</w:t>
            </w:r>
          </w:p>
        </w:tc>
        <w:tc>
          <w:tcPr>
            <w:tcW w:type="dxa" w:w="315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Word document + quiz</w:t>
            </w:r>
          </w:p>
        </w:tc>
        <w:tc>
          <w:tcPr>
            <w:tcW w:type="dxa" w:w="20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Sun, Feb 28</w:t>
            </w:r>
          </w:p>
        </w:tc>
      </w:tr>
      <w:tr>
        <w:trPr>
          <w:cantSplit/>
        </w:trPr>
        <w:tc>
          <w:tcPr>
            <w:tcW w:type="dxa" w:w="75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7</w:t>
            </w:r>
          </w:p>
        </w:tc>
        <w:tc>
          <w:tcPr>
            <w:tcW w:type="dxa" w:w="13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sz w:val="19"/>
                <w:szCs w:val="19"/>
              </w:rPr>
              <w:t xml:space="preserve">Mar 1–5</w:t>
            </w:r>
          </w:p>
        </w:tc>
        <w:tc>
          <w:tcPr>
            <w:tcW w:type="dxa" w:w="23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Module 7: AI in Taxation</w:t>
            </w:r>
          </w:p>
        </w:tc>
        <w:tc>
          <w:tcPr>
            <w:tcW w:type="dxa" w:w="45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sz w:val="19"/>
                <w:szCs w:val="19"/>
              </w:rPr>
              <w:t xml:space="preserve">Word document: “Show Me the Source” (source-checked memo)</w:t>
            </w:r>
          </w:p>
        </w:tc>
        <w:tc>
          <w:tcPr>
            <w:tcW w:type="dxa" w:w="315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Word document + quiz</w:t>
            </w:r>
          </w:p>
        </w:tc>
        <w:tc>
          <w:tcPr>
            <w:tcW w:type="dxa" w:w="20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Sun, Mar 7</w:t>
            </w:r>
          </w:p>
        </w:tc>
      </w:tr>
      <w:tr>
        <w:trPr>
          <w:cantSplit/>
        </w:trPr>
        <w:tc>
          <w:tcPr>
            <w:tcW w:type="dxa" w:w="75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8</w:t>
            </w:r>
          </w:p>
        </w:tc>
        <w:tc>
          <w:tcPr>
            <w:tcW w:type="dxa" w:w="13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sz w:val="19"/>
                <w:szCs w:val="19"/>
              </w:rPr>
              <w:t xml:space="preserve">Mar 8–12</w:t>
            </w:r>
          </w:p>
        </w:tc>
        <w:tc>
          <w:tcPr>
            <w:tcW w:type="dxa" w:w="23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Module 8: From Pieces to Workflows</w:t>
            </w:r>
          </w:p>
        </w:tc>
        <w:tc>
          <w:tcPr>
            <w:tcW w:type="dxa" w:w="45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sz w:val="19"/>
                <w:szCs w:val="19"/>
              </w:rPr>
              <w:t xml:space="preserve">Word document: “The Month-End Machine” (workflow, test results, and the short final-project idea note)</w:t>
            </w:r>
          </w:p>
        </w:tc>
        <w:tc>
          <w:tcPr>
            <w:tcW w:type="dxa" w:w="315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Word document (with the idea note) + quiz</w:t>
            </w:r>
          </w:p>
        </w:tc>
        <w:tc>
          <w:tcPr>
            <w:tcW w:type="dxa" w:w="20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Sun, Mar 14</w:t>
            </w:r>
          </w:p>
        </w:tc>
      </w:tr>
      <w:tr>
        <w:trPr>
          <w:cantSplit/>
        </w:trPr>
        <w:tc>
          <w:tcPr>
            <w:tcW w:type="dxa" w:w="750"/>
            <w:tcBorders>
              <w:top w:val="single" w:color="999999" w:sz="4"/>
              <w:left w:val="single" w:color="999999" w:sz="4"/>
              <w:bottom w:val="single" w:color="999999" w:sz="4"/>
              <w:right w:val="single" w:color="999999" w:sz="4"/>
            </w:tcBorders>
            <w:shd w:fill="F1BE48" w:color="auto" w:val="clear"/>
            <w:tcMar>
              <w:top w:type="dxa" w:w="45"/>
              <w:left w:type="dxa" w:w="100"/>
              <w:bottom w:type="dxa" w:w="45"/>
              <w:right w:type="dxa" w:w="100"/>
            </w:tcMar>
          </w:tcPr>
          <w:p>
            <w:r>
              <w:rPr>
                <w:b/>
                <w:bCs/>
                <w:sz w:val="19"/>
                <w:szCs w:val="19"/>
              </w:rPr>
              <w:t xml:space="preserve">—</w:t>
            </w:r>
          </w:p>
        </w:tc>
        <w:tc>
          <w:tcPr>
            <w:tcW w:type="dxa" w:w="1300"/>
            <w:tcBorders>
              <w:top w:val="single" w:color="999999" w:sz="4"/>
              <w:left w:val="single" w:color="999999" w:sz="4"/>
              <w:bottom w:val="single" w:color="999999" w:sz="4"/>
              <w:right w:val="single" w:color="999999" w:sz="4"/>
            </w:tcBorders>
            <w:shd w:fill="F1BE48" w:color="auto" w:val="clear"/>
            <w:tcMar>
              <w:top w:type="dxa" w:w="45"/>
              <w:left w:type="dxa" w:w="100"/>
              <w:bottom w:type="dxa" w:w="45"/>
              <w:right w:type="dxa" w:w="100"/>
            </w:tcMar>
          </w:tcPr>
          <w:p>
            <w:r>
              <w:rPr>
                <w:sz w:val="19"/>
                <w:szCs w:val="19"/>
              </w:rPr>
              <w:t xml:space="preserve">Mar 15–19</w:t>
            </w:r>
          </w:p>
        </w:tc>
        <w:tc>
          <w:tcPr>
            <w:tcW w:type="dxa" w:w="2300"/>
            <w:tcBorders>
              <w:top w:val="single" w:color="999999" w:sz="4"/>
              <w:left w:val="single" w:color="999999" w:sz="4"/>
              <w:bottom w:val="single" w:color="999999" w:sz="4"/>
              <w:right w:val="single" w:color="999999" w:sz="4"/>
            </w:tcBorders>
            <w:shd w:fill="F1BE48" w:color="auto" w:val="clear"/>
            <w:tcMar>
              <w:top w:type="dxa" w:w="45"/>
              <w:left w:type="dxa" w:w="100"/>
              <w:bottom w:type="dxa" w:w="45"/>
              <w:right w:type="dxa" w:w="100"/>
            </w:tcMar>
          </w:tcPr>
          <w:p>
            <w:r>
              <w:rPr>
                <w:b/>
                <w:bCs/>
                <w:sz w:val="19"/>
                <w:szCs w:val="19"/>
              </w:rPr>
              <w:t xml:space="preserve">SPRING BREAK</w:t>
            </w:r>
          </w:p>
        </w:tc>
        <w:tc>
          <w:tcPr>
            <w:tcW w:type="dxa" w:w="4500"/>
            <w:tcBorders>
              <w:top w:val="single" w:color="999999" w:sz="4"/>
              <w:left w:val="single" w:color="999999" w:sz="4"/>
              <w:bottom w:val="single" w:color="999999" w:sz="4"/>
              <w:right w:val="single" w:color="999999" w:sz="4"/>
            </w:tcBorders>
            <w:shd w:fill="F1BE48" w:color="auto" w:val="clear"/>
            <w:tcMar>
              <w:top w:type="dxa" w:w="45"/>
              <w:left w:type="dxa" w:w="100"/>
              <w:bottom w:type="dxa" w:w="45"/>
              <w:right w:type="dxa" w:w="100"/>
            </w:tcMar>
          </w:tcPr>
          <w:p>
            <w:r>
              <w:rPr>
                <w:sz w:val="19"/>
                <w:szCs w:val="19"/>
              </w:rPr>
              <w:t xml:space="preserve">No assignment due this week.</w:t>
            </w:r>
          </w:p>
        </w:tc>
        <w:tc>
          <w:tcPr>
            <w:tcW w:type="dxa" w:w="3150"/>
            <w:tcBorders>
              <w:top w:val="single" w:color="999999" w:sz="4"/>
              <w:left w:val="single" w:color="999999" w:sz="4"/>
              <w:bottom w:val="single" w:color="999999" w:sz="4"/>
              <w:right w:val="single" w:color="999999" w:sz="4"/>
            </w:tcBorders>
            <w:shd w:fill="F1BE48" w:color="auto" w:val="clear"/>
            <w:tcMar>
              <w:top w:type="dxa" w:w="45"/>
              <w:left w:type="dxa" w:w="100"/>
              <w:bottom w:type="dxa" w:w="45"/>
              <w:right w:type="dxa" w:w="100"/>
            </w:tcMar>
          </w:tcPr>
          <w:p>
            <w:r>
              <w:rPr>
                <w:b/>
                <w:bCs/>
                <w:sz w:val="19"/>
                <w:szCs w:val="19"/>
              </w:rPr>
              <w:t xml:space="preserve">Nothing due</w:t>
            </w:r>
          </w:p>
        </w:tc>
        <w:tc>
          <w:tcPr>
            <w:tcW w:type="dxa" w:w="2000"/>
            <w:tcBorders>
              <w:top w:val="single" w:color="999999" w:sz="4"/>
              <w:left w:val="single" w:color="999999" w:sz="4"/>
              <w:bottom w:val="single" w:color="999999" w:sz="4"/>
              <w:right w:val="single" w:color="999999" w:sz="4"/>
            </w:tcBorders>
            <w:shd w:fill="F1BE48" w:color="auto" w:val="clear"/>
            <w:tcMar>
              <w:top w:type="dxa" w:w="45"/>
              <w:left w:type="dxa" w:w="100"/>
              <w:bottom w:type="dxa" w:w="45"/>
              <w:right w:type="dxa" w:w="100"/>
            </w:tcMar>
          </w:tcPr>
          <w:p>
            <w:r>
              <w:rPr>
                <w:b/>
                <w:bCs/>
                <w:sz w:val="19"/>
                <w:szCs w:val="19"/>
              </w:rPr>
              <w:t xml:space="preserve">None</w:t>
            </w:r>
          </w:p>
        </w:tc>
      </w:tr>
      <w:tr>
        <w:trPr>
          <w:cantSplit/>
        </w:trPr>
        <w:tc>
          <w:tcPr>
            <w:tcW w:type="dxa" w:w="75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9</w:t>
            </w:r>
          </w:p>
        </w:tc>
        <w:tc>
          <w:tcPr>
            <w:tcW w:type="dxa" w:w="13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sz w:val="19"/>
                <w:szCs w:val="19"/>
              </w:rPr>
              <w:t xml:space="preserve">Mar 22–26</w:t>
            </w:r>
          </w:p>
        </w:tc>
        <w:tc>
          <w:tcPr>
            <w:tcW w:type="dxa" w:w="23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Module 9: From Workflow to Agent</w:t>
            </w:r>
          </w:p>
        </w:tc>
        <w:tc>
          <w:tcPr>
            <w:tcW w:type="dxa" w:w="45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sz w:val="19"/>
                <w:szCs w:val="19"/>
              </w:rPr>
              <w:t xml:space="preserve">Word document: “The Exception Investigator”</w:t>
            </w:r>
          </w:p>
        </w:tc>
        <w:tc>
          <w:tcPr>
            <w:tcW w:type="dxa" w:w="315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Word document + quiz</w:t>
            </w:r>
          </w:p>
        </w:tc>
        <w:tc>
          <w:tcPr>
            <w:tcW w:type="dxa" w:w="20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Sun, Mar 28</w:t>
            </w:r>
          </w:p>
        </w:tc>
      </w:tr>
      <w:tr>
        <w:trPr>
          <w:cantSplit/>
        </w:trPr>
        <w:tc>
          <w:tcPr>
            <w:tcW w:type="dxa" w:w="75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10</w:t>
            </w:r>
          </w:p>
        </w:tc>
        <w:tc>
          <w:tcPr>
            <w:tcW w:type="dxa" w:w="13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sz w:val="19"/>
                <w:szCs w:val="19"/>
              </w:rPr>
              <w:t xml:space="preserve">Mar 29–Apr 2</w:t>
            </w:r>
          </w:p>
        </w:tc>
        <w:tc>
          <w:tcPr>
            <w:tcW w:type="dxa" w:w="23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Module 10: The Final Project (begins)</w:t>
            </w:r>
          </w:p>
        </w:tc>
        <w:tc>
          <w:tcPr>
            <w:tcW w:type="dxa" w:w="45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sz w:val="19"/>
                <w:szCs w:val="19"/>
              </w:rPr>
              <w:t xml:space="preserve">Nothing is due. Suggested pace: about 7.5 hours (Steps 1–4, the setup, and Parts 1–3).</w:t>
            </w:r>
          </w:p>
        </w:tc>
        <w:tc>
          <w:tcPr>
            <w:tcW w:type="dxa" w:w="315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Nothing due (suggested pace only)</w:t>
            </w:r>
          </w:p>
        </w:tc>
        <w:tc>
          <w:tcPr>
            <w:tcW w:type="dxa" w:w="20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No due date</w:t>
            </w:r>
          </w:p>
        </w:tc>
      </w:tr>
      <w:tr>
        <w:trPr>
          <w:cantSplit/>
        </w:trPr>
        <w:tc>
          <w:tcPr>
            <w:tcW w:type="dxa" w:w="75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11</w:t>
            </w:r>
          </w:p>
        </w:tc>
        <w:tc>
          <w:tcPr>
            <w:tcW w:type="dxa" w:w="13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sz w:val="19"/>
                <w:szCs w:val="19"/>
              </w:rPr>
              <w:t xml:space="preserve">Apr 5–9</w:t>
            </w:r>
          </w:p>
        </w:tc>
        <w:tc>
          <w:tcPr>
            <w:tcW w:type="dxa" w:w="23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Module 10: The Final Project (continues)</w:t>
            </w:r>
          </w:p>
        </w:tc>
        <w:tc>
          <w:tcPr>
            <w:tcW w:type="dxa" w:w="45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sz w:val="19"/>
                <w:szCs w:val="19"/>
              </w:rPr>
              <w:t xml:space="preserve">Nothing is due. Suggested pace: about 8.5 hours (Parts 4–8), including your October and November test runs.</w:t>
            </w:r>
          </w:p>
        </w:tc>
        <w:tc>
          <w:tcPr>
            <w:tcW w:type="dxa" w:w="315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Nothing due (suggested pace only)</w:t>
            </w:r>
          </w:p>
        </w:tc>
        <w:tc>
          <w:tcPr>
            <w:tcW w:type="dxa" w:w="2000"/>
            <w:tcBorders>
              <w:top w:val="single" w:color="999999" w:sz="4"/>
              <w:left w:val="single" w:color="999999" w:sz="4"/>
              <w:bottom w:val="single" w:color="999999" w:sz="4"/>
              <w:right w:val="single" w:color="999999" w:sz="4"/>
            </w:tcBorders>
            <w:tcMar>
              <w:top w:type="dxa" w:w="45"/>
              <w:left w:type="dxa" w:w="100"/>
              <w:bottom w:type="dxa" w:w="45"/>
              <w:right w:type="dxa" w:w="100"/>
            </w:tcMar>
          </w:tcPr>
          <w:p>
            <w:r>
              <w:rPr>
                <w:b/>
                <w:bCs/>
                <w:sz w:val="19"/>
                <w:szCs w:val="19"/>
              </w:rPr>
              <w:t xml:space="preserve">No due date</w:t>
            </w:r>
          </w:p>
        </w:tc>
      </w:tr>
      <w:tr>
        <w:trPr>
          <w:cantSplit/>
        </w:trPr>
        <w:tc>
          <w:tcPr>
            <w:tcW w:type="dxa" w:w="750"/>
            <w:tcBorders>
              <w:top w:val="single" w:color="999999" w:sz="4"/>
              <w:left w:val="single" w:color="999999" w:sz="4"/>
              <w:bottom w:val="single" w:color="999999" w:sz="4"/>
              <w:right w:val="single" w:color="999999" w:sz="4"/>
            </w:tcBorders>
            <w:shd w:fill="FBEFD0" w:color="auto" w:val="clear"/>
            <w:tcMar>
              <w:top w:type="dxa" w:w="45"/>
              <w:left w:type="dxa" w:w="100"/>
              <w:bottom w:type="dxa" w:w="45"/>
              <w:right w:type="dxa" w:w="100"/>
            </w:tcMar>
          </w:tcPr>
          <w:p>
            <w:r>
              <w:rPr>
                <w:b/>
                <w:bCs/>
                <w:sz w:val="19"/>
                <w:szCs w:val="19"/>
              </w:rPr>
              <w:t xml:space="preserve">12</w:t>
            </w:r>
          </w:p>
        </w:tc>
        <w:tc>
          <w:tcPr>
            <w:tcW w:type="dxa" w:w="1300"/>
            <w:tcBorders>
              <w:top w:val="single" w:color="999999" w:sz="4"/>
              <w:left w:val="single" w:color="999999" w:sz="4"/>
              <w:bottom w:val="single" w:color="999999" w:sz="4"/>
              <w:right w:val="single" w:color="999999" w:sz="4"/>
            </w:tcBorders>
            <w:shd w:fill="FBEFD0" w:color="auto" w:val="clear"/>
            <w:tcMar>
              <w:top w:type="dxa" w:w="45"/>
              <w:left w:type="dxa" w:w="100"/>
              <w:bottom w:type="dxa" w:w="45"/>
              <w:right w:type="dxa" w:w="100"/>
            </w:tcMar>
          </w:tcPr>
          <w:p>
            <w:r>
              <w:rPr>
                <w:sz w:val="19"/>
                <w:szCs w:val="19"/>
              </w:rPr>
              <w:t xml:space="preserve">Apr 12–16</w:t>
            </w:r>
          </w:p>
        </w:tc>
        <w:tc>
          <w:tcPr>
            <w:tcW w:type="dxa" w:w="2300"/>
            <w:tcBorders>
              <w:top w:val="single" w:color="999999" w:sz="4"/>
              <w:left w:val="single" w:color="999999" w:sz="4"/>
              <w:bottom w:val="single" w:color="999999" w:sz="4"/>
              <w:right w:val="single" w:color="999999" w:sz="4"/>
            </w:tcBorders>
            <w:shd w:fill="FBEFD0" w:color="auto" w:val="clear"/>
            <w:tcMar>
              <w:top w:type="dxa" w:w="45"/>
              <w:left w:type="dxa" w:w="100"/>
              <w:bottom w:type="dxa" w:w="45"/>
              <w:right w:type="dxa" w:w="100"/>
            </w:tcMar>
          </w:tcPr>
          <w:p>
            <w:r>
              <w:rPr>
                <w:b/>
                <w:bCs/>
                <w:sz w:val="19"/>
                <w:szCs w:val="19"/>
              </w:rPr>
              <w:t xml:space="preserve">Module 10: The Final Project (due)</w:t>
            </w:r>
          </w:p>
        </w:tc>
        <w:tc>
          <w:tcPr>
            <w:tcW w:type="dxa" w:w="4500"/>
            <w:tcBorders>
              <w:top w:val="single" w:color="999999" w:sz="4"/>
              <w:left w:val="single" w:color="999999" w:sz="4"/>
              <w:bottom w:val="single" w:color="999999" w:sz="4"/>
              <w:right w:val="single" w:color="999999" w:sz="4"/>
            </w:tcBorders>
            <w:shd w:fill="FBEFD0" w:color="auto" w:val="clear"/>
            <w:tcMar>
              <w:top w:type="dxa" w:w="45"/>
              <w:left w:type="dxa" w:w="100"/>
              <w:bottom w:type="dxa" w:w="45"/>
              <w:right w:type="dxa" w:w="100"/>
            </w:tcMar>
          </w:tcPr>
          <w:p>
            <w:r>
              <w:rPr>
                <w:sz w:val="19"/>
                <w:szCs w:val="19"/>
              </w:rPr>
              <w:t xml:space="preserve">Final package, uploaded to Canvas: (1) Word document with your report and scored tests on three months of data; (2) 5–10 minute video, with its transcript in the Word document.</w:t>
            </w:r>
          </w:p>
          <w:p>
            <w:r>
              <w:rPr>
                <w:sz w:val="19"/>
                <w:szCs w:val="19"/>
              </w:rPr>
              <w:t xml:space="preserve">No quiz in Module 10.</w:t>
            </w:r>
          </w:p>
        </w:tc>
        <w:tc>
          <w:tcPr>
            <w:tcW w:type="dxa" w:w="3150"/>
            <w:tcBorders>
              <w:top w:val="single" w:color="999999" w:sz="4"/>
              <w:left w:val="single" w:color="999999" w:sz="4"/>
              <w:bottom w:val="single" w:color="999999" w:sz="4"/>
              <w:right w:val="single" w:color="999999" w:sz="4"/>
            </w:tcBorders>
            <w:shd w:fill="FBEFD0" w:color="auto" w:val="clear"/>
            <w:tcMar>
              <w:top w:type="dxa" w:w="45"/>
              <w:left w:type="dxa" w:w="100"/>
              <w:bottom w:type="dxa" w:w="45"/>
              <w:right w:type="dxa" w:w="100"/>
            </w:tcMar>
          </w:tcPr>
          <w:p>
            <w:r>
              <w:rPr>
                <w:b/>
                <w:bCs/>
                <w:sz w:val="19"/>
                <w:szCs w:val="19"/>
              </w:rPr>
              <w:t xml:space="preserve">Word report + video (transcript inside the Word document). No quiz.</w:t>
            </w:r>
          </w:p>
        </w:tc>
        <w:tc>
          <w:tcPr>
            <w:tcW w:type="dxa" w:w="2000"/>
            <w:tcBorders>
              <w:top w:val="single" w:color="999999" w:sz="4"/>
              <w:left w:val="single" w:color="999999" w:sz="4"/>
              <w:bottom w:val="single" w:color="999999" w:sz="4"/>
              <w:right w:val="single" w:color="999999" w:sz="4"/>
            </w:tcBorders>
            <w:shd w:fill="FBEFD0" w:color="auto" w:val="clear"/>
            <w:tcMar>
              <w:top w:type="dxa" w:w="45"/>
              <w:left w:type="dxa" w:w="100"/>
              <w:bottom w:type="dxa" w:w="45"/>
              <w:right w:type="dxa" w:w="100"/>
            </w:tcMar>
          </w:tcPr>
          <w:p>
            <w:r>
              <w:rPr>
                <w:b/>
                <w:bCs/>
                <w:color w:val="C8102E"/>
                <w:sz w:val="19"/>
                <w:szCs w:val="19"/>
              </w:rPr>
              <w:t xml:space="preserve">FRIDAY, Apr 16 (not Sunday) *</w:t>
            </w:r>
          </w:p>
        </w:tc>
      </w:tr>
    </w:tbl>
    <w:p>
      <w:pPr>
        <w:spacing w:after="60" w:before="140"/>
      </w:pPr>
      <w:r>
        <w:rPr>
          <w:b/>
          <w:bCs/>
          <w:color w:val="C8102E"/>
          <w:sz w:val="21"/>
          <w:szCs w:val="21"/>
        </w:rPr>
        <w:t xml:space="preserve">* NOTE: The Module 10 final project is due on FRIDAY, April 16 at 11:59 pm, not on the usual Sunday. April 16 is the last day of the course.</w:t>
      </w:r>
    </w:p>
    <w:p>
      <w:pPr>
        <w:spacing w:after="60"/>
      </w:pPr>
      <w:r>
        <w:rPr>
          <w:sz w:val="19"/>
          <w:szCs w:val="19"/>
        </w:rPr>
        <w:t xml:space="preserve">Late work is not accepted (see the syllabus). Weeks 10 and 11 have no due date, but the final project needs about 16 hours of work before Week 12.</w:t>
      </w:r>
    </w:p>
    <w:sectPr>
      <w:pgSz w:w="15840" w:h="12240" w:orient="landscape"/>
      <w:pgMar w:top="500" w:right="900" w:bottom="4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2026-10-21T13:40:46.915Z</dcterms:created>
  <dcterms:modified xsi:type="dcterms:W3CDTF">2026-10-21T13:40:46.918Z</dcterms:modified>
</cp:coreProperties>
</file>

<file path=docProps/custom.xml><?xml version="1.0" encoding="utf-8"?>
<Properties xmlns="http://schemas.openxmlformats.org/officeDocument/2006/custom-properties" xmlns:vt="http://schemas.openxmlformats.org/officeDocument/2006/docPropsVTypes"/>
</file>