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EC8B0"/>
          <w:sz w:val="48"/>
          <w:szCs w:val="48"/>
        </w:rPr>
        <w:t xml:space="preserve">YEAGER'S GYM</w:t>
      </w:r>
    </w:p>
    <w:p>
      <w:pPr>
        <w:spacing w:after="120" w:before="0"/>
        <w:jc w:val="center"/>
      </w:pPr>
      <w:r>
        <w:rPr>
          <w:rFonts w:ascii="Arial" w:cs="Arial" w:eastAsia="Arial" w:hAnsi="Arial"/>
          <w:b w:val="false"/>
          <w:bCs w:val="false"/>
          <w:color w:val="888888"/>
          <w:sz w:val="28"/>
          <w:szCs w:val="28"/>
        </w:rPr>
        <w:t xml:space="preserve">PEPTIDE PROTOCOL CONSULTING</w:t>
      </w:r>
    </w:p>
    <w:p>
      <w:pPr>
        <w:spacing w:after="120" w:before="720"/>
        <w:jc w:val="center"/>
      </w:pPr>
      <w:r>
        <w:rPr>
          <w:rFonts w:ascii="Arial" w:cs="Arial" w:eastAsia="Arial" w:hAnsi="Arial"/>
          <w:b/>
          <w:bCs/>
          <w:color w:val="1A1A1A"/>
          <w:sz w:val="56"/>
          <w:szCs w:val="56"/>
        </w:rPr>
        <w:t xml:space="preserve">Lisa's Peptide Protocol</w:t>
      </w:r>
    </w:p>
    <w:p>
      <w:pPr>
        <w:spacing w:after="120" w:before="60"/>
        <w:jc w:val="center"/>
      </w:pPr>
      <w:r>
        <w:rPr>
          <w:rFonts w:ascii="Arial" w:cs="Arial" w:eastAsia="Arial" w:hAnsi="Arial"/>
          <w:b w:val="false"/>
          <w:bCs w:val="false"/>
          <w:color w:val="F0448A"/>
          <w:sz w:val="32"/>
          <w:szCs w:val="32"/>
        </w:rPr>
        <w:t xml:space="preserve">16-Week Healthy Transformation Plan</w:t>
      </w:r>
    </w:p>
    <w:p>
      <w:pPr>
        <w:spacing w:after="120" w:before="480"/>
        <w:jc w:val="center"/>
      </w:pPr>
      <w:r>
        <w:rPr>
          <w:rFonts w:ascii="Arial" w:cs="Arial" w:eastAsia="Arial" w:hAnsi="Arial"/>
          <w:color w:val="555555"/>
          <w:sz w:val="24"/>
          <w:szCs w:val="24"/>
        </w:rPr>
        <w:t xml:space="preserve">Prepared by: Brad Yeager | Yeager's Gym</w:t>
      </w:r>
    </w:p>
    <w:p>
      <w:pPr>
        <w:spacing w:after="120" w:before="60"/>
        <w:jc w:val="center"/>
      </w:pPr>
      <w:r>
        <w:rPr>
          <w:rFonts w:ascii="Arial" w:cs="Arial" w:eastAsia="Arial" w:hAnsi="Arial"/>
          <w:color w:val="555555"/>
          <w:sz w:val="24"/>
          <w:szCs w:val="24"/>
        </w:rPr>
        <w:t xml:space="preserve">Date: May 1, 2025</w:t>
      </w:r>
    </w:p>
    <w:p>
      <w:pPr>
        <w:spacing w:after="60" w:before="60"/>
      </w:pPr>
      <w:r>
        <w:t xml:space="preserve"/>
      </w:r>
    </w:p>
    <w:p>
      <w:pPr>
        <w:pBdr>
          <w:top w:val="single" w:color="1EC8B0" w:sz="6"/>
          <w:bottom w:val="single" w:color="1EC8B0" w:sz="6"/>
        </w:pBdr>
        <w:spacing w:after="120" w:before="480"/>
        <w:jc w:val="center"/>
      </w:pPr>
      <w:r>
        <w:rPr>
          <w:rFonts w:ascii="Arial" w:cs="Arial" w:eastAsia="Arial" w:hAnsi="Arial"/>
          <w:b/>
          <w:bCs/>
          <w:color w:val="1EC8B0"/>
          <w:sz w:val="22"/>
          <w:szCs w:val="22"/>
        </w:rPr>
        <w:t xml:space="preserve">CLIENT SUMMARY</w:t>
      </w:r>
    </w:p>
    <w:p>
      <w:pPr>
        <w:spacing w:after="80" w:before="80"/>
      </w:pPr>
      <w:r>
        <w:rPr>
          <w:rFonts w:ascii="Arial" w:cs="Arial" w:eastAsia="Arial" w:hAnsi="Arial"/>
          <w:b/>
          <w:bCs/>
          <w:color w:val="1EC8B0"/>
          <w:sz w:val="20"/>
          <w:szCs w:val="20"/>
        </w:rPr>
        <w:t xml:space="preserve">Name: </w:t>
      </w:r>
      <w:r>
        <w:rPr>
          <w:rFonts w:ascii="Arial" w:cs="Arial" w:eastAsia="Arial" w:hAnsi="Arial"/>
          <w:color w:val="1A1A1A"/>
          <w:sz w:val="20"/>
          <w:szCs w:val="20"/>
        </w:rPr>
        <w:t xml:space="preserve">Lisa</w:t>
      </w:r>
    </w:p>
    <w:p>
      <w:pPr>
        <w:spacing w:after="80" w:before="80"/>
      </w:pPr>
      <w:r>
        <w:rPr>
          <w:rFonts w:ascii="Arial" w:cs="Arial" w:eastAsia="Arial" w:hAnsi="Arial"/>
          <w:b/>
          <w:bCs/>
          <w:color w:val="1EC8B0"/>
          <w:sz w:val="20"/>
          <w:szCs w:val="20"/>
        </w:rPr>
        <w:t xml:space="preserve">Stats: </w:t>
      </w:r>
      <w:r>
        <w:rPr>
          <w:rFonts w:ascii="Arial" w:cs="Arial" w:eastAsia="Arial" w:hAnsi="Arial"/>
          <w:color w:val="1A1A1A"/>
          <w:sz w:val="20"/>
          <w:szCs w:val="20"/>
        </w:rPr>
        <w:t xml:space="preserve">5'6" | 198 lbs | 33% Body Fat | ~133 lbs lean mass</w:t>
      </w:r>
    </w:p>
    <w:p>
      <w:pPr>
        <w:spacing w:after="80" w:before="80"/>
      </w:pPr>
      <w:r>
        <w:rPr>
          <w:rFonts w:ascii="Arial" w:cs="Arial" w:eastAsia="Arial" w:hAnsi="Arial"/>
          <w:b/>
          <w:bCs/>
          <w:color w:val="1EC8B0"/>
          <w:sz w:val="20"/>
          <w:szCs w:val="20"/>
        </w:rPr>
        <w:t xml:space="preserve">Primary Goal: </w:t>
      </w:r>
      <w:r>
        <w:rPr>
          <w:rFonts w:ascii="Arial" w:cs="Arial" w:eastAsia="Arial" w:hAnsi="Arial"/>
          <w:color w:val="1A1A1A"/>
          <w:sz w:val="20"/>
          <w:szCs w:val="20"/>
        </w:rPr>
        <w:t xml:space="preserve">Lose 20 lbs | Run 1 mile @ 4mph nonstop</w:t>
      </w:r>
    </w:p>
    <w:p>
      <w:pPr>
        <w:spacing w:after="80" w:before="80"/>
      </w:pPr>
      <w:r>
        <w:rPr>
          <w:rFonts w:ascii="Arial" w:cs="Arial" w:eastAsia="Arial" w:hAnsi="Arial"/>
          <w:b/>
          <w:bCs/>
          <w:color w:val="1EC8B0"/>
          <w:sz w:val="20"/>
          <w:szCs w:val="20"/>
        </w:rPr>
        <w:t xml:space="preserve">Training: </w:t>
      </w:r>
      <w:r>
        <w:rPr>
          <w:rFonts w:ascii="Arial" w:cs="Arial" w:eastAsia="Arial" w:hAnsi="Arial"/>
          <w:color w:val="1A1A1A"/>
          <w:sz w:val="20"/>
          <w:szCs w:val="20"/>
        </w:rPr>
        <w:t xml:space="preserve">2× strength (Brad) | 2× boxing | 1× yoga/ruck | daily stretch</w:t>
      </w:r>
    </w:p>
    <w:p>
      <w:pPr>
        <w:spacing w:after="80" w:before="80"/>
      </w:pPr>
      <w:r>
        <w:rPr>
          <w:rFonts w:ascii="Arial" w:cs="Arial" w:eastAsia="Arial" w:hAnsi="Arial"/>
          <w:b/>
          <w:bCs/>
          <w:color w:val="1EC8B0"/>
          <w:sz w:val="20"/>
          <w:szCs w:val="20"/>
        </w:rPr>
        <w:t xml:space="preserve">Timeline: </w:t>
      </w:r>
      <w:r>
        <w:rPr>
          <w:rFonts w:ascii="Arial" w:cs="Arial" w:eastAsia="Arial" w:hAnsi="Arial"/>
          <w:color w:val="1A1A1A"/>
          <w:sz w:val="20"/>
          <w:szCs w:val="20"/>
        </w:rPr>
        <w:t xml:space="preserve">16-week transformation | Naked 5k June 6 (checkpoint)</w:t>
      </w:r>
    </w:p>
    <w:p>
      <w:pPr>
        <w:spacing w:after="80" w:before="80"/>
      </w:pPr>
      <w:r>
        <w:rPr>
          <w:rFonts w:ascii="Arial" w:cs="Arial" w:eastAsia="Arial" w:hAnsi="Arial"/>
          <w:b/>
          <w:bCs/>
          <w:color w:val="1EC8B0"/>
          <w:sz w:val="20"/>
          <w:szCs w:val="20"/>
        </w:rPr>
        <w:t xml:space="preserve">Compounds: </w:t>
      </w:r>
      <w:r>
        <w:rPr>
          <w:rFonts w:ascii="Arial" w:cs="Arial" w:eastAsia="Arial" w:hAnsi="Arial"/>
          <w:color w:val="1A1A1A"/>
          <w:sz w:val="20"/>
          <w:szCs w:val="20"/>
        </w:rPr>
        <w:t xml:space="preserve">Retatrutide | GHK-Cu | Melanotan II</w:t>
      </w:r>
    </w:p>
    <w:p>
      <w:pPr>
        <w:spacing w:after="80" w:before="80"/>
      </w:pPr>
      <w:r>
        <w:rPr>
          <w:rFonts w:ascii="Arial" w:cs="Arial" w:eastAsia="Arial" w:hAnsi="Arial"/>
          <w:b/>
          <w:bCs/>
          <w:color w:val="1EC8B0"/>
          <w:sz w:val="20"/>
          <w:szCs w:val="20"/>
        </w:rPr>
        <w:t xml:space="preserve">Peptide Experience: </w:t>
      </w:r>
      <w:r>
        <w:rPr>
          <w:rFonts w:ascii="Arial" w:cs="Arial" w:eastAsia="Arial" w:hAnsi="Arial"/>
          <w:color w:val="1A1A1A"/>
          <w:sz w:val="20"/>
          <w:szCs w:val="20"/>
        </w:rPr>
        <w:t xml:space="preserve">None — first cycle</w:t>
      </w:r>
    </w:p>
    <w:p>
      <w:pPr>
        <w:spacing w:after="80" w:before="80"/>
      </w:pPr>
      <w:r>
        <w:rPr>
          <w:rFonts w:ascii="Arial" w:cs="Arial" w:eastAsia="Arial" w:hAnsi="Arial"/>
          <w:b/>
          <w:bCs/>
          <w:color w:val="1EC8B0"/>
          <w:sz w:val="20"/>
          <w:szCs w:val="20"/>
        </w:rPr>
        <w:t xml:space="preserve">Estimated Investment: </w:t>
      </w:r>
      <w:r>
        <w:rPr>
          <w:rFonts w:ascii="Arial" w:cs="Arial" w:eastAsia="Arial" w:hAnsi="Arial"/>
          <w:color w:val="1A1A1A"/>
          <w:sz w:val="20"/>
          <w:szCs w:val="20"/>
        </w:rPr>
        <w:t xml:space="preserve">~$323 for full 16-week supply</w:t>
      </w:r>
    </w:p>
    <w:p>
      <w:r>
        <w:br w:type="page"/>
      </w:r>
    </w:p>
    <w:p>
      <w:pPr>
        <w:pBdr>
          <w:bottom w:val="single" w:color="1EC8B0" w:sz="6" w:space="4"/>
        </w:pBdr>
        <w:spacing w:after="120" w:before="240"/>
      </w:pPr>
      <w:r>
        <w:rPr>
          <w:rFonts w:ascii="Arial" w:cs="Arial" w:eastAsia="Arial" w:hAnsi="Arial"/>
          <w:b/>
          <w:bCs/>
          <w:color w:val="1EC8B0"/>
          <w:sz w:val="28"/>
          <w:szCs w:val="28"/>
        </w:rPr>
        <w:t xml:space="preserve">WEIGHT LOSS — Retatrutide | 24mg Vial ($240)</w:t>
      </w:r>
    </w:p>
    <w:p>
      <w:pPr>
        <w:spacing w:after="60" w:before="60"/>
      </w:pPr>
      <w:r>
        <w:rPr>
          <w:rFonts w:ascii="Arial" w:cs="Arial" w:eastAsia="Arial" w:hAnsi="Arial"/>
          <w:b w:val="false"/>
          <w:bCs w:val="false"/>
          <w:color w:val="1EC8B0"/>
          <w:sz w:val="20"/>
          <w:szCs w:val="20"/>
        </w:rPr>
        <w:t xml:space="preserve">simplepeptide.com/product/retatrutide-20mg/</w:t>
      </w:r>
    </w:p>
    <w:p>
      <w:pPr>
        <w:spacing w:after="60" w:before="60"/>
      </w:pPr>
      <w:r>
        <w:rPr>
          <w:rFonts w:ascii="Arial" w:cs="Arial" w:eastAsia="Arial" w:hAnsi="Arial"/>
          <w:b/>
          <w:bCs/>
          <w:color w:val="F0448A"/>
          <w:sz w:val="20"/>
          <w:szCs w:val="20"/>
        </w:rPr>
        <w:t xml:space="preserve">Evidence Level: Clinical — Human trials exist, not FDA-approved for general use</w:t>
      </w:r>
    </w:p>
    <w:p>
      <w:pPr>
        <w:spacing w:after="60" w:before="60"/>
      </w:pPr>
      <w:r>
        <w:t xml:space="preserve"/>
      </w:r>
    </w:p>
    <w:p>
      <w:pPr>
        <w:spacing w:after="80" w:before="160"/>
      </w:pPr>
      <w:r>
        <w:rPr>
          <w:rFonts w:ascii="Arial" w:cs="Arial" w:eastAsia="Arial" w:hAnsi="Arial"/>
          <w:b/>
          <w:bCs/>
          <w:color w:val="F0448A"/>
          <w:sz w:val="22"/>
          <w:szCs w:val="22"/>
        </w:rPr>
        <w:t xml:space="preserve">Mechanism of Action</w:t>
      </w:r>
    </w:p>
    <w:p>
      <w:pPr>
        <w:pStyle w:val="ListParagraph"/>
        <w:numPr>
          <w:ilvl w:val="0"/>
          <w:numId w:val="2"/>
        </w:numPr>
        <w:spacing w:after="40" w:before="40"/>
      </w:pPr>
      <w:r>
        <w:rPr>
          <w:rFonts w:ascii="Arial" w:cs="Arial" w:eastAsia="Arial" w:hAnsi="Arial"/>
          <w:sz w:val="20"/>
          <w:szCs w:val="20"/>
        </w:rPr>
        <w:t xml:space="preserve">Triple agonist: activates GLP-1, GIP, and glucagon receptors simultaneously</w:t>
      </w:r>
    </w:p>
    <w:p>
      <w:pPr>
        <w:pStyle w:val="ListParagraph"/>
        <w:numPr>
          <w:ilvl w:val="0"/>
          <w:numId w:val="2"/>
        </w:numPr>
        <w:spacing w:after="40" w:before="40"/>
      </w:pPr>
      <w:r>
        <w:rPr>
          <w:rFonts w:ascii="Arial" w:cs="Arial" w:eastAsia="Arial" w:hAnsi="Arial"/>
          <w:sz w:val="20"/>
          <w:szCs w:val="20"/>
        </w:rPr>
        <w:t xml:space="preserve">GLP-1 activation: suppresses appetite, slows gastric emptying, improves insulin secretion</w:t>
      </w:r>
    </w:p>
    <w:p>
      <w:pPr>
        <w:pStyle w:val="ListParagraph"/>
        <w:numPr>
          <w:ilvl w:val="0"/>
          <w:numId w:val="2"/>
        </w:numPr>
        <w:spacing w:after="40" w:before="40"/>
      </w:pPr>
      <w:r>
        <w:rPr>
          <w:rFonts w:ascii="Arial" w:cs="Arial" w:eastAsia="Arial" w:hAnsi="Arial"/>
          <w:sz w:val="20"/>
          <w:szCs w:val="20"/>
        </w:rPr>
        <w:t xml:space="preserve">GIP activation: improves insulin sensitivity and increases satiety synergistically</w:t>
      </w:r>
    </w:p>
    <w:p>
      <w:pPr>
        <w:pStyle w:val="ListParagraph"/>
        <w:numPr>
          <w:ilvl w:val="0"/>
          <w:numId w:val="2"/>
        </w:numPr>
        <w:spacing w:after="40" w:before="40"/>
      </w:pPr>
      <w:r>
        <w:rPr>
          <w:rFonts w:ascii="Arial" w:cs="Arial" w:eastAsia="Arial" w:hAnsi="Arial"/>
          <w:sz w:val="20"/>
          <w:szCs w:val="20"/>
        </w:rPr>
        <w:t xml:space="preserve">Glucagon activation: raises basal metabolic rate and accelerates fat oxidation — protects lean mass</w:t>
      </w:r>
    </w:p>
    <w:p>
      <w:pPr>
        <w:pStyle w:val="ListParagraph"/>
        <w:numPr>
          <w:ilvl w:val="0"/>
          <w:numId w:val="2"/>
        </w:numPr>
        <w:spacing w:after="40" w:before="40"/>
      </w:pPr>
      <w:r>
        <w:rPr>
          <w:rFonts w:ascii="Arial" w:cs="Arial" w:eastAsia="Arial" w:hAnsi="Arial"/>
          <w:sz w:val="20"/>
          <w:szCs w:val="20"/>
        </w:rPr>
        <w:t xml:space="preserve">Outperforms Ozempic (GLP-1 only) and Tirzepatide (GLP-1+GIP) for total fat loss</w:t>
      </w:r>
    </w:p>
    <w:p>
      <w:pPr>
        <w:spacing w:after="60" w:before="60"/>
      </w:pPr>
      <w:r>
        <w:t xml:space="preserve"/>
      </w:r>
    </w:p>
    <w:p>
      <w:pPr>
        <w:spacing w:after="80" w:before="160"/>
      </w:pPr>
      <w:r>
        <w:rPr>
          <w:rFonts w:ascii="Arial" w:cs="Arial" w:eastAsia="Arial" w:hAnsi="Arial"/>
          <w:b/>
          <w:bCs/>
          <w:color w:val="F0448A"/>
          <w:sz w:val="22"/>
          <w:szCs w:val="22"/>
        </w:rPr>
        <w:t xml:space="preserve">Benefits — Mapped to Lisa's Goals</w:t>
      </w:r>
    </w:p>
    <w:p>
      <w:pPr>
        <w:pStyle w:val="ListParagraph"/>
        <w:numPr>
          <w:ilvl w:val="0"/>
          <w:numId w:val="2"/>
        </w:numPr>
        <w:spacing w:after="40" w:before="40"/>
      </w:pPr>
      <w:r>
        <w:rPr>
          <w:rFonts w:ascii="Arial" w:cs="Arial" w:eastAsia="Arial" w:hAnsi="Arial"/>
          <w:sz w:val="20"/>
          <w:szCs w:val="20"/>
        </w:rPr>
        <w:t xml:space="preserve">Drives significant weight reduction — clinical studies show up to 24% bodyweight loss</w:t>
      </w:r>
    </w:p>
    <w:p>
      <w:pPr>
        <w:pStyle w:val="ListParagraph"/>
        <w:numPr>
          <w:ilvl w:val="0"/>
          <w:numId w:val="2"/>
        </w:numPr>
        <w:spacing w:after="40" w:before="40"/>
      </w:pPr>
      <w:r>
        <w:rPr>
          <w:rFonts w:ascii="Arial" w:cs="Arial" w:eastAsia="Arial" w:hAnsi="Arial"/>
          <w:sz w:val="20"/>
          <w:szCs w:val="20"/>
        </w:rPr>
        <w:t xml:space="preserve">Preserves lean mass during deficit — critical since Lisa is building strength simultaneously</w:t>
      </w:r>
    </w:p>
    <w:p>
      <w:pPr>
        <w:pStyle w:val="ListParagraph"/>
        <w:numPr>
          <w:ilvl w:val="0"/>
          <w:numId w:val="2"/>
        </w:numPr>
        <w:spacing w:after="40" w:before="40"/>
      </w:pPr>
      <w:r>
        <w:rPr>
          <w:rFonts w:ascii="Arial" w:cs="Arial" w:eastAsia="Arial" w:hAnsi="Arial"/>
          <w:sz w:val="20"/>
          <w:szCs w:val="20"/>
        </w:rPr>
        <w:t xml:space="preserve">Improves energy availability and metabolic flexibility for boxing + strength sessions</w:t>
      </w:r>
    </w:p>
    <w:p>
      <w:pPr>
        <w:pStyle w:val="ListParagraph"/>
        <w:numPr>
          <w:ilvl w:val="0"/>
          <w:numId w:val="2"/>
        </w:numPr>
        <w:spacing w:after="40" w:before="40"/>
      </w:pPr>
      <w:r>
        <w:rPr>
          <w:rFonts w:ascii="Arial" w:cs="Arial" w:eastAsia="Arial" w:hAnsi="Arial"/>
          <w:sz w:val="20"/>
          <w:szCs w:val="20"/>
        </w:rPr>
        <w:t xml:space="preserve">Reduces appetite naturally — directly counteracts her sweet tooth without white-knuckling</w:t>
      </w:r>
    </w:p>
    <w:p>
      <w:pPr>
        <w:pStyle w:val="ListParagraph"/>
        <w:numPr>
          <w:ilvl w:val="0"/>
          <w:numId w:val="2"/>
        </w:numPr>
        <w:spacing w:after="40" w:before="40"/>
      </w:pPr>
      <w:r>
        <w:rPr>
          <w:rFonts w:ascii="Arial" w:cs="Arial" w:eastAsia="Arial" w:hAnsi="Arial"/>
          <w:sz w:val="20"/>
          <w:szCs w:val="20"/>
        </w:rPr>
        <w:t xml:space="preserve">Improves cardiovascular markers to support her 1-mile run goal</w:t>
      </w:r>
    </w:p>
    <w:p>
      <w:pPr>
        <w:spacing w:after="60" w:before="60"/>
      </w:pPr>
      <w:r>
        <w:t xml:space="preserve"/>
      </w:r>
    </w:p>
    <w:p>
      <w:pPr>
        <w:spacing w:after="80" w:before="160"/>
      </w:pPr>
      <w:r>
        <w:rPr>
          <w:rFonts w:ascii="Arial" w:cs="Arial" w:eastAsia="Arial" w:hAnsi="Arial"/>
          <w:b/>
          <w:bCs/>
          <w:color w:val="F0448A"/>
          <w:sz w:val="22"/>
          <w:szCs w:val="22"/>
        </w:rPr>
        <w:t xml:space="preserve">Step 1: Reconstitution</w:t>
      </w:r>
    </w:p>
    <w:p>
      <w:pPr>
        <w:spacing w:after="60" w:before="60"/>
      </w:pPr>
      <w:r>
        <w:rPr>
          <w:rFonts w:ascii="Arial" w:cs="Arial" w:eastAsia="Arial" w:hAnsi="Arial"/>
          <w:b/>
          <w:bCs/>
          <w:color w:val="1A1A1A"/>
          <w:sz w:val="20"/>
          <w:szCs w:val="20"/>
        </w:rPr>
        <w:t xml:space="preserve">Vial size: 24 mg</w:t>
      </w:r>
    </w:p>
    <w:p>
      <w:pPr>
        <w:spacing w:after="60" w:before="60"/>
      </w:pPr>
      <w:r>
        <w:rPr>
          <w:rFonts w:ascii="Arial" w:cs="Arial" w:eastAsia="Arial" w:hAnsi="Arial"/>
          <w:b w:val="false"/>
          <w:bCs w:val="false"/>
          <w:color w:val="1A1A1A"/>
          <w:sz w:val="20"/>
          <w:szCs w:val="20"/>
        </w:rPr>
        <w:t xml:space="preserve">Add 2.4 mL bacteriostatic water → 10 mg/mL concentration</w:t>
      </w:r>
    </w:p>
    <w:p>
      <w:pPr>
        <w:spacing w:after="60" w:before="60"/>
      </w:pPr>
      <w:r>
        <w:rPr>
          <w:rFonts w:ascii="Arial" w:cs="Arial" w:eastAsia="Arial" w:hAnsi="Arial"/>
          <w:b w:val="false"/>
          <w:bCs w:val="false"/>
          <w:color w:val="1A1A1A"/>
          <w:sz w:val="20"/>
          <w:szCs w:val="20"/>
        </w:rPr>
        <w:t xml:space="preserve">Each 0.1 mL = 1 mg | Each tick (0.02 mL) = 0.2 mg</w:t>
      </w:r>
    </w:p>
    <w:p>
      <w:pPr>
        <w:spacing w:after="60" w:before="60"/>
      </w:pPr>
      <w:r>
        <w:rPr>
          <w:rFonts w:ascii="Arial" w:cs="Arial" w:eastAsia="Arial" w:hAnsi="Arial"/>
          <w:b w:val="false"/>
          <w:bCs w:val="false"/>
          <w:color w:val="555555"/>
          <w:sz w:val="20"/>
          <w:szCs w:val="20"/>
        </w:rPr>
        <w:t xml:space="preserve">Inject subcutaneously: abdomen, outer thigh, or flank — rotate sites weekly</w:t>
      </w:r>
    </w:p>
    <w:p>
      <w:pPr>
        <w:spacing w:after="60" w:before="60"/>
      </w:pPr>
      <w:r>
        <w:rPr>
          <w:rFonts w:ascii="Arial" w:cs="Arial" w:eastAsia="Arial" w:hAnsi="Arial"/>
          <w:b w:val="false"/>
          <w:bCs w:val="false"/>
          <w:color w:val="555555"/>
          <w:sz w:val="20"/>
          <w:szCs w:val="20"/>
        </w:rPr>
        <w:t xml:space="preserve">Inject once weekly, same day each week. Morning or evening both fine.</w:t>
      </w:r>
    </w:p>
    <w:p>
      <w:pPr>
        <w:spacing w:after="60" w:before="60"/>
      </w:pPr>
      <w:r>
        <w:t xml:space="preserve"/>
      </w:r>
    </w:p>
    <w:p>
      <w:pPr>
        <w:spacing w:after="80" w:before="160"/>
      </w:pPr>
      <w:r>
        <w:rPr>
          <w:rFonts w:ascii="Arial" w:cs="Arial" w:eastAsia="Arial" w:hAnsi="Arial"/>
          <w:b/>
          <w:bCs/>
          <w:color w:val="F0448A"/>
          <w:sz w:val="22"/>
          <w:szCs w:val="22"/>
        </w:rPr>
        <w:t xml:space="preserve">Conversion Reference (10 mg/mL | 5 ticks per 0.1 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EC8B0" w:sz="1"/>
              <w:left w:val="single" w:color="1EC8B0" w:sz="1"/>
              <w:bottom w:val="single" w:color="1EC8B0" w:sz="1"/>
              <w:right w:val="single" w:color="1EC8B0" w:sz="1"/>
            </w:tcBorders>
            <w:shd w:fill="1EC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Dose (mg)</w:t>
            </w:r>
          </w:p>
        </w:tc>
        <w:tc>
          <w:tcPr>
            <w:tcW w:type="dxa" w:w="3120"/>
            <w:tcBorders>
              <w:top w:val="single" w:color="1EC8B0" w:sz="1"/>
              <w:left w:val="single" w:color="1EC8B0" w:sz="1"/>
              <w:bottom w:val="single" w:color="1EC8B0" w:sz="1"/>
              <w:right w:val="single" w:color="1EC8B0" w:sz="1"/>
            </w:tcBorders>
            <w:shd w:fill="1EC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Volume (mL)</w:t>
            </w:r>
          </w:p>
        </w:tc>
        <w:tc>
          <w:tcPr>
            <w:tcW w:type="dxa" w:w="3120"/>
            <w:tcBorders>
              <w:top w:val="single" w:color="1EC8B0" w:sz="1"/>
              <w:left w:val="single" w:color="1EC8B0" w:sz="1"/>
              <w:bottom w:val="single" w:color="1EC8B0" w:sz="1"/>
              <w:right w:val="single" w:color="1EC8B0" w:sz="1"/>
            </w:tcBorders>
            <w:shd w:fill="1EC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Tick Marks</w:t>
            </w:r>
          </w:p>
        </w:tc>
      </w:tr>
      <w:tr>
        <w:tc>
          <w:tcPr>
            <w:tcW w:type="dxa" w:w="312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0.5</w:t>
            </w:r>
          </w:p>
        </w:tc>
        <w:tc>
          <w:tcPr>
            <w:tcW w:type="dxa" w:w="312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0.05</w:t>
            </w:r>
          </w:p>
        </w:tc>
        <w:tc>
          <w:tcPr>
            <w:tcW w:type="dxa" w:w="312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2.5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5</w:t>
            </w:r>
          </w:p>
        </w:tc>
      </w:tr>
      <w:tr>
        <w:tc>
          <w:tcPr>
            <w:tcW w:type="dxa" w:w="312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1.5</w:t>
            </w:r>
          </w:p>
        </w:tc>
        <w:tc>
          <w:tcPr>
            <w:tcW w:type="dxa" w:w="312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0.15</w:t>
            </w:r>
          </w:p>
        </w:tc>
        <w:tc>
          <w:tcPr>
            <w:tcW w:type="dxa" w:w="312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7.5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10</w:t>
            </w:r>
          </w:p>
        </w:tc>
      </w:tr>
      <w:tr>
        <w:tc>
          <w:tcPr>
            <w:tcW w:type="dxa" w:w="312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3.0</w:t>
            </w:r>
          </w:p>
        </w:tc>
        <w:tc>
          <w:tcPr>
            <w:tcW w:type="dxa" w:w="312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0.30</w:t>
            </w:r>
          </w:p>
        </w:tc>
        <w:tc>
          <w:tcPr>
            <w:tcW w:type="dxa" w:w="312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15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4.0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0.40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20</w:t>
            </w:r>
          </w:p>
        </w:tc>
      </w:tr>
      <w:tr>
        <w:tc>
          <w:tcPr>
            <w:tcW w:type="dxa" w:w="312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6.0</w:t>
            </w:r>
          </w:p>
        </w:tc>
        <w:tc>
          <w:tcPr>
            <w:tcW w:type="dxa" w:w="312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0.60</w:t>
            </w:r>
          </w:p>
        </w:tc>
        <w:tc>
          <w:tcPr>
            <w:tcW w:type="dxa" w:w="312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30</w:t>
            </w:r>
          </w:p>
        </w:tc>
      </w:tr>
    </w:tbl>
    <w:p>
      <w:pPr>
        <w:spacing w:after="60" w:before="60"/>
      </w:pPr>
      <w:r>
        <w:t xml:space="preserve"/>
      </w:r>
    </w:p>
    <w:p>
      <w:pPr>
        <w:spacing w:after="80" w:before="160"/>
      </w:pPr>
      <w:r>
        <w:rPr>
          <w:rFonts w:ascii="Arial" w:cs="Arial" w:eastAsia="Arial" w:hAnsi="Arial"/>
          <w:b/>
          <w:bCs/>
          <w:color w:val="F0448A"/>
          <w:sz w:val="22"/>
          <w:szCs w:val="22"/>
        </w:rPr>
        <w:t xml:space="preserve">Step 2: Dosing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1560"/>
        <w:gridCol w:w="1560"/>
        <w:gridCol w:w="1560"/>
      </w:tblGrid>
      <w:tr>
        <w:trPr>
          <w:tblHeader/>
        </w:trPr>
        <w:tc>
          <w:tcPr>
            <w:tcW w:type="dxa" w:w="2340"/>
            <w:tcBorders>
              <w:top w:val="single" w:color="1EC8B0" w:sz="1"/>
              <w:left w:val="single" w:color="1EC8B0" w:sz="1"/>
              <w:bottom w:val="single" w:color="1EC8B0" w:sz="1"/>
              <w:right w:val="single" w:color="1EC8B0" w:sz="1"/>
            </w:tcBorders>
            <w:shd w:fill="1EC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Protocol</w:t>
            </w:r>
          </w:p>
        </w:tc>
        <w:tc>
          <w:tcPr>
            <w:tcW w:type="dxa" w:w="1170"/>
            <w:tcBorders>
              <w:top w:val="single" w:color="1EC8B0" w:sz="1"/>
              <w:left w:val="single" w:color="1EC8B0" w:sz="1"/>
              <w:bottom w:val="single" w:color="1EC8B0" w:sz="1"/>
              <w:right w:val="single" w:color="1EC8B0" w:sz="1"/>
            </w:tcBorders>
            <w:shd w:fill="1EC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Dose (mg)</w:t>
            </w:r>
          </w:p>
        </w:tc>
        <w:tc>
          <w:tcPr>
            <w:tcW w:type="dxa" w:w="1170"/>
            <w:tcBorders>
              <w:top w:val="single" w:color="1EC8B0" w:sz="1"/>
              <w:left w:val="single" w:color="1EC8B0" w:sz="1"/>
              <w:bottom w:val="single" w:color="1EC8B0" w:sz="1"/>
              <w:right w:val="single" w:color="1EC8B0" w:sz="1"/>
            </w:tcBorders>
            <w:shd w:fill="1EC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mL</w:t>
            </w:r>
          </w:p>
        </w:tc>
        <w:tc>
          <w:tcPr>
            <w:tcW w:type="dxa" w:w="1560"/>
            <w:tcBorders>
              <w:top w:val="single" w:color="1EC8B0" w:sz="1"/>
              <w:left w:val="single" w:color="1EC8B0" w:sz="1"/>
              <w:bottom w:val="single" w:color="1EC8B0" w:sz="1"/>
              <w:right w:val="single" w:color="1EC8B0" w:sz="1"/>
            </w:tcBorders>
            <w:shd w:fill="1EC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Tick Marks</w:t>
            </w:r>
          </w:p>
        </w:tc>
        <w:tc>
          <w:tcPr>
            <w:tcW w:type="dxa" w:w="1560"/>
            <w:tcBorders>
              <w:top w:val="single" w:color="1EC8B0" w:sz="1"/>
              <w:left w:val="single" w:color="1EC8B0" w:sz="1"/>
              <w:bottom w:val="single" w:color="1EC8B0" w:sz="1"/>
              <w:right w:val="single" w:color="1EC8B0" w:sz="1"/>
            </w:tcBorders>
            <w:shd w:fill="1EC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Frequency</w:t>
            </w:r>
          </w:p>
        </w:tc>
        <w:tc>
          <w:tcPr>
            <w:tcW w:type="dxa" w:w="1560"/>
            <w:tcBorders>
              <w:top w:val="single" w:color="1EC8B0" w:sz="1"/>
              <w:left w:val="single" w:color="1EC8B0" w:sz="1"/>
              <w:bottom w:val="single" w:color="1EC8B0" w:sz="1"/>
              <w:right w:val="single" w:color="1EC8B0" w:sz="1"/>
            </w:tcBorders>
            <w:shd w:fill="1EC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Vial Duration</w:t>
            </w:r>
          </w:p>
        </w:tc>
      </w:tr>
      <w:tr>
        <w:tc>
          <w:tcPr>
            <w:tcW w:type="dxa" w:w="234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Conservative</w:t>
            </w:r>
          </w:p>
        </w:tc>
        <w:tc>
          <w:tcPr>
            <w:tcW w:type="dxa" w:w="117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0.5→1.5</w:t>
            </w:r>
          </w:p>
        </w:tc>
        <w:tc>
          <w:tcPr>
            <w:tcW w:type="dxa" w:w="117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0.05→0.15</w:t>
            </w:r>
          </w:p>
        </w:tc>
        <w:tc>
          <w:tcPr>
            <w:tcW w:type="dxa" w:w="156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2.5→7.5</w:t>
            </w:r>
          </w:p>
        </w:tc>
        <w:tc>
          <w:tcPr>
            <w:tcW w:type="dxa" w:w="156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1×/week</w:t>
            </w:r>
          </w:p>
        </w:tc>
        <w:tc>
          <w:tcPr>
            <w:tcW w:type="dxa" w:w="156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~21 weeks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Standard ★</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0.5→3</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0.05→0.3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2.5→15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1×/week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~12.6 weeks</w:t>
            </w:r>
          </w:p>
        </w:tc>
      </w:tr>
      <w:tr>
        <w:tc>
          <w:tcPr>
            <w:tcW w:type="dxa" w:w="234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Aggressive</w:t>
            </w:r>
          </w:p>
        </w:tc>
        <w:tc>
          <w:tcPr>
            <w:tcW w:type="dxa" w:w="117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1→6</w:t>
            </w:r>
          </w:p>
        </w:tc>
        <w:tc>
          <w:tcPr>
            <w:tcW w:type="dxa" w:w="117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0.1→0.6</w:t>
            </w:r>
          </w:p>
        </w:tc>
        <w:tc>
          <w:tcPr>
            <w:tcW w:type="dxa" w:w="156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5→30</w:t>
            </w:r>
          </w:p>
        </w:tc>
        <w:tc>
          <w:tcPr>
            <w:tcW w:type="dxa" w:w="156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1×/week</w:t>
            </w:r>
          </w:p>
        </w:tc>
        <w:tc>
          <w:tcPr>
            <w:tcW w:type="dxa" w:w="156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~6.3 weeks</w:t>
            </w:r>
          </w:p>
        </w:tc>
      </w:tr>
    </w:tbl>
    <w:p>
      <w:pPr>
        <w:spacing w:after="60" w:before="60"/>
      </w:pPr>
      <w:r>
        <w:rPr>
          <w:rFonts w:ascii="Arial" w:cs="Arial" w:eastAsia="Arial" w:hAnsi="Arial"/>
          <w:b/>
          <w:bCs/>
          <w:color w:val="F0448A"/>
          <w:sz w:val="20"/>
          <w:szCs w:val="20"/>
        </w:rPr>
        <w:t xml:space="preserve">★ Standard Protocol recommended for Lisa's 16-week healthy plan</w:t>
      </w:r>
    </w:p>
    <w:p>
      <w:pPr>
        <w:spacing w:after="60" w:before="60"/>
      </w:pPr>
      <w:r>
        <w:t xml:space="preserve"/>
      </w:r>
    </w:p>
    <w:p>
      <w:pPr>
        <w:spacing w:after="80" w:before="160"/>
      </w:pPr>
      <w:r>
        <w:rPr>
          <w:rFonts w:ascii="Arial" w:cs="Arial" w:eastAsia="Arial" w:hAnsi="Arial"/>
          <w:b/>
          <w:bCs/>
          <w:color w:val="F0448A"/>
          <w:sz w:val="22"/>
          <w:szCs w:val="22"/>
        </w:rPr>
        <w:t xml:space="preserve">16-Week Titration Schedule — Standard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560"/>
        <w:gridCol w:w="1560"/>
        <w:gridCol w:w="1560"/>
        <w:gridCol w:w="1560"/>
        <w:gridCol w:w="1950"/>
      </w:tblGrid>
      <w:tr>
        <w:trPr>
          <w:tblHeader/>
        </w:trPr>
        <w:tc>
          <w:tcPr>
            <w:tcW w:type="dxa" w:w="1170"/>
            <w:tcBorders>
              <w:top w:val="single" w:color="1EC8B0" w:sz="1"/>
              <w:left w:val="single" w:color="1EC8B0" w:sz="1"/>
              <w:bottom w:val="single" w:color="1EC8B0" w:sz="1"/>
              <w:right w:val="single" w:color="1EC8B0" w:sz="1"/>
            </w:tcBorders>
            <w:shd w:fill="1EC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Week</w:t>
            </w:r>
          </w:p>
        </w:tc>
        <w:tc>
          <w:tcPr>
            <w:tcW w:type="dxa" w:w="1560"/>
            <w:tcBorders>
              <w:top w:val="single" w:color="1EC8B0" w:sz="1"/>
              <w:left w:val="single" w:color="1EC8B0" w:sz="1"/>
              <w:bottom w:val="single" w:color="1EC8B0" w:sz="1"/>
              <w:right w:val="single" w:color="1EC8B0" w:sz="1"/>
            </w:tcBorders>
            <w:shd w:fill="1EC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Dose (mg)</w:t>
            </w:r>
          </w:p>
        </w:tc>
        <w:tc>
          <w:tcPr>
            <w:tcW w:type="dxa" w:w="1560"/>
            <w:tcBorders>
              <w:top w:val="single" w:color="1EC8B0" w:sz="1"/>
              <w:left w:val="single" w:color="1EC8B0" w:sz="1"/>
              <w:bottom w:val="single" w:color="1EC8B0" w:sz="1"/>
              <w:right w:val="single" w:color="1EC8B0" w:sz="1"/>
            </w:tcBorders>
            <w:shd w:fill="1EC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Volume (mL)</w:t>
            </w:r>
          </w:p>
        </w:tc>
        <w:tc>
          <w:tcPr>
            <w:tcW w:type="dxa" w:w="1560"/>
            <w:tcBorders>
              <w:top w:val="single" w:color="1EC8B0" w:sz="1"/>
              <w:left w:val="single" w:color="1EC8B0" w:sz="1"/>
              <w:bottom w:val="single" w:color="1EC8B0" w:sz="1"/>
              <w:right w:val="single" w:color="1EC8B0" w:sz="1"/>
            </w:tcBorders>
            <w:shd w:fill="1EC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Tick Marks</w:t>
            </w:r>
          </w:p>
        </w:tc>
        <w:tc>
          <w:tcPr>
            <w:tcW w:type="dxa" w:w="1560"/>
            <w:tcBorders>
              <w:top w:val="single" w:color="1EC8B0" w:sz="1"/>
              <w:left w:val="single" w:color="1EC8B0" w:sz="1"/>
              <w:bottom w:val="single" w:color="1EC8B0" w:sz="1"/>
              <w:right w:val="single" w:color="1EC8B0" w:sz="1"/>
            </w:tcBorders>
            <w:shd w:fill="1EC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Protocol</w:t>
            </w:r>
          </w:p>
        </w:tc>
        <w:tc>
          <w:tcPr>
            <w:tcW w:type="dxa" w:w="1950"/>
            <w:tcBorders>
              <w:top w:val="single" w:color="1EC8B0" w:sz="1"/>
              <w:left w:val="single" w:color="1EC8B0" w:sz="1"/>
              <w:bottom w:val="single" w:color="1EC8B0" w:sz="1"/>
              <w:right w:val="single" w:color="1EC8B0" w:sz="1"/>
            </w:tcBorders>
            <w:shd w:fill="1EC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117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1</w:t>
            </w:r>
          </w:p>
        </w:tc>
        <w:tc>
          <w:tcPr>
            <w:tcW w:type="dxa" w:w="156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0.5</w:t>
            </w:r>
          </w:p>
        </w:tc>
        <w:tc>
          <w:tcPr>
            <w:tcW w:type="dxa" w:w="156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0.05</w:t>
            </w:r>
          </w:p>
        </w:tc>
        <w:tc>
          <w:tcPr>
            <w:tcW w:type="dxa" w:w="156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2.5</w:t>
            </w:r>
          </w:p>
        </w:tc>
        <w:tc>
          <w:tcPr>
            <w:tcW w:type="dxa" w:w="156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Standard</w:t>
            </w:r>
          </w:p>
        </w:tc>
        <w:tc>
          <w:tcPr>
            <w:tcW w:type="dxa" w:w="195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First injection — go slow</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Standard</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Assess tolerance</w:t>
            </w:r>
          </w:p>
        </w:tc>
      </w:tr>
      <w:tr>
        <w:tc>
          <w:tcPr>
            <w:tcW w:type="dxa" w:w="117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3</w:t>
            </w:r>
          </w:p>
        </w:tc>
        <w:tc>
          <w:tcPr>
            <w:tcW w:type="dxa" w:w="156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2.0</w:t>
            </w:r>
          </w:p>
        </w:tc>
        <w:tc>
          <w:tcPr>
            <w:tcW w:type="dxa" w:w="156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0.20</w:t>
            </w:r>
          </w:p>
        </w:tc>
        <w:tc>
          <w:tcPr>
            <w:tcW w:type="dxa" w:w="156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10</w:t>
            </w:r>
          </w:p>
        </w:tc>
        <w:tc>
          <w:tcPr>
            <w:tcW w:type="dxa" w:w="156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Standard</w:t>
            </w:r>
          </w:p>
        </w:tc>
        <w:tc>
          <w:tcPr>
            <w:tcW w:type="dxa" w:w="195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Increase if tolerated</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3.0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0.30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15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Standard</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Hold or advance</w:t>
            </w:r>
          </w:p>
        </w:tc>
      </w:tr>
      <w:tr>
        <w:tc>
          <w:tcPr>
            <w:tcW w:type="dxa" w:w="117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5–16</w:t>
            </w:r>
          </w:p>
        </w:tc>
        <w:tc>
          <w:tcPr>
            <w:tcW w:type="dxa" w:w="156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3.0</w:t>
            </w:r>
          </w:p>
        </w:tc>
        <w:tc>
          <w:tcPr>
            <w:tcW w:type="dxa" w:w="156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0.30</w:t>
            </w:r>
          </w:p>
        </w:tc>
        <w:tc>
          <w:tcPr>
            <w:tcW w:type="dxa" w:w="156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15</w:t>
            </w:r>
          </w:p>
        </w:tc>
        <w:tc>
          <w:tcPr>
            <w:tcW w:type="dxa" w:w="156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Standard</w:t>
            </w:r>
          </w:p>
        </w:tc>
        <w:tc>
          <w:tcPr>
            <w:tcW w:type="dxa" w:w="195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Maintenance dose</w:t>
            </w:r>
          </w:p>
        </w:tc>
      </w:tr>
    </w:tbl>
    <w:p>
      <w:pPr>
        <w:spacing w:after="60" w:before="60"/>
      </w:pPr>
      <w:r>
        <w:t xml:space="preserve"/>
      </w:r>
    </w:p>
    <w:p>
      <w:pPr>
        <w:spacing w:after="80" w:before="160"/>
      </w:pPr>
      <w:r>
        <w:rPr>
          <w:rFonts w:ascii="Arial" w:cs="Arial" w:eastAsia="Arial" w:hAnsi="Arial"/>
          <w:b/>
          <w:bCs/>
          <w:color w:val="F0448A"/>
          <w:sz w:val="22"/>
          <w:szCs w:val="22"/>
        </w:rPr>
        <w:t xml:space="preserve">Cycle Length &amp;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EC8B0" w:sz="1"/>
              <w:left w:val="single" w:color="1EC8B0" w:sz="1"/>
              <w:bottom w:val="single" w:color="1EC8B0" w:sz="1"/>
              <w:right w:val="single" w:color="1EC8B0" w:sz="1"/>
            </w:tcBorders>
            <w:shd w:fill="1EC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Protocol</w:t>
            </w:r>
          </w:p>
        </w:tc>
        <w:tc>
          <w:tcPr>
            <w:tcW w:type="dxa" w:w="2340"/>
            <w:tcBorders>
              <w:top w:val="single" w:color="1EC8B0" w:sz="1"/>
              <w:left w:val="single" w:color="1EC8B0" w:sz="1"/>
              <w:bottom w:val="single" w:color="1EC8B0" w:sz="1"/>
              <w:right w:val="single" w:color="1EC8B0" w:sz="1"/>
            </w:tcBorders>
            <w:shd w:fill="1EC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Cost / 12 Weeks</w:t>
            </w:r>
          </w:p>
        </w:tc>
        <w:tc>
          <w:tcPr>
            <w:tcW w:type="dxa" w:w="2340"/>
            <w:tcBorders>
              <w:top w:val="single" w:color="1EC8B0" w:sz="1"/>
              <w:left w:val="single" w:color="1EC8B0" w:sz="1"/>
              <w:bottom w:val="single" w:color="1EC8B0" w:sz="1"/>
              <w:right w:val="single" w:color="1EC8B0" w:sz="1"/>
            </w:tcBorders>
            <w:shd w:fill="1EC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Vials Used</w:t>
            </w:r>
          </w:p>
        </w:tc>
        <w:tc>
          <w:tcPr>
            <w:tcW w:type="dxa" w:w="2340"/>
            <w:tcBorders>
              <w:top w:val="single" w:color="1EC8B0" w:sz="1"/>
              <w:left w:val="single" w:color="1EC8B0" w:sz="1"/>
              <w:bottom w:val="single" w:color="1EC8B0" w:sz="1"/>
              <w:right w:val="single" w:color="1EC8B0" w:sz="1"/>
            </w:tcBorders>
            <w:shd w:fill="1EC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Vial Duration</w:t>
            </w:r>
          </w:p>
        </w:tc>
      </w:tr>
      <w:tr>
        <w:tc>
          <w:tcPr>
            <w:tcW w:type="dxa" w:w="234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Conservative</w:t>
            </w:r>
          </w:p>
        </w:tc>
        <w:tc>
          <w:tcPr>
            <w:tcW w:type="dxa" w:w="234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$140</w:t>
            </w:r>
          </w:p>
        </w:tc>
        <w:tc>
          <w:tcPr>
            <w:tcW w:type="dxa" w:w="234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~0.56 vials</w:t>
            </w:r>
          </w:p>
        </w:tc>
        <w:tc>
          <w:tcPr>
            <w:tcW w:type="dxa" w:w="234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~21 weeks/vial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Standard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$240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~1 vial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~12.6 weeks/vial</w:t>
            </w:r>
          </w:p>
        </w:tc>
      </w:tr>
      <w:tr>
        <w:tc>
          <w:tcPr>
            <w:tcW w:type="dxa" w:w="234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Aggressive</w:t>
            </w:r>
          </w:p>
        </w:tc>
        <w:tc>
          <w:tcPr>
            <w:tcW w:type="dxa" w:w="234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$480</w:t>
            </w:r>
          </w:p>
        </w:tc>
        <w:tc>
          <w:tcPr>
            <w:tcW w:type="dxa" w:w="234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~2 vials</w:t>
            </w:r>
          </w:p>
        </w:tc>
        <w:tc>
          <w:tcPr>
            <w:tcW w:type="dxa" w:w="234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~6.3 weeks/vial</w:t>
            </w:r>
          </w:p>
        </w:tc>
      </w:tr>
    </w:tbl>
    <w:p>
      <w:pPr>
        <w:spacing w:after="60" w:before="60"/>
      </w:pPr>
      <w:r>
        <w:t xml:space="preserve"/>
      </w:r>
    </w:p>
    <w:p>
      <w:pPr>
        <w:spacing w:after="80" w:before="160"/>
      </w:pPr>
      <w:r>
        <w:rPr>
          <w:rFonts w:ascii="Arial" w:cs="Arial" w:eastAsia="Arial" w:hAnsi="Arial"/>
          <w:b/>
          <w:bCs/>
          <w:color w:val="F0448A"/>
          <w:sz w:val="22"/>
          <w:szCs w:val="22"/>
        </w:rPr>
        <w:t xml:space="preserve">Potential Side Effects</w:t>
      </w:r>
    </w:p>
    <w:p>
      <w:pPr>
        <w:pStyle w:val="ListParagraph"/>
        <w:numPr>
          <w:ilvl w:val="0"/>
          <w:numId w:val="2"/>
        </w:numPr>
        <w:spacing w:after="40" w:before="40"/>
      </w:pPr>
      <w:r>
        <w:rPr>
          <w:rFonts w:ascii="Arial" w:cs="Arial" w:eastAsia="Arial" w:hAnsi="Arial"/>
          <w:sz w:val="20"/>
          <w:szCs w:val="20"/>
        </w:rPr>
        <w:t xml:space="preserve">GI: Nausea, vomiting, diarrhea, bloating, constipation — most common during titration weeks 1–4</w:t>
      </w:r>
    </w:p>
    <w:p>
      <w:pPr>
        <w:pStyle w:val="ListParagraph"/>
        <w:numPr>
          <w:ilvl w:val="0"/>
          <w:numId w:val="2"/>
        </w:numPr>
        <w:spacing w:after="40" w:before="40"/>
      </w:pPr>
      <w:r>
        <w:rPr>
          <w:rFonts w:ascii="Arial" w:cs="Arial" w:eastAsia="Arial" w:hAnsi="Arial"/>
          <w:sz w:val="20"/>
          <w:szCs w:val="20"/>
        </w:rPr>
        <w:t xml:space="preserve">Excessive appetite suppression — monitor caloric intake, especially on Metabolic Meals plan</w:t>
      </w:r>
    </w:p>
    <w:p>
      <w:pPr>
        <w:pStyle w:val="ListParagraph"/>
        <w:numPr>
          <w:ilvl w:val="0"/>
          <w:numId w:val="2"/>
        </w:numPr>
        <w:spacing w:after="40" w:before="40"/>
      </w:pPr>
      <w:r>
        <w:rPr>
          <w:rFonts w:ascii="Arial" w:cs="Arial" w:eastAsia="Arial" w:hAnsi="Arial"/>
          <w:sz w:val="20"/>
          <w:szCs w:val="20"/>
        </w:rPr>
        <w:t xml:space="preserve">Fatigue during caloric deficit — ensure protein targets are met</w:t>
      </w:r>
    </w:p>
    <w:p>
      <w:pPr>
        <w:pStyle w:val="ListParagraph"/>
        <w:numPr>
          <w:ilvl w:val="0"/>
          <w:numId w:val="2"/>
        </w:numPr>
        <w:spacing w:after="40" w:before="40"/>
      </w:pPr>
      <w:r>
        <w:rPr>
          <w:rFonts w:ascii="Arial" w:cs="Arial" w:eastAsia="Arial" w:hAnsi="Arial"/>
          <w:sz w:val="20"/>
          <w:szCs w:val="20"/>
        </w:rPr>
        <w:t xml:space="preserve">Inject on a light stomach if nausea is an issue</w:t>
      </w:r>
    </w:p>
    <w:p>
      <w:r>
        <w:br w:type="page"/>
      </w:r>
    </w:p>
    <w:p>
      <w:pPr>
        <w:pBdr>
          <w:bottom w:val="single" w:color="1EC8B0" w:sz="6" w:space="4"/>
        </w:pBdr>
        <w:spacing w:after="120" w:before="240"/>
      </w:pPr>
      <w:r>
        <w:rPr>
          <w:rFonts w:ascii="Arial" w:cs="Arial" w:eastAsia="Arial" w:hAnsi="Arial"/>
          <w:b/>
          <w:bCs/>
          <w:color w:val="1EC8B0"/>
          <w:sz w:val="28"/>
          <w:szCs w:val="28"/>
        </w:rPr>
        <w:t xml:space="preserve">SKIN / ANTI-AGING — GHK-Cu | 100mg Vial ($50)</w:t>
      </w:r>
    </w:p>
    <w:p>
      <w:pPr>
        <w:spacing w:after="60" w:before="60"/>
      </w:pPr>
      <w:r>
        <w:rPr>
          <w:rFonts w:ascii="Arial" w:cs="Arial" w:eastAsia="Arial" w:hAnsi="Arial"/>
          <w:b w:val="false"/>
          <w:bCs w:val="false"/>
          <w:color w:val="1EC8B0"/>
          <w:sz w:val="20"/>
          <w:szCs w:val="20"/>
        </w:rPr>
        <w:t xml:space="preserve">simplepeptide.com/product/ghk-cu-100mg</w:t>
      </w:r>
    </w:p>
    <w:p>
      <w:pPr>
        <w:spacing w:after="60" w:before="60"/>
      </w:pPr>
      <w:r>
        <w:rPr>
          <w:rFonts w:ascii="Arial" w:cs="Arial" w:eastAsia="Arial" w:hAnsi="Arial"/>
          <w:b/>
          <w:bCs/>
          <w:color w:val="F0448A"/>
          <w:sz w:val="20"/>
          <w:szCs w:val="20"/>
        </w:rPr>
        <w:t xml:space="preserve">Evidence Level: Research — Strong in-vitro and animal data, growing human evidence</w:t>
      </w:r>
    </w:p>
    <w:p>
      <w:pPr>
        <w:spacing w:after="60" w:before="60"/>
      </w:pPr>
      <w:r>
        <w:t xml:space="preserve"/>
      </w:r>
    </w:p>
    <w:p>
      <w:pPr>
        <w:spacing w:after="80" w:before="160"/>
      </w:pPr>
      <w:r>
        <w:rPr>
          <w:rFonts w:ascii="Arial" w:cs="Arial" w:eastAsia="Arial" w:hAnsi="Arial"/>
          <w:b/>
          <w:bCs/>
          <w:color w:val="F0448A"/>
          <w:sz w:val="22"/>
          <w:szCs w:val="22"/>
        </w:rPr>
        <w:t xml:space="preserve">Mechanism of Action</w:t>
      </w:r>
    </w:p>
    <w:p>
      <w:pPr>
        <w:pStyle w:val="ListParagraph"/>
        <w:numPr>
          <w:ilvl w:val="0"/>
          <w:numId w:val="2"/>
        </w:numPr>
        <w:spacing w:after="40" w:before="40"/>
      </w:pPr>
      <w:r>
        <w:rPr>
          <w:rFonts w:ascii="Arial" w:cs="Arial" w:eastAsia="Arial" w:hAnsi="Arial"/>
          <w:sz w:val="20"/>
          <w:szCs w:val="20"/>
        </w:rPr>
        <w:t xml:space="preserve">Stimulates collagen and elastin synthesis — skin tightening and connective tissue repair</w:t>
      </w:r>
    </w:p>
    <w:p>
      <w:pPr>
        <w:pStyle w:val="ListParagraph"/>
        <w:numPr>
          <w:ilvl w:val="0"/>
          <w:numId w:val="2"/>
        </w:numPr>
        <w:spacing w:after="40" w:before="40"/>
      </w:pPr>
      <w:r>
        <w:rPr>
          <w:rFonts w:ascii="Arial" w:cs="Arial" w:eastAsia="Arial" w:hAnsi="Arial"/>
          <w:sz w:val="20"/>
          <w:szCs w:val="20"/>
        </w:rPr>
        <w:t xml:space="preserve">Reduces inflammatory cytokines (IL-6, TNF-α) and oxidative stress</w:t>
      </w:r>
    </w:p>
    <w:p>
      <w:pPr>
        <w:pStyle w:val="ListParagraph"/>
        <w:numPr>
          <w:ilvl w:val="0"/>
          <w:numId w:val="2"/>
        </w:numPr>
        <w:spacing w:after="40" w:before="40"/>
      </w:pPr>
      <w:r>
        <w:rPr>
          <w:rFonts w:ascii="Arial" w:cs="Arial" w:eastAsia="Arial" w:hAnsi="Arial"/>
          <w:sz w:val="20"/>
          <w:szCs w:val="20"/>
        </w:rPr>
        <w:t xml:space="preserve">Activates fibroblasts to speed tissue regeneration and wound healing</w:t>
      </w:r>
    </w:p>
    <w:p>
      <w:pPr>
        <w:pStyle w:val="ListParagraph"/>
        <w:numPr>
          <w:ilvl w:val="0"/>
          <w:numId w:val="2"/>
        </w:numPr>
        <w:spacing w:after="40" w:before="40"/>
      </w:pPr>
      <w:r>
        <w:rPr>
          <w:rFonts w:ascii="Arial" w:cs="Arial" w:eastAsia="Arial" w:hAnsi="Arial"/>
          <w:sz w:val="20"/>
          <w:szCs w:val="20"/>
        </w:rPr>
        <w:t xml:space="preserve">Boosts antioxidant enzymes (SOD, catalase) — protects cells from environmental stressors</w:t>
      </w:r>
    </w:p>
    <w:p>
      <w:pPr>
        <w:spacing w:after="60" w:before="60"/>
      </w:pPr>
      <w:r>
        <w:t xml:space="preserve"/>
      </w:r>
    </w:p>
    <w:p>
      <w:pPr>
        <w:spacing w:after="80" w:before="160"/>
      </w:pPr>
      <w:r>
        <w:rPr>
          <w:rFonts w:ascii="Arial" w:cs="Arial" w:eastAsia="Arial" w:hAnsi="Arial"/>
          <w:b/>
          <w:bCs/>
          <w:color w:val="F0448A"/>
          <w:sz w:val="22"/>
          <w:szCs w:val="22"/>
        </w:rPr>
        <w:t xml:space="preserve">Benefits — Mapped to Lisa's Goals</w:t>
      </w:r>
    </w:p>
    <w:p>
      <w:pPr>
        <w:pStyle w:val="ListParagraph"/>
        <w:numPr>
          <w:ilvl w:val="0"/>
          <w:numId w:val="2"/>
        </w:numPr>
        <w:spacing w:after="40" w:before="40"/>
      </w:pPr>
      <w:r>
        <w:rPr>
          <w:rFonts w:ascii="Arial" w:cs="Arial" w:eastAsia="Arial" w:hAnsi="Arial"/>
          <w:sz w:val="20"/>
          <w:szCs w:val="20"/>
        </w:rPr>
        <w:t xml:space="preserve">Improves skin elasticity and tone — particularly relevant for body transformation + naked 5k</w:t>
      </w:r>
    </w:p>
    <w:p>
      <w:pPr>
        <w:pStyle w:val="ListParagraph"/>
        <w:numPr>
          <w:ilvl w:val="0"/>
          <w:numId w:val="2"/>
        </w:numPr>
        <w:spacing w:after="40" w:before="40"/>
      </w:pPr>
      <w:r>
        <w:rPr>
          <w:rFonts w:ascii="Arial" w:cs="Arial" w:eastAsia="Arial" w:hAnsi="Arial"/>
          <w:sz w:val="20"/>
          <w:szCs w:val="20"/>
        </w:rPr>
        <w:t xml:space="preserve">Supports connective tissue repair — benefits aging knees during high-frequency training</w:t>
      </w:r>
    </w:p>
    <w:p>
      <w:pPr>
        <w:pStyle w:val="ListParagraph"/>
        <w:numPr>
          <w:ilvl w:val="0"/>
          <w:numId w:val="2"/>
        </w:numPr>
        <w:spacing w:after="40" w:before="40"/>
      </w:pPr>
      <w:r>
        <w:rPr>
          <w:rFonts w:ascii="Arial" w:cs="Arial" w:eastAsia="Arial" w:hAnsi="Arial"/>
          <w:sz w:val="20"/>
          <w:szCs w:val="20"/>
        </w:rPr>
        <w:t xml:space="preserve">Enhances circulation to damaged tissues — accelerates recovery from boxing sessions</w:t>
      </w:r>
    </w:p>
    <w:p>
      <w:pPr>
        <w:pStyle w:val="ListParagraph"/>
        <w:numPr>
          <w:ilvl w:val="0"/>
          <w:numId w:val="2"/>
        </w:numPr>
        <w:spacing w:after="40" w:before="40"/>
      </w:pPr>
      <w:r>
        <w:rPr>
          <w:rFonts w:ascii="Arial" w:cs="Arial" w:eastAsia="Arial" w:hAnsi="Arial"/>
          <w:sz w:val="20"/>
          <w:szCs w:val="20"/>
        </w:rPr>
        <w:t xml:space="preserve">Hair rejuvenation and scalp health as a bonus side effect</w:t>
      </w:r>
    </w:p>
    <w:p>
      <w:pPr>
        <w:spacing w:after="60" w:before="60"/>
      </w:pPr>
      <w:r>
        <w:t xml:space="preserve"/>
      </w:r>
    </w:p>
    <w:p>
      <w:pPr>
        <w:spacing w:after="80" w:before="160"/>
      </w:pPr>
      <w:r>
        <w:rPr>
          <w:rFonts w:ascii="Arial" w:cs="Arial" w:eastAsia="Arial" w:hAnsi="Arial"/>
          <w:b/>
          <w:bCs/>
          <w:color w:val="F0448A"/>
          <w:sz w:val="22"/>
          <w:szCs w:val="22"/>
        </w:rPr>
        <w:t xml:space="preserve">Step 1: Reconstitution</w:t>
      </w:r>
    </w:p>
    <w:p>
      <w:pPr>
        <w:spacing w:after="60" w:before="60"/>
      </w:pPr>
      <w:r>
        <w:rPr>
          <w:rFonts w:ascii="Arial" w:cs="Arial" w:eastAsia="Arial" w:hAnsi="Arial"/>
          <w:b w:val="false"/>
          <w:bCs w:val="false"/>
          <w:color w:val="1A1A1A"/>
          <w:sz w:val="20"/>
          <w:szCs w:val="20"/>
        </w:rPr>
        <w:t xml:space="preserve">Add 3.0 mL bacteriostatic water → 33.33 mg/mL concentration</w:t>
      </w:r>
    </w:p>
    <w:p>
      <w:pPr>
        <w:spacing w:after="60" w:before="60"/>
      </w:pPr>
      <w:r>
        <w:rPr>
          <w:rFonts w:ascii="Arial" w:cs="Arial" w:eastAsia="Arial" w:hAnsi="Arial"/>
          <w:b w:val="false"/>
          <w:bCs w:val="false"/>
          <w:color w:val="1A1A1A"/>
          <w:sz w:val="20"/>
          <w:szCs w:val="20"/>
        </w:rPr>
        <w:t xml:space="preserve">Each 0.1 mL = 3.33 mg | Each tick (0.02 mL) = 0.666 mg (666 mcg)</w:t>
      </w:r>
    </w:p>
    <w:p>
      <w:pPr>
        <w:spacing w:after="60" w:before="60"/>
      </w:pPr>
      <w:r>
        <w:rPr>
          <w:rFonts w:ascii="Arial" w:cs="Arial" w:eastAsia="Arial" w:hAnsi="Arial"/>
          <w:b w:val="false"/>
          <w:bCs w:val="false"/>
          <w:color w:val="555555"/>
          <w:sz w:val="20"/>
          <w:szCs w:val="20"/>
        </w:rPr>
        <w:t xml:space="preserve">Inject subcutaneously. Can also apply topically mixed with serum — optional.</w:t>
      </w:r>
    </w:p>
    <w:p>
      <w:pPr>
        <w:spacing w:after="60" w:before="60"/>
      </w:pPr>
      <w:r>
        <w:t xml:space="preserve"/>
      </w:r>
    </w:p>
    <w:p>
      <w:pPr>
        <w:spacing w:after="80" w:before="160"/>
      </w:pPr>
      <w:r>
        <w:rPr>
          <w:rFonts w:ascii="Arial" w:cs="Arial" w:eastAsia="Arial" w:hAnsi="Arial"/>
          <w:b/>
          <w:bCs/>
          <w:color w:val="F0448A"/>
          <w:sz w:val="22"/>
          <w:szCs w:val="22"/>
        </w:rPr>
        <w:t xml:space="preserve">Step 2: Dosing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1EC8B0" w:sz="1"/>
              <w:left w:val="single" w:color="1EC8B0" w:sz="1"/>
              <w:bottom w:val="single" w:color="1EC8B0" w:sz="1"/>
              <w:right w:val="single" w:color="1EC8B0" w:sz="1"/>
            </w:tcBorders>
            <w:shd w:fill="1EC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Protocol</w:t>
            </w:r>
          </w:p>
        </w:tc>
        <w:tc>
          <w:tcPr>
            <w:tcW w:type="dxa" w:w="1560"/>
            <w:tcBorders>
              <w:top w:val="single" w:color="1EC8B0" w:sz="1"/>
              <w:left w:val="single" w:color="1EC8B0" w:sz="1"/>
              <w:bottom w:val="single" w:color="1EC8B0" w:sz="1"/>
              <w:right w:val="single" w:color="1EC8B0" w:sz="1"/>
            </w:tcBorders>
            <w:shd w:fill="1EC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Dose/Injection</w:t>
            </w:r>
          </w:p>
        </w:tc>
        <w:tc>
          <w:tcPr>
            <w:tcW w:type="dxa" w:w="1560"/>
            <w:tcBorders>
              <w:top w:val="single" w:color="1EC8B0" w:sz="1"/>
              <w:left w:val="single" w:color="1EC8B0" w:sz="1"/>
              <w:bottom w:val="single" w:color="1EC8B0" w:sz="1"/>
              <w:right w:val="single" w:color="1EC8B0" w:sz="1"/>
            </w:tcBorders>
            <w:shd w:fill="1EC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mL</w:t>
            </w:r>
          </w:p>
        </w:tc>
        <w:tc>
          <w:tcPr>
            <w:tcW w:type="dxa" w:w="1560"/>
            <w:tcBorders>
              <w:top w:val="single" w:color="1EC8B0" w:sz="1"/>
              <w:left w:val="single" w:color="1EC8B0" w:sz="1"/>
              <w:bottom w:val="single" w:color="1EC8B0" w:sz="1"/>
              <w:right w:val="single" w:color="1EC8B0" w:sz="1"/>
            </w:tcBorders>
            <w:shd w:fill="1EC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Tick Marks</w:t>
            </w:r>
          </w:p>
        </w:tc>
        <w:tc>
          <w:tcPr>
            <w:tcW w:type="dxa" w:w="1560"/>
            <w:tcBorders>
              <w:top w:val="single" w:color="1EC8B0" w:sz="1"/>
              <w:left w:val="single" w:color="1EC8B0" w:sz="1"/>
              <w:bottom w:val="single" w:color="1EC8B0" w:sz="1"/>
              <w:right w:val="single" w:color="1EC8B0" w:sz="1"/>
            </w:tcBorders>
            <w:shd w:fill="1EC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Frequency</w:t>
            </w:r>
          </w:p>
        </w:tc>
        <w:tc>
          <w:tcPr>
            <w:tcW w:type="dxa" w:w="1560"/>
            <w:tcBorders>
              <w:top w:val="single" w:color="1EC8B0" w:sz="1"/>
              <w:left w:val="single" w:color="1EC8B0" w:sz="1"/>
              <w:bottom w:val="single" w:color="1EC8B0" w:sz="1"/>
              <w:right w:val="single" w:color="1EC8B0" w:sz="1"/>
            </w:tcBorders>
            <w:shd w:fill="1EC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Cost/12wks</w:t>
            </w:r>
          </w:p>
        </w:tc>
      </w:tr>
      <w:tr>
        <w:tc>
          <w:tcPr>
            <w:tcW w:type="dxa" w:w="156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Conservative</w:t>
            </w:r>
          </w:p>
        </w:tc>
        <w:tc>
          <w:tcPr>
            <w:tcW w:type="dxa" w:w="156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1.0 mg</w:t>
            </w:r>
          </w:p>
        </w:tc>
        <w:tc>
          <w:tcPr>
            <w:tcW w:type="dxa" w:w="156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0.03 mL</w:t>
            </w:r>
          </w:p>
        </w:tc>
        <w:tc>
          <w:tcPr>
            <w:tcW w:type="dxa" w:w="156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1.5 ticks</w:t>
            </w:r>
          </w:p>
        </w:tc>
        <w:tc>
          <w:tcPr>
            <w:tcW w:type="dxa" w:w="156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2×/week</w:t>
            </w:r>
          </w:p>
        </w:tc>
        <w:tc>
          <w:tcPr>
            <w:tcW w:type="dxa" w:w="156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$12</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Moderate ★</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2.0 mg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0.06 mL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3.0 ticks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3×/week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$24–$36</w:t>
            </w:r>
          </w:p>
        </w:tc>
      </w:tr>
      <w:tr>
        <w:tc>
          <w:tcPr>
            <w:tcW w:type="dxa" w:w="156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Aggressive</w:t>
            </w:r>
          </w:p>
        </w:tc>
        <w:tc>
          <w:tcPr>
            <w:tcW w:type="dxa" w:w="156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3.0 mg</w:t>
            </w:r>
          </w:p>
        </w:tc>
        <w:tc>
          <w:tcPr>
            <w:tcW w:type="dxa" w:w="156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0.09 mL</w:t>
            </w:r>
          </w:p>
        </w:tc>
        <w:tc>
          <w:tcPr>
            <w:tcW w:type="dxa" w:w="156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4.5 ticks</w:t>
            </w:r>
          </w:p>
        </w:tc>
        <w:tc>
          <w:tcPr>
            <w:tcW w:type="dxa" w:w="156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3×/week</w:t>
            </w:r>
          </w:p>
        </w:tc>
        <w:tc>
          <w:tcPr>
            <w:tcW w:type="dxa" w:w="156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$54</w:t>
            </w:r>
          </w:p>
        </w:tc>
      </w:tr>
    </w:tbl>
    <w:p>
      <w:pPr>
        <w:spacing w:after="60" w:before="60"/>
      </w:pPr>
      <w:r>
        <w:rPr>
          <w:rFonts w:ascii="Arial" w:cs="Arial" w:eastAsia="Arial" w:hAnsi="Arial"/>
          <w:b/>
          <w:bCs/>
          <w:color w:val="F0448A"/>
          <w:sz w:val="20"/>
          <w:szCs w:val="20"/>
        </w:rPr>
        <w:t xml:space="preserve">★ Moderate Protocol recommended — maximizes skin benefit during 16-week transformation</w:t>
      </w:r>
    </w:p>
    <w:p>
      <w:r>
        <w:br w:type="page"/>
      </w:r>
    </w:p>
    <w:p>
      <w:pPr>
        <w:pBdr>
          <w:bottom w:val="single" w:color="1EC8B0" w:sz="6" w:space="4"/>
        </w:pBdr>
        <w:spacing w:after="120" w:before="240"/>
      </w:pPr>
      <w:r>
        <w:rPr>
          <w:rFonts w:ascii="Arial" w:cs="Arial" w:eastAsia="Arial" w:hAnsi="Arial"/>
          <w:b/>
          <w:bCs/>
          <w:color w:val="1EC8B0"/>
          <w:sz w:val="28"/>
          <w:szCs w:val="28"/>
        </w:rPr>
        <w:t xml:space="preserve">TANNING / APPETITE — Melanotan II | 100mg Vial ($33)</w:t>
      </w:r>
    </w:p>
    <w:p>
      <w:pPr>
        <w:spacing w:after="60" w:before="60"/>
      </w:pPr>
      <w:r>
        <w:rPr>
          <w:rFonts w:ascii="Arial" w:cs="Arial" w:eastAsia="Arial" w:hAnsi="Arial"/>
          <w:b/>
          <w:bCs/>
          <w:color w:val="F0448A"/>
          <w:sz w:val="20"/>
          <w:szCs w:val="20"/>
        </w:rPr>
        <w:t xml:space="preserve">Evidence Level: Research — Limited human trials, widely used in community practice</w:t>
      </w:r>
    </w:p>
    <w:p>
      <w:pPr>
        <w:spacing w:after="60" w:before="60"/>
      </w:pPr>
      <w:r>
        <w:t xml:space="preserve"/>
      </w:r>
    </w:p>
    <w:p>
      <w:pPr>
        <w:spacing w:after="80" w:before="160"/>
      </w:pPr>
      <w:r>
        <w:rPr>
          <w:rFonts w:ascii="Arial" w:cs="Arial" w:eastAsia="Arial" w:hAnsi="Arial"/>
          <w:b/>
          <w:bCs/>
          <w:color w:val="F0448A"/>
          <w:sz w:val="22"/>
          <w:szCs w:val="22"/>
        </w:rPr>
        <w:t xml:space="preserve">Mechanism of Action</w:t>
      </w:r>
    </w:p>
    <w:p>
      <w:pPr>
        <w:pStyle w:val="ListParagraph"/>
        <w:numPr>
          <w:ilvl w:val="0"/>
          <w:numId w:val="2"/>
        </w:numPr>
        <w:spacing w:after="40" w:before="40"/>
      </w:pPr>
      <w:r>
        <w:rPr>
          <w:rFonts w:ascii="Arial" w:cs="Arial" w:eastAsia="Arial" w:hAnsi="Arial"/>
          <w:sz w:val="20"/>
          <w:szCs w:val="20"/>
        </w:rPr>
        <w:t xml:space="preserve">Synthetic melanocortin analog — activates MC1R to stimulate melanin production for deep tanning</w:t>
      </w:r>
    </w:p>
    <w:p>
      <w:pPr>
        <w:pStyle w:val="ListParagraph"/>
        <w:numPr>
          <w:ilvl w:val="0"/>
          <w:numId w:val="2"/>
        </w:numPr>
        <w:spacing w:after="40" w:before="40"/>
      </w:pPr>
      <w:r>
        <w:rPr>
          <w:rFonts w:ascii="Arial" w:cs="Arial" w:eastAsia="Arial" w:hAnsi="Arial"/>
          <w:sz w:val="20"/>
          <w:szCs w:val="20"/>
        </w:rPr>
        <w:t xml:space="preserve">Activates MC4R to suppress appetite and increase satiety — synergistic with Retatrutide</w:t>
      </w:r>
    </w:p>
    <w:p>
      <w:pPr>
        <w:pStyle w:val="ListParagraph"/>
        <w:numPr>
          <w:ilvl w:val="0"/>
          <w:numId w:val="2"/>
        </w:numPr>
        <w:spacing w:after="40" w:before="40"/>
      </w:pPr>
      <w:r>
        <w:rPr>
          <w:rFonts w:ascii="Arial" w:cs="Arial" w:eastAsia="Arial" w:hAnsi="Arial"/>
          <w:sz w:val="20"/>
          <w:szCs w:val="20"/>
        </w:rPr>
        <w:t xml:space="preserve">Mild libido enhancement via central melanocortin pathways</w:t>
      </w:r>
    </w:p>
    <w:p>
      <w:pPr>
        <w:pStyle w:val="ListParagraph"/>
        <w:numPr>
          <w:ilvl w:val="0"/>
          <w:numId w:val="2"/>
        </w:numPr>
        <w:spacing w:after="40" w:before="40"/>
      </w:pPr>
      <w:r>
        <w:rPr>
          <w:rFonts w:ascii="Arial" w:cs="Arial" w:eastAsia="Arial" w:hAnsi="Arial"/>
          <w:sz w:val="20"/>
          <w:szCs w:val="20"/>
        </w:rPr>
        <w:t xml:space="preserve">Start with low doses to assess response — individual sensitivity varies significantly</w:t>
      </w:r>
    </w:p>
    <w:p>
      <w:pPr>
        <w:spacing w:after="60" w:before="60"/>
      </w:pPr>
      <w:r>
        <w:t xml:space="preserve"/>
      </w:r>
    </w:p>
    <w:p>
      <w:pPr>
        <w:spacing w:after="80" w:before="160"/>
      </w:pPr>
      <w:r>
        <w:rPr>
          <w:rFonts w:ascii="Arial" w:cs="Arial" w:eastAsia="Arial" w:hAnsi="Arial"/>
          <w:b/>
          <w:bCs/>
          <w:color w:val="F0448A"/>
          <w:sz w:val="22"/>
          <w:szCs w:val="22"/>
        </w:rPr>
        <w:t xml:space="preserve">Benefits — Mapped to Lisa's Goals</w:t>
      </w:r>
    </w:p>
    <w:p>
      <w:pPr>
        <w:pStyle w:val="ListParagraph"/>
        <w:numPr>
          <w:ilvl w:val="0"/>
          <w:numId w:val="2"/>
        </w:numPr>
        <w:spacing w:after="40" w:before="40"/>
      </w:pPr>
      <w:r>
        <w:rPr>
          <w:rFonts w:ascii="Arial" w:cs="Arial" w:eastAsia="Arial" w:hAnsi="Arial"/>
          <w:sz w:val="20"/>
          <w:szCs w:val="20"/>
        </w:rPr>
        <w:t xml:space="preserve">Accelerates tanning — Lisa will build a base tan ahead of the naked 5k on June 6</w:t>
      </w:r>
    </w:p>
    <w:p>
      <w:pPr>
        <w:pStyle w:val="ListParagraph"/>
        <w:numPr>
          <w:ilvl w:val="0"/>
          <w:numId w:val="2"/>
        </w:numPr>
        <w:spacing w:after="40" w:before="40"/>
      </w:pPr>
      <w:r>
        <w:rPr>
          <w:rFonts w:ascii="Arial" w:cs="Arial" w:eastAsia="Arial" w:hAnsi="Arial"/>
          <w:sz w:val="20"/>
          <w:szCs w:val="20"/>
        </w:rPr>
        <w:t xml:space="preserve">Appetite suppression adds a secondary layer of caloric control on top of Retatrutide</w:t>
      </w:r>
    </w:p>
    <w:p>
      <w:pPr>
        <w:pStyle w:val="ListParagraph"/>
        <w:numPr>
          <w:ilvl w:val="0"/>
          <w:numId w:val="2"/>
        </w:numPr>
        <w:spacing w:after="40" w:before="40"/>
      </w:pPr>
      <w:r>
        <w:rPr>
          <w:rFonts w:ascii="Arial" w:cs="Arial" w:eastAsia="Arial" w:hAnsi="Arial"/>
          <w:sz w:val="20"/>
          <w:szCs w:val="20"/>
        </w:rPr>
        <w:t xml:space="preserve">Works especially well when combined with sun/UV exposure — activates existing melanin</w:t>
      </w:r>
    </w:p>
    <w:p>
      <w:pPr>
        <w:pStyle w:val="ListParagraph"/>
        <w:numPr>
          <w:ilvl w:val="0"/>
          <w:numId w:val="2"/>
        </w:numPr>
        <w:spacing w:after="40" w:before="40"/>
      </w:pPr>
      <w:r>
        <w:rPr>
          <w:rFonts w:ascii="Arial" w:cs="Arial" w:eastAsia="Arial" w:hAnsi="Arial"/>
          <w:sz w:val="20"/>
          <w:szCs w:val="20"/>
        </w:rPr>
        <w:t xml:space="preserve">No injection burden — tiny volumes, quick and painless</w:t>
      </w:r>
    </w:p>
    <w:p>
      <w:pPr>
        <w:spacing w:after="60" w:before="60"/>
      </w:pPr>
      <w:r>
        <w:t xml:space="preserve"/>
      </w:r>
    </w:p>
    <w:p>
      <w:pPr>
        <w:spacing w:after="80" w:before="160"/>
      </w:pPr>
      <w:r>
        <w:rPr>
          <w:rFonts w:ascii="Arial" w:cs="Arial" w:eastAsia="Arial" w:hAnsi="Arial"/>
          <w:b/>
          <w:bCs/>
          <w:color w:val="F0448A"/>
          <w:sz w:val="22"/>
          <w:szCs w:val="22"/>
        </w:rPr>
        <w:t xml:space="preserve">Step 1: Reconstitution</w:t>
      </w:r>
    </w:p>
    <w:p>
      <w:pPr>
        <w:spacing w:after="60" w:before="60"/>
      </w:pPr>
      <w:r>
        <w:rPr>
          <w:rFonts w:ascii="Arial" w:cs="Arial" w:eastAsia="Arial" w:hAnsi="Arial"/>
          <w:b w:val="false"/>
          <w:bCs w:val="false"/>
          <w:color w:val="1A1A1A"/>
          <w:sz w:val="20"/>
          <w:szCs w:val="20"/>
        </w:rPr>
        <w:t xml:space="preserve">Vial size: 100 mg</w:t>
      </w:r>
    </w:p>
    <w:p>
      <w:pPr>
        <w:spacing w:after="60" w:before="60"/>
      </w:pPr>
      <w:r>
        <w:rPr>
          <w:rFonts w:ascii="Arial" w:cs="Arial" w:eastAsia="Arial" w:hAnsi="Arial"/>
          <w:b w:val="false"/>
          <w:bCs w:val="false"/>
          <w:color w:val="1A1A1A"/>
          <w:sz w:val="20"/>
          <w:szCs w:val="20"/>
        </w:rPr>
        <w:t xml:space="preserve">Add 10.0 mL bacteriostatic water → 10 mg/mL concentration</w:t>
      </w:r>
    </w:p>
    <w:p>
      <w:pPr>
        <w:spacing w:after="60" w:before="60"/>
      </w:pPr>
      <w:r>
        <w:rPr>
          <w:rFonts w:ascii="Arial" w:cs="Arial" w:eastAsia="Arial" w:hAnsi="Arial"/>
          <w:b w:val="false"/>
          <w:bCs w:val="false"/>
          <w:color w:val="1A1A1A"/>
          <w:sz w:val="20"/>
          <w:szCs w:val="20"/>
        </w:rPr>
        <w:t xml:space="preserve">Each 0.1 mL = 1.0 mg | Each tick (0.02 mL) = 0.2 mg (200 mcg)</w:t>
      </w:r>
    </w:p>
    <w:p>
      <w:pPr>
        <w:spacing w:after="60" w:before="60"/>
      </w:pPr>
      <w:r>
        <w:rPr>
          <w:rFonts w:ascii="Arial" w:cs="Arial" w:eastAsia="Arial" w:hAnsi="Arial"/>
          <w:b w:val="false"/>
          <w:bCs w:val="false"/>
          <w:color w:val="555555"/>
          <w:sz w:val="20"/>
          <w:szCs w:val="20"/>
        </w:rPr>
        <w:t xml:space="preserve">Inject subcutaneously: abdomen or outer thigh. Refrigerate after reconstitution.</w:t>
      </w:r>
    </w:p>
    <w:p>
      <w:pPr>
        <w:spacing w:after="60" w:before="60"/>
      </w:pPr>
      <w:r>
        <w:rPr>
          <w:rFonts w:ascii="Arial" w:cs="Arial" w:eastAsia="Arial" w:hAnsi="Arial"/>
          <w:b w:val="false"/>
          <w:bCs w:val="false"/>
          <w:color w:val="555555"/>
          <w:sz w:val="20"/>
          <w:szCs w:val="20"/>
        </w:rPr>
        <w:t xml:space="preserve">Time injections 30–60 minutes before UV exposure for best tanning effect.</w:t>
      </w:r>
    </w:p>
    <w:p>
      <w:pPr>
        <w:spacing w:after="60" w:before="60"/>
      </w:pPr>
      <w:r>
        <w:t xml:space="preserve"/>
      </w:r>
    </w:p>
    <w:p>
      <w:pPr>
        <w:spacing w:after="80" w:before="160"/>
      </w:pPr>
      <w:r>
        <w:rPr>
          <w:rFonts w:ascii="Arial" w:cs="Arial" w:eastAsia="Arial" w:hAnsi="Arial"/>
          <w:b/>
          <w:bCs/>
          <w:color w:val="F0448A"/>
          <w:sz w:val="22"/>
          <w:szCs w:val="22"/>
        </w:rPr>
        <w:t xml:space="preserve">Conversion Reference (10 mg/mL | 5 ticks per 0.1 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EC8B0" w:sz="1"/>
              <w:left w:val="single" w:color="1EC8B0" w:sz="1"/>
              <w:bottom w:val="single" w:color="1EC8B0" w:sz="1"/>
              <w:right w:val="single" w:color="1EC8B0" w:sz="1"/>
            </w:tcBorders>
            <w:shd w:fill="1EC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Dose (mg)</w:t>
            </w:r>
          </w:p>
        </w:tc>
        <w:tc>
          <w:tcPr>
            <w:tcW w:type="dxa" w:w="3120"/>
            <w:tcBorders>
              <w:top w:val="single" w:color="1EC8B0" w:sz="1"/>
              <w:left w:val="single" w:color="1EC8B0" w:sz="1"/>
              <w:bottom w:val="single" w:color="1EC8B0" w:sz="1"/>
              <w:right w:val="single" w:color="1EC8B0" w:sz="1"/>
            </w:tcBorders>
            <w:shd w:fill="1EC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Volume (mL)</w:t>
            </w:r>
          </w:p>
        </w:tc>
        <w:tc>
          <w:tcPr>
            <w:tcW w:type="dxa" w:w="3120"/>
            <w:tcBorders>
              <w:top w:val="single" w:color="1EC8B0" w:sz="1"/>
              <w:left w:val="single" w:color="1EC8B0" w:sz="1"/>
              <w:bottom w:val="single" w:color="1EC8B0" w:sz="1"/>
              <w:right w:val="single" w:color="1EC8B0" w:sz="1"/>
            </w:tcBorders>
            <w:shd w:fill="1EC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Tick Marks</w:t>
            </w:r>
          </w:p>
        </w:tc>
      </w:tr>
      <w:tr>
        <w:tc>
          <w:tcPr>
            <w:tcW w:type="dxa" w:w="312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0.25</w:t>
            </w:r>
          </w:p>
        </w:tc>
        <w:tc>
          <w:tcPr>
            <w:tcW w:type="dxa" w:w="312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0.025</w:t>
            </w:r>
          </w:p>
        </w:tc>
        <w:tc>
          <w:tcPr>
            <w:tcW w:type="dxa" w:w="312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1.25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0.05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2.5</w:t>
            </w:r>
          </w:p>
        </w:tc>
      </w:tr>
      <w:tr>
        <w:tc>
          <w:tcPr>
            <w:tcW w:type="dxa" w:w="312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0.75</w:t>
            </w:r>
          </w:p>
        </w:tc>
        <w:tc>
          <w:tcPr>
            <w:tcW w:type="dxa" w:w="312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0.075</w:t>
            </w:r>
          </w:p>
        </w:tc>
        <w:tc>
          <w:tcPr>
            <w:tcW w:type="dxa" w:w="312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3.75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5</w:t>
            </w:r>
          </w:p>
        </w:tc>
      </w:tr>
    </w:tbl>
    <w:p>
      <w:pPr>
        <w:spacing w:after="60" w:before="60"/>
      </w:pPr>
      <w:r>
        <w:t xml:space="preserve"/>
      </w:r>
    </w:p>
    <w:p>
      <w:pPr>
        <w:spacing w:after="80" w:before="160"/>
      </w:pPr>
      <w:r>
        <w:rPr>
          <w:rFonts w:ascii="Arial" w:cs="Arial" w:eastAsia="Arial" w:hAnsi="Arial"/>
          <w:b/>
          <w:bCs/>
          <w:color w:val="F0448A"/>
          <w:sz w:val="22"/>
          <w:szCs w:val="22"/>
        </w:rPr>
        <w:t xml:space="preserve">Step 2: Dosing Protocols — 16-Week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1EC8B0" w:sz="1"/>
              <w:left w:val="single" w:color="1EC8B0" w:sz="1"/>
              <w:bottom w:val="single" w:color="1EC8B0" w:sz="1"/>
              <w:right w:val="single" w:color="1EC8B0" w:sz="1"/>
            </w:tcBorders>
            <w:shd w:fill="1EC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Protocol</w:t>
            </w:r>
          </w:p>
        </w:tc>
        <w:tc>
          <w:tcPr>
            <w:tcW w:type="dxa" w:w="1560"/>
            <w:tcBorders>
              <w:top w:val="single" w:color="1EC8B0" w:sz="1"/>
              <w:left w:val="single" w:color="1EC8B0" w:sz="1"/>
              <w:bottom w:val="single" w:color="1EC8B0" w:sz="1"/>
              <w:right w:val="single" w:color="1EC8B0" w:sz="1"/>
            </w:tcBorders>
            <w:shd w:fill="1EC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Dose</w:t>
            </w:r>
          </w:p>
        </w:tc>
        <w:tc>
          <w:tcPr>
            <w:tcW w:type="dxa" w:w="1560"/>
            <w:tcBorders>
              <w:top w:val="single" w:color="1EC8B0" w:sz="1"/>
              <w:left w:val="single" w:color="1EC8B0" w:sz="1"/>
              <w:bottom w:val="single" w:color="1EC8B0" w:sz="1"/>
              <w:right w:val="single" w:color="1EC8B0" w:sz="1"/>
            </w:tcBorders>
            <w:shd w:fill="1EC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mL</w:t>
            </w:r>
          </w:p>
        </w:tc>
        <w:tc>
          <w:tcPr>
            <w:tcW w:type="dxa" w:w="1560"/>
            <w:tcBorders>
              <w:top w:val="single" w:color="1EC8B0" w:sz="1"/>
              <w:left w:val="single" w:color="1EC8B0" w:sz="1"/>
              <w:bottom w:val="single" w:color="1EC8B0" w:sz="1"/>
              <w:right w:val="single" w:color="1EC8B0" w:sz="1"/>
            </w:tcBorders>
            <w:shd w:fill="1EC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Tick Marks</w:t>
            </w:r>
          </w:p>
        </w:tc>
        <w:tc>
          <w:tcPr>
            <w:tcW w:type="dxa" w:w="1560"/>
            <w:tcBorders>
              <w:top w:val="single" w:color="1EC8B0" w:sz="1"/>
              <w:left w:val="single" w:color="1EC8B0" w:sz="1"/>
              <w:bottom w:val="single" w:color="1EC8B0" w:sz="1"/>
              <w:right w:val="single" w:color="1EC8B0" w:sz="1"/>
            </w:tcBorders>
            <w:shd w:fill="1EC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Frequency</w:t>
            </w:r>
          </w:p>
        </w:tc>
        <w:tc>
          <w:tcPr>
            <w:tcW w:type="dxa" w:w="1560"/>
            <w:tcBorders>
              <w:top w:val="single" w:color="1EC8B0" w:sz="1"/>
              <w:left w:val="single" w:color="1EC8B0" w:sz="1"/>
              <w:bottom w:val="single" w:color="1EC8B0" w:sz="1"/>
              <w:right w:val="single" w:color="1EC8B0" w:sz="1"/>
            </w:tcBorders>
            <w:shd w:fill="1EC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Cost/12wks</w:t>
            </w:r>
          </w:p>
        </w:tc>
      </w:tr>
      <w:tr>
        <w:tc>
          <w:tcPr>
            <w:tcW w:type="dxa" w:w="156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Conservative</w:t>
            </w:r>
          </w:p>
        </w:tc>
        <w:tc>
          <w:tcPr>
            <w:tcW w:type="dxa" w:w="156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0.25 mg</w:t>
            </w:r>
          </w:p>
        </w:tc>
        <w:tc>
          <w:tcPr>
            <w:tcW w:type="dxa" w:w="156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0.025 mL</w:t>
            </w:r>
          </w:p>
        </w:tc>
        <w:tc>
          <w:tcPr>
            <w:tcW w:type="dxa" w:w="156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1.25 ticks</w:t>
            </w:r>
          </w:p>
        </w:tc>
        <w:tc>
          <w:tcPr>
            <w:tcW w:type="dxa" w:w="156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3×/week</w:t>
            </w:r>
          </w:p>
        </w:tc>
        <w:tc>
          <w:tcPr>
            <w:tcW w:type="dxa" w:w="156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~$2</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Moderate ★</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0.5 mg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0.05 mL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2.5 ticks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5×/week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~$5</w:t>
            </w:r>
          </w:p>
        </w:tc>
      </w:tr>
      <w:tr>
        <w:tc>
          <w:tcPr>
            <w:tcW w:type="dxa" w:w="156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Aggressive</w:t>
            </w:r>
          </w:p>
        </w:tc>
        <w:tc>
          <w:tcPr>
            <w:tcW w:type="dxa" w:w="156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1.0 mg</w:t>
            </w:r>
          </w:p>
        </w:tc>
        <w:tc>
          <w:tcPr>
            <w:tcW w:type="dxa" w:w="156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0.1 mL</w:t>
            </w:r>
          </w:p>
        </w:tc>
        <w:tc>
          <w:tcPr>
            <w:tcW w:type="dxa" w:w="156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5 ticks</w:t>
            </w:r>
          </w:p>
        </w:tc>
        <w:tc>
          <w:tcPr>
            <w:tcW w:type="dxa" w:w="156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Daily</w:t>
            </w:r>
          </w:p>
        </w:tc>
        <w:tc>
          <w:tcPr>
            <w:tcW w:type="dxa" w:w="156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~$10</w:t>
            </w:r>
          </w:p>
        </w:tc>
      </w:tr>
    </w:tbl>
    <w:p>
      <w:pPr>
        <w:spacing w:after="60" w:before="60"/>
      </w:pPr>
      <w:r>
        <w:rPr>
          <w:rFonts w:ascii="Arial" w:cs="Arial" w:eastAsia="Arial" w:hAnsi="Arial"/>
          <w:b/>
          <w:bCs/>
          <w:color w:val="F0448A"/>
          <w:sz w:val="20"/>
          <w:szCs w:val="20"/>
        </w:rPr>
        <w:t xml:space="preserve">★ Moderate Protocol recommended. Vial lasts the entire 16 weeks and beyond at this dose.</w:t>
      </w:r>
    </w:p>
    <w:p>
      <w:pPr>
        <w:spacing w:after="60" w:before="60"/>
      </w:pPr>
      <w:r>
        <w:t xml:space="preserve"/>
      </w:r>
    </w:p>
    <w:p>
      <w:pPr>
        <w:spacing w:after="80" w:before="160"/>
      </w:pPr>
      <w:r>
        <w:rPr>
          <w:rFonts w:ascii="Arial" w:cs="Arial" w:eastAsia="Arial" w:hAnsi="Arial"/>
          <w:b/>
          <w:bCs/>
          <w:color w:val="F0448A"/>
          <w:sz w:val="22"/>
          <w:szCs w:val="22"/>
        </w:rPr>
        <w:t xml:space="preserve">Loading Phase (Weeks 1–2)</w:t>
      </w:r>
    </w:p>
    <w:p>
      <w:pPr>
        <w:pStyle w:val="ListParagraph"/>
        <w:numPr>
          <w:ilvl w:val="0"/>
          <w:numId w:val="2"/>
        </w:numPr>
        <w:spacing w:after="40" w:before="40"/>
      </w:pPr>
      <w:r>
        <w:rPr>
          <w:rFonts w:ascii="Arial" w:cs="Arial" w:eastAsia="Arial" w:hAnsi="Arial"/>
          <w:sz w:val="20"/>
          <w:szCs w:val="20"/>
        </w:rPr>
        <w:t xml:space="preserve">Start at 0.25 mg every other day to assess sensitivity (flushing, nausea are common early)</w:t>
      </w:r>
    </w:p>
    <w:p>
      <w:pPr>
        <w:pStyle w:val="ListParagraph"/>
        <w:numPr>
          <w:ilvl w:val="0"/>
          <w:numId w:val="2"/>
        </w:numPr>
        <w:spacing w:after="40" w:before="40"/>
      </w:pPr>
      <w:r>
        <w:rPr>
          <w:rFonts w:ascii="Arial" w:cs="Arial" w:eastAsia="Arial" w:hAnsi="Arial"/>
          <w:sz w:val="20"/>
          <w:szCs w:val="20"/>
        </w:rPr>
        <w:t xml:space="preserve">After 1 week if tolerated, move to moderate dose</w:t>
      </w:r>
    </w:p>
    <w:p>
      <w:pPr>
        <w:pStyle w:val="ListParagraph"/>
        <w:numPr>
          <w:ilvl w:val="0"/>
          <w:numId w:val="2"/>
        </w:numPr>
        <w:spacing w:after="40" w:before="40"/>
      </w:pPr>
      <w:r>
        <w:rPr>
          <w:rFonts w:ascii="Arial" w:cs="Arial" w:eastAsia="Arial" w:hAnsi="Arial"/>
          <w:sz w:val="20"/>
          <w:szCs w:val="20"/>
        </w:rPr>
        <w:t xml:space="preserve">Common side effects: facial flushing, mild nausea, spontaneous erections (MC4R effect) — subside with continued use</w:t>
      </w:r>
    </w:p>
    <w:p>
      <w:pPr>
        <w:pStyle w:val="ListParagraph"/>
        <w:numPr>
          <w:ilvl w:val="0"/>
          <w:numId w:val="2"/>
        </w:numPr>
        <w:spacing w:after="40" w:before="40"/>
      </w:pPr>
      <w:r>
        <w:rPr>
          <w:rFonts w:ascii="Arial" w:cs="Arial" w:eastAsia="Arial" w:hAnsi="Arial"/>
          <w:sz w:val="20"/>
          <w:szCs w:val="20"/>
        </w:rPr>
        <w:t xml:space="preserve">Combine with 15–20 min sun exposure 3–4x/week for maximum pigmentation results</w:t>
      </w:r>
    </w:p>
    <w:p>
      <w:r>
        <w:br w:type="page"/>
      </w:r>
    </w:p>
    <w:p>
      <w:pPr>
        <w:pBdr>
          <w:bottom w:val="single" w:color="1EC8B0" w:sz="6" w:space="4"/>
        </w:pBdr>
        <w:spacing w:after="120" w:before="240"/>
      </w:pPr>
      <w:r>
        <w:rPr>
          <w:rFonts w:ascii="Arial" w:cs="Arial" w:eastAsia="Arial" w:hAnsi="Arial"/>
          <w:b/>
          <w:bCs/>
          <w:color w:val="1EC8B0"/>
          <w:sz w:val="28"/>
          <w:szCs w:val="28"/>
        </w:rPr>
        <w:t xml:space="preserve">MONITORING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1EC8B0" w:sz="1"/>
              <w:left w:val="single" w:color="1EC8B0" w:sz="1"/>
              <w:bottom w:val="single" w:color="1EC8B0" w:sz="1"/>
              <w:right w:val="single" w:color="1EC8B0" w:sz="1"/>
            </w:tcBorders>
            <w:shd w:fill="1EC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Checkpoint</w:t>
            </w:r>
          </w:p>
        </w:tc>
        <w:tc>
          <w:tcPr>
            <w:tcW w:type="dxa" w:w="3510"/>
            <w:tcBorders>
              <w:top w:val="single" w:color="1EC8B0" w:sz="1"/>
              <w:left w:val="single" w:color="1EC8B0" w:sz="1"/>
              <w:bottom w:val="single" w:color="1EC8B0" w:sz="1"/>
              <w:right w:val="single" w:color="1EC8B0" w:sz="1"/>
            </w:tcBorders>
            <w:shd w:fill="1EC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Markers</w:t>
            </w:r>
          </w:p>
        </w:tc>
        <w:tc>
          <w:tcPr>
            <w:tcW w:type="dxa" w:w="3510"/>
            <w:tcBorders>
              <w:top w:val="single" w:color="1EC8B0" w:sz="1"/>
              <w:left w:val="single" w:color="1EC8B0" w:sz="1"/>
              <w:bottom w:val="single" w:color="1EC8B0" w:sz="1"/>
              <w:right w:val="single" w:color="1EC8B0" w:sz="1"/>
            </w:tcBorders>
            <w:shd w:fill="1EC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Action</w:t>
            </w:r>
          </w:p>
        </w:tc>
      </w:tr>
      <w:tr>
        <w:tc>
          <w:tcPr>
            <w:tcW w:type="dxa" w:w="234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Baseline (Week 0)</w:t>
            </w:r>
          </w:p>
        </w:tc>
        <w:tc>
          <w:tcPr>
            <w:tcW w:type="dxa" w:w="351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CBC, CMP, lipids, fasting glucose, IGF-1, testosterone panel</w:t>
            </w:r>
          </w:p>
        </w:tc>
        <w:tc>
          <w:tcPr>
            <w:tcW w:type="dxa" w:w="351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Before first injection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Midpoint (Week 6–8)</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Symptom check, side effect review, subjective markers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Adjust dose if needed</w:t>
            </w:r>
          </w:p>
        </w:tc>
      </w:tr>
      <w:tr>
        <w:tc>
          <w:tcPr>
            <w:tcW w:type="dxa" w:w="234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End of Cycle (Week 16)</w:t>
            </w:r>
          </w:p>
        </w:tc>
        <w:tc>
          <w:tcPr>
            <w:tcW w:type="dxa" w:w="351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Repeat baseline labs</w:t>
            </w:r>
          </w:p>
        </w:tc>
        <w:tc>
          <w:tcPr>
            <w:tcW w:type="dxa" w:w="351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Assess full cycle response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Weekly Subjective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Sleep, energy, appetite, recovery, injection site, mood (1–10)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Log in notes or app</w:t>
            </w:r>
          </w:p>
        </w:tc>
      </w:tr>
    </w:tbl>
    <w:p>
      <w:pPr>
        <w:spacing w:after="60" w:before="60"/>
      </w:pPr>
      <w:r>
        <w:t xml:space="preserve"/>
      </w:r>
    </w:p>
    <w:p>
      <w:pPr>
        <w:spacing w:after="80" w:before="160"/>
      </w:pPr>
      <w:r>
        <w:rPr>
          <w:rFonts w:ascii="Arial" w:cs="Arial" w:eastAsia="Arial" w:hAnsi="Arial"/>
          <w:b/>
          <w:bCs/>
          <w:color w:val="F0448A"/>
          <w:sz w:val="22"/>
          <w:szCs w:val="22"/>
        </w:rPr>
        <w:t xml:space="preserve">Red Lines — Stop and Contact Immediately</w:t>
      </w:r>
    </w:p>
    <w:p>
      <w:pPr>
        <w:pStyle w:val="ListParagraph"/>
        <w:numPr>
          <w:ilvl w:val="0"/>
          <w:numId w:val="2"/>
        </w:numPr>
        <w:spacing w:after="40" w:before="40"/>
      </w:pPr>
      <w:r>
        <w:rPr>
          <w:rFonts w:ascii="Arial" w:cs="Arial" w:eastAsia="Arial" w:hAnsi="Arial"/>
          <w:sz w:val="20"/>
          <w:szCs w:val="20"/>
        </w:rPr>
        <w:t xml:space="preserve">Hematocrit critically elevated, liver enzymes 3× upper limit, or diabetic glucose → physician referral before continuing</w:t>
      </w:r>
    </w:p>
    <w:p>
      <w:pPr>
        <w:pStyle w:val="ListParagraph"/>
        <w:numPr>
          <w:ilvl w:val="0"/>
          <w:numId w:val="2"/>
        </w:numPr>
        <w:spacing w:after="40" w:before="40"/>
      </w:pPr>
      <w:r>
        <w:rPr>
          <w:rFonts w:ascii="Arial" w:cs="Arial" w:eastAsia="Arial" w:hAnsi="Arial"/>
          <w:sz w:val="20"/>
          <w:szCs w:val="20"/>
        </w:rPr>
        <w:t xml:space="preserve">Anaphylaxis, chest pain, or cardiac symptoms → emergency medical care immediately</w:t>
      </w:r>
    </w:p>
    <w:p>
      <w:pPr>
        <w:pStyle w:val="ListParagraph"/>
        <w:numPr>
          <w:ilvl w:val="0"/>
          <w:numId w:val="2"/>
        </w:numPr>
        <w:spacing w:after="40" w:before="40"/>
      </w:pPr>
      <w:r>
        <w:rPr>
          <w:rFonts w:ascii="Arial" w:cs="Arial" w:eastAsia="Arial" w:hAnsi="Arial"/>
          <w:sz w:val="20"/>
          <w:szCs w:val="20"/>
        </w:rPr>
        <w:t xml:space="preserve">Severe nausea/vomiting lasting more than 48 hours → hold dose, contact Brad</w:t>
      </w:r>
    </w:p>
    <w:p>
      <w:pPr>
        <w:spacing w:after="60" w:before="60"/>
      </w:pPr>
      <w:r>
        <w:t xml:space="preserve"/>
      </w:r>
    </w:p>
    <w:p>
      <w:pPr>
        <w:spacing w:after="80" w:before="160"/>
      </w:pPr>
      <w:r>
        <w:rPr>
          <w:rFonts w:ascii="Arial" w:cs="Arial" w:eastAsia="Arial" w:hAnsi="Arial"/>
          <w:b/>
          <w:bCs/>
          <w:color w:val="F0448A"/>
          <w:sz w:val="22"/>
          <w:szCs w:val="22"/>
        </w:rPr>
        <w:t xml:space="preserve">Weekly Tracking</w:t>
      </w:r>
    </w:p>
    <w:p>
      <w:pPr>
        <w:pStyle w:val="ListParagraph"/>
        <w:numPr>
          <w:ilvl w:val="0"/>
          <w:numId w:val="2"/>
        </w:numPr>
        <w:spacing w:after="40" w:before="40"/>
      </w:pPr>
      <w:r>
        <w:rPr>
          <w:rFonts w:ascii="Arial" w:cs="Arial" w:eastAsia="Arial" w:hAnsi="Arial"/>
          <w:sz w:val="20"/>
          <w:szCs w:val="20"/>
        </w:rPr>
        <w:t xml:space="preserve">Scale weight (same day, same time — Wednesday morning fasted recommended)</w:t>
      </w:r>
    </w:p>
    <w:p>
      <w:pPr>
        <w:pStyle w:val="ListParagraph"/>
        <w:numPr>
          <w:ilvl w:val="0"/>
          <w:numId w:val="2"/>
        </w:numPr>
        <w:spacing w:after="40" w:before="40"/>
      </w:pPr>
      <w:r>
        <w:rPr>
          <w:rFonts w:ascii="Arial" w:cs="Arial" w:eastAsia="Arial" w:hAnsi="Arial"/>
          <w:sz w:val="20"/>
          <w:szCs w:val="20"/>
        </w:rPr>
        <w:t xml:space="preserve">Energy level (1–10)</w:t>
      </w:r>
    </w:p>
    <w:p>
      <w:pPr>
        <w:pStyle w:val="ListParagraph"/>
        <w:numPr>
          <w:ilvl w:val="0"/>
          <w:numId w:val="2"/>
        </w:numPr>
        <w:spacing w:after="40" w:before="40"/>
      </w:pPr>
      <w:r>
        <w:rPr>
          <w:rFonts w:ascii="Arial" w:cs="Arial" w:eastAsia="Arial" w:hAnsi="Arial"/>
          <w:sz w:val="20"/>
          <w:szCs w:val="20"/>
        </w:rPr>
        <w:t xml:space="preserve">Appetite and cravings (1–10)</w:t>
      </w:r>
    </w:p>
    <w:p>
      <w:pPr>
        <w:pStyle w:val="ListParagraph"/>
        <w:numPr>
          <w:ilvl w:val="0"/>
          <w:numId w:val="2"/>
        </w:numPr>
        <w:spacing w:after="40" w:before="40"/>
      </w:pPr>
      <w:r>
        <w:rPr>
          <w:rFonts w:ascii="Arial" w:cs="Arial" w:eastAsia="Arial" w:hAnsi="Arial"/>
          <w:sz w:val="20"/>
          <w:szCs w:val="20"/>
        </w:rPr>
        <w:t xml:space="preserve">Sleep quality (1–10)</w:t>
      </w:r>
    </w:p>
    <w:p>
      <w:pPr>
        <w:pStyle w:val="ListParagraph"/>
        <w:numPr>
          <w:ilvl w:val="0"/>
          <w:numId w:val="2"/>
        </w:numPr>
        <w:spacing w:after="40" w:before="40"/>
      </w:pPr>
      <w:r>
        <w:rPr>
          <w:rFonts w:ascii="Arial" w:cs="Arial" w:eastAsia="Arial" w:hAnsi="Arial"/>
          <w:sz w:val="20"/>
          <w:szCs w:val="20"/>
        </w:rPr>
        <w:t xml:space="preserve">Gym performance — log PRs, note recovery feel post-session</w:t>
      </w:r>
    </w:p>
    <w:p>
      <w:pPr>
        <w:pStyle w:val="ListParagraph"/>
        <w:numPr>
          <w:ilvl w:val="0"/>
          <w:numId w:val="2"/>
        </w:numPr>
        <w:spacing w:after="40" w:before="40"/>
      </w:pPr>
      <w:r>
        <w:rPr>
          <w:rFonts w:ascii="Arial" w:cs="Arial" w:eastAsia="Arial" w:hAnsi="Arial"/>
          <w:sz w:val="20"/>
          <w:szCs w:val="20"/>
        </w:rPr>
        <w:t xml:space="preserve">Injection site condition — redness, swelling, lumps</w:t>
      </w:r>
    </w:p>
    <w:p>
      <w:r>
        <w:br w:type="page"/>
      </w:r>
    </w:p>
    <w:p>
      <w:pPr>
        <w:pBdr>
          <w:bottom w:val="single" w:color="1EC8B0" w:sz="6" w:space="4"/>
        </w:pBdr>
        <w:spacing w:after="120" w:before="240"/>
      </w:pPr>
      <w:r>
        <w:rPr>
          <w:rFonts w:ascii="Arial" w:cs="Arial" w:eastAsia="Arial" w:hAnsi="Arial"/>
          <w:b/>
          <w:bCs/>
          <w:color w:val="1EC8B0"/>
          <w:sz w:val="28"/>
          <w:szCs w:val="28"/>
        </w:rPr>
        <w:t xml:space="preserve">NUTRITION — Macro Framework</w:t>
      </w:r>
    </w:p>
    <w:p>
      <w:pPr>
        <w:spacing w:after="60" w:before="60"/>
      </w:pPr>
      <w:r>
        <w:rPr>
          <w:rFonts w:ascii="Arial" w:cs="Arial" w:eastAsia="Arial" w:hAnsi="Arial"/>
          <w:b w:val="false"/>
          <w:bCs w:val="false"/>
          <w:color w:val="1A1A1A"/>
          <w:sz w:val="20"/>
          <w:szCs w:val="20"/>
        </w:rPr>
        <w:t xml:space="preserve">Based on: 5'6" | 198 lbs | 33% BF (~133 lbs lean mass) | Goal: fat loss + lean mass preservation</w:t>
      </w:r>
    </w:p>
    <w:p>
      <w:pPr>
        <w:spacing w:after="60" w:before="60"/>
      </w:pPr>
      <w:r>
        <w:rPr>
          <w:rFonts w:ascii="Arial" w:cs="Arial" w:eastAsia="Arial" w:hAnsi="Arial"/>
          <w:b w:val="false"/>
          <w:bCs w:val="false"/>
          <w:color w:val="888888"/>
          <w:sz w:val="20"/>
          <w:szCs w:val="20"/>
        </w:rPr>
        <w:t xml:space="preserve">Will be refined after Hume body scan at Monday's session.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EC8B0" w:sz="1"/>
              <w:left w:val="single" w:color="1EC8B0" w:sz="1"/>
              <w:bottom w:val="single" w:color="1EC8B0" w:sz="1"/>
              <w:right w:val="single" w:color="1EC8B0" w:sz="1"/>
            </w:tcBorders>
            <w:shd w:fill="1EC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Macro</w:t>
            </w:r>
          </w:p>
        </w:tc>
        <w:tc>
          <w:tcPr>
            <w:tcW w:type="dxa" w:w="2340"/>
            <w:tcBorders>
              <w:top w:val="single" w:color="1EC8B0" w:sz="1"/>
              <w:left w:val="single" w:color="1EC8B0" w:sz="1"/>
              <w:bottom w:val="single" w:color="1EC8B0" w:sz="1"/>
              <w:right w:val="single" w:color="1EC8B0" w:sz="1"/>
            </w:tcBorders>
            <w:shd w:fill="1EC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Training Days</w:t>
            </w:r>
          </w:p>
        </w:tc>
        <w:tc>
          <w:tcPr>
            <w:tcW w:type="dxa" w:w="2340"/>
            <w:tcBorders>
              <w:top w:val="single" w:color="1EC8B0" w:sz="1"/>
              <w:left w:val="single" w:color="1EC8B0" w:sz="1"/>
              <w:bottom w:val="single" w:color="1EC8B0" w:sz="1"/>
              <w:right w:val="single" w:color="1EC8B0" w:sz="1"/>
            </w:tcBorders>
            <w:shd w:fill="1EC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 Days</w:t>
            </w:r>
          </w:p>
        </w:tc>
        <w:tc>
          <w:tcPr>
            <w:tcW w:type="dxa" w:w="2340"/>
            <w:tcBorders>
              <w:top w:val="single" w:color="1EC8B0" w:sz="1"/>
              <w:left w:val="single" w:color="1EC8B0" w:sz="1"/>
              <w:bottom w:val="single" w:color="1EC8B0" w:sz="1"/>
              <w:right w:val="single" w:color="1EC8B0" w:sz="1"/>
            </w:tcBorders>
            <w:shd w:fill="1EC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Active/Fire Days</w:t>
            </w:r>
          </w:p>
        </w:tc>
      </w:tr>
      <w:tr>
        <w:tc>
          <w:tcPr>
            <w:tcW w:type="dxa" w:w="234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Calories</w:t>
            </w:r>
          </w:p>
        </w:tc>
        <w:tc>
          <w:tcPr>
            <w:tcW w:type="dxa" w:w="234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~1,600</w:t>
            </w:r>
          </w:p>
        </w:tc>
        <w:tc>
          <w:tcPr>
            <w:tcW w:type="dxa" w:w="234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~1,500</w:t>
            </w:r>
          </w:p>
        </w:tc>
        <w:tc>
          <w:tcPr>
            <w:tcW w:type="dxa" w:w="234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~1,700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Protein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145g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145g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145g</w:t>
            </w:r>
          </w:p>
        </w:tc>
      </w:tr>
      <w:tr>
        <w:tc>
          <w:tcPr>
            <w:tcW w:type="dxa" w:w="234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Carbohydrates</w:t>
            </w:r>
          </w:p>
        </w:tc>
        <w:tc>
          <w:tcPr>
            <w:tcW w:type="dxa" w:w="234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130g</w:t>
            </w:r>
          </w:p>
        </w:tc>
        <w:tc>
          <w:tcPr>
            <w:tcW w:type="dxa" w:w="234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110g</w:t>
            </w:r>
          </w:p>
        </w:tc>
        <w:tc>
          <w:tcPr>
            <w:tcW w:type="dxa" w:w="2340"/>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150g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Fat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50g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48g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55g</w:t>
            </w:r>
          </w:p>
        </w:tc>
      </w:tr>
    </w:tbl>
    <w:p>
      <w:pPr>
        <w:spacing w:after="60" w:before="60"/>
      </w:pPr>
      <w:r>
        <w:t xml:space="preserve"/>
      </w:r>
    </w:p>
    <w:p>
      <w:pPr>
        <w:spacing w:after="80" w:before="160"/>
      </w:pPr>
      <w:r>
        <w:rPr>
          <w:rFonts w:ascii="Arial" w:cs="Arial" w:eastAsia="Arial" w:hAnsi="Arial"/>
          <w:b/>
          <w:bCs/>
          <w:color w:val="F0448A"/>
          <w:sz w:val="22"/>
          <w:szCs w:val="22"/>
        </w:rPr>
        <w:t xml:space="preserve">Protein Anchor</w:t>
      </w:r>
    </w:p>
    <w:p>
      <w:pPr>
        <w:pStyle w:val="ListParagraph"/>
        <w:numPr>
          <w:ilvl w:val="0"/>
          <w:numId w:val="2"/>
        </w:numPr>
        <w:spacing w:after="40" w:before="40"/>
      </w:pPr>
      <w:r>
        <w:rPr>
          <w:rFonts w:ascii="Arial" w:cs="Arial" w:eastAsia="Arial" w:hAnsi="Arial"/>
          <w:sz w:val="20"/>
          <w:szCs w:val="20"/>
        </w:rPr>
        <w:t xml:space="preserve">Target: 145g protein daily regardless of training day — ~1.09g per lb of lean mass</w:t>
      </w:r>
    </w:p>
    <w:p>
      <w:pPr>
        <w:pStyle w:val="ListParagraph"/>
        <w:numPr>
          <w:ilvl w:val="0"/>
          <w:numId w:val="2"/>
        </w:numPr>
        <w:spacing w:after="40" w:before="40"/>
      </w:pPr>
      <w:r>
        <w:rPr>
          <w:rFonts w:ascii="Arial" w:cs="Arial" w:eastAsia="Arial" w:hAnsi="Arial"/>
          <w:sz w:val="20"/>
          <w:szCs w:val="20"/>
        </w:rPr>
        <w:t xml:space="preserve">Metabolic Meals dinners provide ~35–45g — solid foundation</w:t>
      </w:r>
    </w:p>
    <w:p>
      <w:pPr>
        <w:pStyle w:val="ListParagraph"/>
        <w:numPr>
          <w:ilvl w:val="0"/>
          <w:numId w:val="2"/>
        </w:numPr>
        <w:spacing w:after="40" w:before="40"/>
      </w:pPr>
      <w:r>
        <w:rPr>
          <w:rFonts w:ascii="Arial" w:cs="Arial" w:eastAsia="Arial" w:hAnsi="Arial"/>
          <w:sz w:val="20"/>
          <w:szCs w:val="20"/>
        </w:rPr>
        <w:t xml:space="preserve">Lunch chicken salad adds ~35–40g — on track</w:t>
      </w:r>
    </w:p>
    <w:p>
      <w:pPr>
        <w:pStyle w:val="ListParagraph"/>
        <w:numPr>
          <w:ilvl w:val="0"/>
          <w:numId w:val="2"/>
        </w:numPr>
        <w:spacing w:after="40" w:before="40"/>
      </w:pPr>
      <w:r>
        <w:rPr>
          <w:rFonts w:ascii="Arial" w:cs="Arial" w:eastAsia="Arial" w:hAnsi="Arial"/>
          <w:sz w:val="20"/>
          <w:szCs w:val="20"/>
        </w:rPr>
        <w:t xml:space="preserve">Gap to fill: ~65–75g via breakfast + snacks (eggs, Greek yogurt, protein shake)</w:t>
      </w:r>
    </w:p>
    <w:p>
      <w:pPr>
        <w:spacing w:after="60" w:before="60"/>
      </w:pPr>
      <w:r>
        <w:t xml:space="preserve"/>
      </w:r>
    </w:p>
    <w:p>
      <w:pPr>
        <w:spacing w:after="80" w:before="160"/>
      </w:pPr>
      <w:r>
        <w:rPr>
          <w:rFonts w:ascii="Arial" w:cs="Arial" w:eastAsia="Arial" w:hAnsi="Arial"/>
          <w:b/>
          <w:bCs/>
          <w:color w:val="F0448A"/>
          <w:sz w:val="22"/>
          <w:szCs w:val="22"/>
        </w:rPr>
        <w:t xml:space="preserve">Carb Timing</w:t>
      </w:r>
    </w:p>
    <w:p>
      <w:pPr>
        <w:pStyle w:val="ListParagraph"/>
        <w:numPr>
          <w:ilvl w:val="0"/>
          <w:numId w:val="2"/>
        </w:numPr>
        <w:spacing w:after="40" w:before="40"/>
      </w:pPr>
      <w:r>
        <w:rPr>
          <w:rFonts w:ascii="Arial" w:cs="Arial" w:eastAsia="Arial" w:hAnsi="Arial"/>
          <w:sz w:val="20"/>
          <w:szCs w:val="20"/>
        </w:rPr>
        <w:t xml:space="preserve">Front-load carbs around training sessions (pre/post workout window)</w:t>
      </w:r>
    </w:p>
    <w:p>
      <w:pPr>
        <w:pStyle w:val="ListParagraph"/>
        <w:numPr>
          <w:ilvl w:val="0"/>
          <w:numId w:val="2"/>
        </w:numPr>
        <w:spacing w:after="40" w:before="40"/>
      </w:pPr>
      <w:r>
        <w:rPr>
          <w:rFonts w:ascii="Arial" w:cs="Arial" w:eastAsia="Arial" w:hAnsi="Arial"/>
          <w:sz w:val="20"/>
          <w:szCs w:val="20"/>
        </w:rPr>
        <w:t xml:space="preserve">Lower carbs on rest days — shift to fat for energy</w:t>
      </w:r>
    </w:p>
    <w:p>
      <w:pPr>
        <w:pStyle w:val="ListParagraph"/>
        <w:numPr>
          <w:ilvl w:val="0"/>
          <w:numId w:val="2"/>
        </w:numPr>
        <w:spacing w:after="40" w:before="40"/>
      </w:pPr>
      <w:r>
        <w:rPr>
          <w:rFonts w:ascii="Arial" w:cs="Arial" w:eastAsia="Arial" w:hAnsi="Arial"/>
          <w:sz w:val="20"/>
          <w:szCs w:val="20"/>
        </w:rPr>
        <w:t xml:space="preserve">Evening sweets: Yasso bars (~14g carbs, ~5g protein) — budget 1 per day, evening</w:t>
      </w:r>
    </w:p>
    <w:p>
      <w:pPr>
        <w:spacing w:after="60" w:before="60"/>
      </w:pPr>
      <w:r>
        <w:t xml:space="preserve"/>
      </w:r>
    </w:p>
    <w:p>
      <w:pPr>
        <w:spacing w:after="80" w:before="160"/>
      </w:pPr>
      <w:r>
        <w:rPr>
          <w:rFonts w:ascii="Arial" w:cs="Arial" w:eastAsia="Arial" w:hAnsi="Arial"/>
          <w:b/>
          <w:bCs/>
          <w:color w:val="F0448A"/>
          <w:sz w:val="22"/>
          <w:szCs w:val="22"/>
        </w:rPr>
        <w:t xml:space="preserve">Practical Notes</w:t>
      </w:r>
    </w:p>
    <w:p>
      <w:pPr>
        <w:pStyle w:val="ListParagraph"/>
        <w:numPr>
          <w:ilvl w:val="0"/>
          <w:numId w:val="2"/>
        </w:numPr>
        <w:spacing w:after="40" w:before="40"/>
      </w:pPr>
      <w:r>
        <w:rPr>
          <w:rFonts w:ascii="Arial" w:cs="Arial" w:eastAsia="Arial" w:hAnsi="Arial"/>
          <w:sz w:val="20"/>
          <w:szCs w:val="20"/>
        </w:rPr>
        <w:t xml:space="preserve">Water: 1 gallon/day already — excellent, keep it up</w:t>
      </w:r>
    </w:p>
    <w:p>
      <w:pPr>
        <w:pStyle w:val="ListParagraph"/>
        <w:numPr>
          <w:ilvl w:val="0"/>
          <w:numId w:val="2"/>
        </w:numPr>
        <w:spacing w:after="40" w:before="40"/>
      </w:pPr>
      <w:r>
        <w:rPr>
          <w:rFonts w:ascii="Arial" w:cs="Arial" w:eastAsia="Arial" w:hAnsi="Arial"/>
          <w:sz w:val="20"/>
          <w:szCs w:val="20"/>
        </w:rPr>
        <w:t xml:space="preserve">Raw spinach: unlimited — zero caloric impact, high micronutrient density</w:t>
      </w:r>
    </w:p>
    <w:p>
      <w:pPr>
        <w:pStyle w:val="ListParagraph"/>
        <w:numPr>
          <w:ilvl w:val="0"/>
          <w:numId w:val="2"/>
        </w:numPr>
        <w:spacing w:after="40" w:before="40"/>
      </w:pPr>
      <w:r>
        <w:rPr>
          <w:rFonts w:ascii="Arial" w:cs="Arial" w:eastAsia="Arial" w:hAnsi="Arial"/>
          <w:sz w:val="20"/>
          <w:szCs w:val="20"/>
        </w:rPr>
        <w:t xml:space="preserve">Metabolic Meals: fits perfectly — ~450 cal, 35–45g protein aligns with targets</w:t>
      </w:r>
    </w:p>
    <w:p>
      <w:pPr>
        <w:pStyle w:val="ListParagraph"/>
        <w:numPr>
          <w:ilvl w:val="0"/>
          <w:numId w:val="2"/>
        </w:numPr>
        <w:spacing w:after="40" w:before="40"/>
      </w:pPr>
      <w:r>
        <w:rPr>
          <w:rFonts w:ascii="Arial" w:cs="Arial" w:eastAsia="Arial" w:hAnsi="Arial"/>
          <w:sz w:val="20"/>
          <w:szCs w:val="20"/>
        </w:rPr>
        <w:t xml:space="preserve">Mushrooms (non-psychedelic), olives, shellfish excluded from all meal recommendations 🍄✨</w:t>
      </w:r>
    </w:p>
    <w:p>
      <w:r>
        <w:br w:type="page"/>
      </w:r>
    </w:p>
    <w:p>
      <w:pPr>
        <w:pBdr>
          <w:bottom w:val="single" w:color="1EC8B0" w:sz="6" w:space="4"/>
        </w:pBdr>
        <w:spacing w:after="120" w:before="240"/>
      </w:pPr>
      <w:r>
        <w:rPr>
          <w:rFonts w:ascii="Arial" w:cs="Arial" w:eastAsia="Arial" w:hAnsi="Arial"/>
          <w:b/>
          <w:bCs/>
          <w:color w:val="1EC8B0"/>
          <w:sz w:val="28"/>
          <w:szCs w:val="28"/>
        </w:rPr>
        <w:t xml:space="preserve">CYCLE COST SUMMARY — 16-Week Healthy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404"/>
        <w:gridCol w:w="1872"/>
        <w:gridCol w:w="1872"/>
      </w:tblGrid>
      <w:tr>
        <w:trPr>
          <w:tblHeader/>
        </w:trPr>
        <w:tc>
          <w:tcPr>
            <w:tcW w:type="dxa" w:w="2808"/>
            <w:tcBorders>
              <w:top w:val="single" w:color="1EC8B0" w:sz="1"/>
              <w:left w:val="single" w:color="1EC8B0" w:sz="1"/>
              <w:bottom w:val="single" w:color="1EC8B0" w:sz="1"/>
              <w:right w:val="single" w:color="1EC8B0" w:sz="1"/>
            </w:tcBorders>
            <w:shd w:fill="1EC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Compound</w:t>
            </w:r>
          </w:p>
        </w:tc>
        <w:tc>
          <w:tcPr>
            <w:tcW w:type="dxa" w:w="1404"/>
            <w:tcBorders>
              <w:top w:val="single" w:color="1EC8B0" w:sz="1"/>
              <w:left w:val="single" w:color="1EC8B0" w:sz="1"/>
              <w:bottom w:val="single" w:color="1EC8B0" w:sz="1"/>
              <w:right w:val="single" w:color="1EC8B0" w:sz="1"/>
            </w:tcBorders>
            <w:shd w:fill="1EC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Protocol</w:t>
            </w:r>
          </w:p>
        </w:tc>
        <w:tc>
          <w:tcPr>
            <w:tcW w:type="dxa" w:w="1404"/>
            <w:tcBorders>
              <w:top w:val="single" w:color="1EC8B0" w:sz="1"/>
              <w:left w:val="single" w:color="1EC8B0" w:sz="1"/>
              <w:bottom w:val="single" w:color="1EC8B0" w:sz="1"/>
              <w:right w:val="single" w:color="1EC8B0" w:sz="1"/>
            </w:tcBorders>
            <w:shd w:fill="1EC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Cost</w:t>
            </w:r>
          </w:p>
        </w:tc>
        <w:tc>
          <w:tcPr>
            <w:tcW w:type="dxa" w:w="1872"/>
            <w:tcBorders>
              <w:top w:val="single" w:color="1EC8B0" w:sz="1"/>
              <w:left w:val="single" w:color="1EC8B0" w:sz="1"/>
              <w:bottom w:val="single" w:color="1EC8B0" w:sz="1"/>
              <w:right w:val="single" w:color="1EC8B0" w:sz="1"/>
            </w:tcBorders>
            <w:shd w:fill="1EC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Qty</w:t>
            </w:r>
          </w:p>
        </w:tc>
        <w:tc>
          <w:tcPr>
            <w:tcW w:type="dxa" w:w="1872"/>
            <w:tcBorders>
              <w:top w:val="single" w:color="1EC8B0" w:sz="1"/>
              <w:left w:val="single" w:color="1EC8B0" w:sz="1"/>
              <w:bottom w:val="single" w:color="1EC8B0" w:sz="1"/>
              <w:right w:val="single" w:color="1EC8B0" w:sz="1"/>
            </w:tcBorders>
            <w:shd w:fill="1EC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Duration</w:t>
            </w:r>
          </w:p>
        </w:tc>
      </w:tr>
      <w:tr>
        <w:tc>
          <w:tcPr>
            <w:tcW w:type="dxa" w:w="2808"/>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Retatrutide 24mg</w:t>
            </w:r>
          </w:p>
        </w:tc>
        <w:tc>
          <w:tcPr>
            <w:tcW w:type="dxa" w:w="1404"/>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Standard</w:t>
            </w:r>
          </w:p>
        </w:tc>
        <w:tc>
          <w:tcPr>
            <w:tcW w:type="dxa" w:w="1404"/>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$240</w:t>
            </w:r>
          </w:p>
        </w:tc>
        <w:tc>
          <w:tcPr>
            <w:tcW w:type="dxa" w:w="1872"/>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1 vial</w:t>
            </w:r>
          </w:p>
        </w:tc>
        <w:tc>
          <w:tcPr>
            <w:tcW w:type="dxa" w:w="1872"/>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~12.6 weeks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GHK-Cu 100mg</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Moderate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$50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1 vial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~16+ weeks</w:t>
            </w:r>
          </w:p>
        </w:tc>
      </w:tr>
      <w:tr>
        <w:tc>
          <w:tcPr>
            <w:tcW w:type="dxa" w:w="2808"/>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Melanotan II 100mg</w:t>
            </w:r>
          </w:p>
        </w:tc>
        <w:tc>
          <w:tcPr>
            <w:tcW w:type="dxa" w:w="1404"/>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Moderate</w:t>
            </w:r>
          </w:p>
        </w:tc>
        <w:tc>
          <w:tcPr>
            <w:tcW w:type="dxa" w:w="1404"/>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$33</w:t>
            </w:r>
          </w:p>
        </w:tc>
        <w:tc>
          <w:tcPr>
            <w:tcW w:type="dxa" w:w="1872"/>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1 vial</w:t>
            </w:r>
          </w:p>
        </w:tc>
        <w:tc>
          <w:tcPr>
            <w:tcW w:type="dxa" w:w="1872"/>
            <w:tcBorders>
              <w:top w:val="single" w:color="CCCCCC" w:sz="1"/>
              <w:left w:val="single" w:color="CCCCCC" w:sz="1"/>
              <w:bottom w:val="single" w:color="CCCCCC" w:sz="1"/>
              <w:right w:val="single" w:color="CCCCCC" w:sz="1"/>
            </w:tcBorders>
            <w:shd w:fill="E8FAF7" w:val="clear"/>
            <w:tcMar>
              <w:top w:type="dxa" w:w="80"/>
              <w:left w:type="dxa" w:w="120"/>
              <w:bottom w:type="dxa" w:w="80"/>
              <w:right w:type="dxa" w:w="120"/>
            </w:tcMar>
            <w:vAlign w:val="center"/>
          </w:tcPr>
          <w:p>
            <w:pPr>
              <w:jc w:val="center"/>
            </w:pPr>
            <w:r>
              <w:rPr>
                <w:rFonts w:ascii="Arial" w:cs="Arial" w:eastAsia="Arial" w:hAnsi="Arial"/>
                <w:sz w:val="18"/>
                <w:szCs w:val="18"/>
              </w:rPr>
              <w:t xml:space="preserve">16+ weeks</w:t>
            </w:r>
          </w:p>
        </w:tc>
      </w:tr>
    </w:tbl>
    <w:p>
      <w:pPr>
        <w:spacing w:after="60" w:before="60"/>
      </w:pPr>
      <w:r>
        <w:t xml:space="preserve"/>
      </w:r>
    </w:p>
    <w:p>
      <w:pPr>
        <w:spacing w:after="60" w:before="60"/>
      </w:pPr>
      <w:r>
        <w:rPr>
          <w:rFonts w:ascii="Arial" w:cs="Arial" w:eastAsia="Arial" w:hAnsi="Arial"/>
          <w:b/>
          <w:bCs/>
          <w:color w:val="1EC8B0"/>
          <w:sz w:val="20"/>
          <w:szCs w:val="20"/>
        </w:rPr>
        <w:t xml:space="preserve">TOTAL ESTIMATED COST (16 WEEKS): ~$323</w:t>
      </w:r>
    </w:p>
    <w:p>
      <w:pPr>
        <w:spacing w:after="60" w:before="60"/>
      </w:pPr>
      <w:r>
        <w:rPr>
          <w:rFonts w:ascii="Arial" w:cs="Arial" w:eastAsia="Arial" w:hAnsi="Arial"/>
          <w:b w:val="false"/>
          <w:bCs w:val="false"/>
          <w:color w:val="555555"/>
          <w:sz w:val="20"/>
          <w:szCs w:val="20"/>
        </w:rPr>
        <w:t xml:space="preserve">All three compounds from a single order cycle. Retatrutide is the primary investment.</w:t>
      </w:r>
    </w:p>
    <w:p>
      <w:pPr>
        <w:spacing w:after="60" w:before="60"/>
      </w:pPr>
      <w:r>
        <w:t xml:space="preserve"/>
      </w:r>
    </w:p>
    <w:p>
      <w:pPr>
        <w:spacing w:after="80" w:before="160"/>
      </w:pPr>
      <w:r>
        <w:rPr>
          <w:rFonts w:ascii="Arial" w:cs="Arial" w:eastAsia="Arial" w:hAnsi="Arial"/>
          <w:b/>
          <w:bCs/>
          <w:color w:val="F0448A"/>
          <w:sz w:val="22"/>
          <w:szCs w:val="22"/>
        </w:rPr>
        <w:t xml:space="preserve">Phase 2 Considerations (Weeks 16+)</w:t>
      </w:r>
    </w:p>
    <w:p>
      <w:pPr>
        <w:pStyle w:val="ListParagraph"/>
        <w:numPr>
          <w:ilvl w:val="0"/>
          <w:numId w:val="2"/>
        </w:numPr>
        <w:spacing w:after="40" w:before="40"/>
      </w:pPr>
      <w:r>
        <w:rPr>
          <w:rFonts w:ascii="Arial" w:cs="Arial" w:eastAsia="Arial" w:hAnsi="Arial"/>
          <w:sz w:val="20"/>
          <w:szCs w:val="20"/>
        </w:rPr>
        <w:t xml:space="preserve">CJC-1295 + Ipamorelin blend — GH optimization for continued body comp improvement</w:t>
      </w:r>
    </w:p>
    <w:p>
      <w:pPr>
        <w:pStyle w:val="ListParagraph"/>
        <w:numPr>
          <w:ilvl w:val="0"/>
          <w:numId w:val="2"/>
        </w:numPr>
        <w:spacing w:after="40" w:before="40"/>
      </w:pPr>
      <w:r>
        <w:rPr>
          <w:rFonts w:ascii="Arial" w:cs="Arial" w:eastAsia="Arial" w:hAnsi="Arial"/>
          <w:sz w:val="20"/>
          <w:szCs w:val="20"/>
        </w:rPr>
        <w:t xml:space="preserve">BPC-157 + TB-500 — add if knee issues flare during increased training volume</w:t>
      </w:r>
    </w:p>
    <w:p>
      <w:pPr>
        <w:pStyle w:val="ListParagraph"/>
        <w:numPr>
          <w:ilvl w:val="0"/>
          <w:numId w:val="2"/>
        </w:numPr>
        <w:spacing w:after="40" w:before="40"/>
      </w:pPr>
      <w:r>
        <w:rPr>
          <w:rFonts w:ascii="Arial" w:cs="Arial" w:eastAsia="Arial" w:hAnsi="Arial"/>
          <w:sz w:val="20"/>
          <w:szCs w:val="20"/>
        </w:rPr>
        <w:t xml:space="preserve">MOTS-C — longevity and metabolic support for sustained energy during fire season</w:t>
      </w:r>
    </w:p>
    <w:p>
      <w:r>
        <w:br w:type="page"/>
      </w:r>
    </w:p>
    <w:p>
      <w:pPr>
        <w:pBdr>
          <w:bottom w:val="single" w:color="1EC8B0" w:sz="6" w:space="4"/>
        </w:pBdr>
        <w:spacing w:after="120" w:before="240"/>
      </w:pPr>
      <w:r>
        <w:rPr>
          <w:rFonts w:ascii="Arial" w:cs="Arial" w:eastAsia="Arial" w:hAnsi="Arial"/>
          <w:b/>
          <w:bCs/>
          <w:color w:val="1EC8B0"/>
          <w:sz w:val="28"/>
          <w:szCs w:val="28"/>
        </w:rPr>
        <w:t xml:space="preserve">MEDICAL DISCLAIMER</w:t>
      </w:r>
    </w:p>
    <w:p>
      <w:pPr>
        <w:spacing w:after="60" w:before="60"/>
      </w:pPr>
      <w:r>
        <w:rPr>
          <w:rFonts w:ascii="Arial" w:cs="Arial" w:eastAsia="Arial" w:hAnsi="Arial"/>
          <w:b/>
          <w:bCs/>
          <w:color w:val="1A1A1A"/>
          <w:sz w:val="18"/>
          <w:szCs w:val="18"/>
        </w:rPr>
        <w:t xml:space="preserve">DISCLAIMER AND ASSUMPTION OF RISK</w:t>
      </w:r>
    </w:p>
    <w:p>
      <w:pPr>
        <w:spacing w:after="60" w:before="60"/>
      </w:pPr>
      <w:r>
        <w:t xml:space="preserve"/>
      </w:r>
    </w:p>
    <w:p>
      <w:pPr>
        <w:spacing w:after="60" w:before="60"/>
      </w:pPr>
      <w:r>
        <w:rPr>
          <w:rFonts w:ascii="Arial" w:cs="Arial" w:eastAsia="Arial" w:hAnsi="Arial"/>
          <w:b w:val="false"/>
          <w:bCs w:val="false"/>
          <w:color w:val="333333"/>
          <w:sz w:val="18"/>
          <w:szCs w:val="18"/>
        </w:rPr>
        <w:t xml:space="preserve">This document is prepared by Brad Yeager / Yeager's Gym for educational and informational purposes related to peptide research. It does not constitute medical advice, medical diagnosis, or a treatment plan.</w:t>
      </w:r>
    </w:p>
    <w:p>
      <w:pPr>
        <w:spacing w:after="60" w:before="60"/>
      </w:pPr>
      <w:r>
        <w:t xml:space="preserve"/>
      </w:r>
    </w:p>
    <w:p>
      <w:pPr>
        <w:spacing w:after="60" w:before="60"/>
      </w:pPr>
      <w:r>
        <w:rPr>
          <w:rFonts w:ascii="Arial" w:cs="Arial" w:eastAsia="Arial" w:hAnsi="Arial"/>
          <w:b w:val="false"/>
          <w:bCs w:val="false"/>
          <w:color w:val="333333"/>
          <w:sz w:val="18"/>
          <w:szCs w:val="18"/>
        </w:rPr>
        <w:t xml:space="preserve">NO PROVIDER-CLIENT MEDICAL RELATIONSHIP: Receipt of this document does not create a physician-patient, healthcare provider-client, or any other medical or clinical relationship between the recipient and Brad Yeager, Yeager's Gym, or any affiliated party. Brad Yeager is not a licensed physician, pharmacist, nurse practitioner, or medical provider.</w:t>
      </w:r>
    </w:p>
    <w:p>
      <w:pPr>
        <w:spacing w:after="60" w:before="60"/>
      </w:pPr>
      <w:r>
        <w:t xml:space="preserve"/>
      </w:r>
    </w:p>
    <w:p>
      <w:pPr>
        <w:spacing w:after="60" w:before="60"/>
      </w:pPr>
      <w:r>
        <w:rPr>
          <w:rFonts w:ascii="Arial" w:cs="Arial" w:eastAsia="Arial" w:hAnsi="Arial"/>
          <w:b w:val="false"/>
          <w:bCs w:val="false"/>
          <w:color w:val="333333"/>
          <w:sz w:val="18"/>
          <w:szCs w:val="18"/>
        </w:rPr>
        <w:t xml:space="preserve">NOT A SUBSTITUTE FOR MEDICAL CARE: The information contained herein is not intended to diagnose, treat, cure, mitigate, or prevent any disease or medical condition. Any individual considering the use of peptides should consult with a licensed healthcare provider regarding their individual health status, potential risks, and contraindications.</w:t>
      </w:r>
    </w:p>
    <w:p>
      <w:pPr>
        <w:spacing w:after="60" w:before="60"/>
      </w:pPr>
      <w:r>
        <w:t xml:space="preserve"/>
      </w:r>
    </w:p>
    <w:p>
      <w:pPr>
        <w:spacing w:after="60" w:before="60"/>
      </w:pPr>
      <w:r>
        <w:rPr>
          <w:rFonts w:ascii="Arial" w:cs="Arial" w:eastAsia="Arial" w:hAnsi="Arial"/>
          <w:b w:val="false"/>
          <w:bCs w:val="false"/>
          <w:color w:val="333333"/>
          <w:sz w:val="18"/>
          <w:szCs w:val="18"/>
        </w:rPr>
        <w:t xml:space="preserve">RESEARCH USE: Compounds referenced in this document may include substances available for research purposes only and may not be FDA-approved for human therapeutic use.</w:t>
      </w:r>
    </w:p>
    <w:p>
      <w:pPr>
        <w:spacing w:after="60" w:before="60"/>
      </w:pPr>
      <w:r>
        <w:t xml:space="preserve"/>
      </w:r>
    </w:p>
    <w:p>
      <w:pPr>
        <w:spacing w:after="60" w:before="60"/>
      </w:pPr>
      <w:r>
        <w:rPr>
          <w:rFonts w:ascii="Arial" w:cs="Arial" w:eastAsia="Arial" w:hAnsi="Arial"/>
          <w:b w:val="false"/>
          <w:bCs w:val="false"/>
          <w:color w:val="333333"/>
          <w:sz w:val="18"/>
          <w:szCs w:val="18"/>
        </w:rPr>
        <w:t xml:space="preserve">ASSUMPTION OF RISK: The recipient acknowledges that any decision to use any compound referenced herein is made entirely at the recipient's own risk and sole discretion.</w:t>
      </w:r>
    </w:p>
    <w:p>
      <w:pPr>
        <w:spacing w:after="60" w:before="60"/>
      </w:pPr>
      <w:r>
        <w:t xml:space="preserve"/>
      </w:r>
    </w:p>
    <w:p>
      <w:pPr>
        <w:spacing w:after="60" w:before="60"/>
      </w:pPr>
      <w:r>
        <w:rPr>
          <w:rFonts w:ascii="Arial" w:cs="Arial" w:eastAsia="Arial" w:hAnsi="Arial"/>
          <w:b w:val="false"/>
          <w:bCs w:val="false"/>
          <w:color w:val="333333"/>
          <w:sz w:val="18"/>
          <w:szCs w:val="18"/>
        </w:rPr>
        <w:t xml:space="preserve">LIMITATION OF LIABILITY: To the fullest extent permitted by applicable law, Brad Yeager, Yeager's Gym, and all affiliated parties shall not be held liable for any damages arising from use of or reliance upon information provided in this document.</w:t>
      </w:r>
    </w:p>
    <w:p>
      <w:pPr>
        <w:spacing w:after="60" w:before="60"/>
      </w:pPr>
      <w:r>
        <w:t xml:space="preserve"/>
      </w:r>
    </w:p>
    <w:p>
      <w:pPr>
        <w:spacing w:after="60" w:before="60"/>
      </w:pPr>
      <w:r>
        <w:rPr>
          <w:rFonts w:ascii="Arial" w:cs="Arial" w:eastAsia="Arial" w:hAnsi="Arial"/>
          <w:b w:val="false"/>
          <w:bCs w:val="false"/>
          <w:color w:val="333333"/>
          <w:sz w:val="18"/>
          <w:szCs w:val="18"/>
        </w:rPr>
        <w:t xml:space="preserve">THIRD-PARTY PRODUCTS: Yeager's Gym does not manufacture, compound, distribute, or sell any peptide compound. References to specific products are informational only.</w:t>
      </w:r>
    </w:p>
    <w:p>
      <w:pPr>
        <w:spacing w:after="60" w:before="60"/>
      </w:pPr>
      <w:r>
        <w:t xml:space="preserve"/>
      </w:r>
    </w:p>
    <w:p>
      <w:pPr>
        <w:spacing w:after="60" w:before="60"/>
      </w:pPr>
      <w:r>
        <w:rPr>
          <w:rFonts w:ascii="Arial" w:cs="Arial" w:eastAsia="Arial" w:hAnsi="Arial"/>
          <w:b w:val="false"/>
          <w:bCs w:val="false"/>
          <w:color w:val="333333"/>
          <w:sz w:val="18"/>
          <w:szCs w:val="18"/>
        </w:rPr>
        <w:t xml:space="preserve">GOVERNING LAW: This disclaimer shall be governed by the laws of the State of California.</w:t>
      </w:r>
    </w:p>
    <w:p>
      <w:pPr>
        <w:spacing w:after="60" w:before="60"/>
      </w:pPr>
      <w:r>
        <w:t xml:space="preserve"/>
      </w:r>
    </w:p>
    <w:p>
      <w:pPr>
        <w:spacing w:after="60" w:before="60"/>
      </w:pPr>
      <w:r>
        <w:rPr>
          <w:rFonts w:ascii="Arial" w:cs="Arial" w:eastAsia="Arial" w:hAnsi="Arial"/>
          <w:b w:val="false"/>
          <w:bCs w:val="false"/>
          <w:color w:val="333333"/>
          <w:sz w:val="18"/>
          <w:szCs w:val="18"/>
        </w:rPr>
        <w:t xml:space="preserve">By receiving and retaining this document, the recipient acknowledges they have read, understood, and agreed to the terms of this disclaimer.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400"/>
              <w:left w:type="dxa" w:w="120"/>
              <w:bottom w:type="dxa" w:w="400"/>
              <w:right w:type="dxa" w:w="120"/>
            </w:tcMar>
          </w:tcPr>
          <w:p>
            <w:r>
              <w:rPr>
                <w:rFonts w:ascii="Arial" w:cs="Arial" w:eastAsia="Arial" w:hAnsi="Arial"/>
                <w:sz w:val="20"/>
                <w:szCs w:val="20"/>
              </w:rPr>
              <w:t xml:space="preserve">Date: _______________</w:t>
            </w:r>
          </w:p>
        </w:tc>
        <w:tc>
          <w:tcPr>
            <w:tcW w:type="dxa" w:w="4680"/>
            <w:tcBorders>
              <w:top w:val="single" w:color="CCCCCC" w:sz="1"/>
              <w:left w:val="single" w:color="CCCCCC" w:sz="1"/>
              <w:bottom w:val="single" w:color="CCCCCC" w:sz="1"/>
              <w:right w:val="single" w:color="CCCCCC" w:sz="1"/>
            </w:tcBorders>
            <w:tcMar>
              <w:top w:type="dxa" w:w="400"/>
              <w:left w:type="dxa" w:w="120"/>
              <w:bottom w:type="dxa" w:w="400"/>
              <w:right w:type="dxa" w:w="120"/>
            </w:tcMar>
          </w:tcPr>
          <w:p>
            <w:r>
              <w:rPr>
                <w:rFonts w:ascii="Arial" w:cs="Arial" w:eastAsia="Arial" w:hAnsi="Arial"/>
                <w:sz w:val="20"/>
                <w:szCs w:val="20"/>
              </w:rPr>
              <w:t xml:space="preserve">Signature: ___________________________</w:t>
            </w:r>
          </w:p>
        </w:tc>
      </w:tr>
      <w:tr>
        <w:tc>
          <w:tcPr>
            <w:tcW w:type="dxa" w:w="4680"/>
            <w:tcBorders>
              <w:top w:val="single" w:color="CCCCCC" w:sz="1"/>
              <w:left w:val="single" w:color="CCCCCC" w:sz="1"/>
              <w:bottom w:val="single" w:color="CCCCCC" w:sz="1"/>
              <w:right w:val="single" w:color="CCCCCC" w:sz="1"/>
            </w:tcBorders>
            <w:tcMar>
              <w:top w:type="dxa" w:w="400"/>
              <w:left w:type="dxa" w:w="120"/>
              <w:bottom w:type="dxa" w:w="400"/>
              <w:right w:type="dxa" w:w="120"/>
            </w:tcMar>
          </w:tcPr>
          <w:p>
            <w:r>
              <w:rPr>
                <w:rFonts w:ascii="Arial" w:cs="Arial" w:eastAsia="Arial" w:hAnsi="Arial"/>
                <w:sz w:val="20"/>
                <w:szCs w:val="20"/>
              </w:rPr>
              <w:t xml:space="preserve">Print Name: _________________________</w:t>
            </w:r>
          </w:p>
        </w:tc>
        <w:tc>
          <w:tcPr>
            <w:tcW w:type="dxa" w:w="4680"/>
            <w:tcBorders>
              <w:top w:val="single" w:color="CCCCCC" w:sz="1"/>
              <w:left w:val="single" w:color="CCCCCC" w:sz="1"/>
              <w:bottom w:val="single" w:color="CCCCCC" w:sz="1"/>
              <w:right w:val="single" w:color="CCCCCC" w:sz="1"/>
            </w:tcBorders>
            <w:tcMar>
              <w:top w:type="dxa" w:w="400"/>
              <w:left w:type="dxa" w:w="120"/>
              <w:bottom w:type="dxa" w:w="400"/>
              <w:right w:type="dxa" w:w="120"/>
            </w:tcMar>
          </w:tcPr>
          <w:p>
            <w:r>
              <w:rPr>
                <w:rFonts w:ascii="Arial" w:cs="Arial" w:eastAsia="Arial" w:hAnsi="Arial"/>
                <w:sz w:val="20"/>
                <w:szCs w:val="20"/>
              </w:rPr>
              <w:t xml:space="preserve"/>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C8B0" w:sz="6" w:space="4"/>
      </w:pBdr>
      <w:tabs>
        <w:tab w:val="right" w:pos="9026"/>
      </w:tabs>
    </w:pPr>
    <w:r>
      <w:rPr>
        <w:rFonts w:ascii="Arial" w:cs="Arial" w:eastAsia="Arial" w:hAnsi="Arial"/>
        <w:color w:val="888888"/>
        <w:sz w:val="16"/>
        <w:szCs w:val="16"/>
      </w:rPr>
      <w:t xml:space="preserve">Yeager's Gym | Peptide Protocol | Confidential</w:t>
    </w:r>
    <w:r>
      <w:rPr>
        <w:rFonts w:ascii="Arial" w:cs="Arial" w:eastAsia="Arial" w:hAnsi="Arial"/>
        <w:color w:val="888888"/>
        <w:sz w:val="16"/>
        <w:szCs w:val="16"/>
      </w:rPr>
      <w:t xml:space="preserve">	Page </w:t>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C8B0" w:sz="6" w:space="4"/>
      </w:pBdr>
    </w:pPr>
    <w:r>
      <w:rPr>
        <w:rFonts w:ascii="Arial" w:cs="Arial" w:eastAsia="Arial" w:hAnsi="Arial"/>
        <w:b/>
        <w:bCs/>
        <w:color w:val="1EC8B0"/>
        <w:sz w:val="18"/>
        <w:szCs w:val="18"/>
      </w:rPr>
      <w:t xml:space="preserve">YEAGER'S GYM  |  </w:t>
    </w:r>
    <w:r>
      <w:rPr>
        <w:rFonts w:ascii="Arial" w:cs="Arial" w:eastAsia="Arial" w:hAnsi="Arial"/>
        <w:color w:val="888888"/>
        <w:sz w:val="18"/>
        <w:szCs w:val="18"/>
      </w:rPr>
      <w:t xml:space="preserve">Lisa's Peptide Protocol — 16-Week Healthy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2026-05-01T22:14:58.035Z</dcterms:created>
  <dcterms:modified xsi:type="dcterms:W3CDTF">2026-05-01T22:14:58.040Z</dcterms:modified>
</cp:coreProperties>
</file>

<file path=docProps/custom.xml><?xml version="1.0" encoding="utf-8"?>
<Properties xmlns="http://schemas.openxmlformats.org/officeDocument/2006/custom-properties" xmlns:vt="http://schemas.openxmlformats.org/officeDocument/2006/docPropsVTypes"/>
</file>