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C311D" w14:textId="77777777" w:rsidR="00523AE5" w:rsidRDefault="00D84034" w:rsidP="00D84034">
      <w:pPr>
        <w:jc w:val="center"/>
      </w:pPr>
      <w:r>
        <w:t>CHANGE NOTES</w:t>
      </w:r>
    </w:p>
    <w:p w14:paraId="3B94F1BD" w14:textId="77777777" w:rsidR="00D84034" w:rsidRDefault="00D84034" w:rsidP="00D84034"/>
    <w:p w14:paraId="5C0AAF15" w14:textId="73BBA30F" w:rsidR="00D84034" w:rsidRDefault="008C3264" w:rsidP="00D84034">
      <w:r>
        <w:t xml:space="preserve">GENERAL </w:t>
      </w:r>
      <w:r w:rsidR="00D84034">
        <w:t>TEXT</w:t>
      </w:r>
    </w:p>
    <w:p w14:paraId="006B6F17" w14:textId="11B508C9" w:rsidR="008C3264" w:rsidRDefault="008C3264" w:rsidP="008C3264">
      <w:pPr>
        <w:pStyle w:val="ListParagraph"/>
        <w:numPr>
          <w:ilvl w:val="0"/>
          <w:numId w:val="4"/>
        </w:numPr>
      </w:pPr>
      <w:r>
        <w:t>Consistently used “anomalies” instead of using both “residuals” and “anomalies.”</w:t>
      </w:r>
    </w:p>
    <w:p w14:paraId="3C9E1C01" w14:textId="6BBDBFFF" w:rsidR="00384DF9" w:rsidRDefault="00384DF9" w:rsidP="008C3264">
      <w:pPr>
        <w:pStyle w:val="ListParagraph"/>
        <w:numPr>
          <w:ilvl w:val="0"/>
          <w:numId w:val="4"/>
        </w:numPr>
      </w:pPr>
      <w:r>
        <w:t xml:space="preserve">Fixed areas where paragraphs started with </w:t>
      </w:r>
      <w:r w:rsidR="00363394">
        <w:t>long descriptions of figures and changed to more attention-grabbing topic sentences.</w:t>
      </w:r>
    </w:p>
    <w:p w14:paraId="6D1BC814" w14:textId="77777777" w:rsidR="0021504B" w:rsidRDefault="0021504B" w:rsidP="00D84034"/>
    <w:p w14:paraId="5DD7A4D8" w14:textId="34DBDCCB" w:rsidR="0021504B" w:rsidRDefault="0021504B" w:rsidP="00D84034">
      <w:r>
        <w:t>INTRODUCTION</w:t>
      </w:r>
    </w:p>
    <w:p w14:paraId="20EBA726" w14:textId="77777777" w:rsidR="00D84034" w:rsidRDefault="00D84034" w:rsidP="00D84034">
      <w:pPr>
        <w:pStyle w:val="ListParagraph"/>
        <w:numPr>
          <w:ilvl w:val="0"/>
          <w:numId w:val="2"/>
        </w:numPr>
      </w:pPr>
      <w:r>
        <w:t>Significantly change introduction to shift focus to large scale modes of variability and their influence on CO2 fluxes</w:t>
      </w:r>
    </w:p>
    <w:p w14:paraId="71B227EB" w14:textId="77777777" w:rsidR="0021504B" w:rsidRDefault="0021504B" w:rsidP="0021504B"/>
    <w:p w14:paraId="5A9DDA57" w14:textId="74CE20D5" w:rsidR="0021504B" w:rsidRDefault="0021504B" w:rsidP="0021504B">
      <w:r>
        <w:t>METHODS</w:t>
      </w:r>
    </w:p>
    <w:p w14:paraId="0B783393" w14:textId="1CDCD321" w:rsidR="00D84034" w:rsidRDefault="00D84034" w:rsidP="00D84034">
      <w:pPr>
        <w:pStyle w:val="ListParagraph"/>
        <w:numPr>
          <w:ilvl w:val="0"/>
          <w:numId w:val="2"/>
        </w:numPr>
      </w:pPr>
      <w:r>
        <w:t>Add</w:t>
      </w:r>
      <w:r w:rsidR="00986FB6">
        <w:t>ed</w:t>
      </w:r>
      <w:r>
        <w:t xml:space="preserve"> model details to methods section</w:t>
      </w:r>
      <w:r w:rsidR="00D52073">
        <w:t>, clarification of what CESM-LENS does better than a pre-industrial control run, clarification on generating anomalies.</w:t>
      </w:r>
    </w:p>
    <w:p w14:paraId="14932C6B" w14:textId="65556CE9" w:rsidR="0021504B" w:rsidRDefault="0021504B" w:rsidP="00D84034">
      <w:pPr>
        <w:pStyle w:val="ListParagraph"/>
        <w:numPr>
          <w:ilvl w:val="0"/>
          <w:numId w:val="2"/>
        </w:numPr>
      </w:pPr>
      <w:r>
        <w:t>Added subsection discussing climate indices.</w:t>
      </w:r>
    </w:p>
    <w:p w14:paraId="24914FE2" w14:textId="77777777" w:rsidR="00B1232D" w:rsidRDefault="00B1232D" w:rsidP="00B1232D"/>
    <w:p w14:paraId="1EEF3269" w14:textId="596DB8CA" w:rsidR="00B1232D" w:rsidRDefault="00B1232D" w:rsidP="00B1232D">
      <w:r>
        <w:t>MODEL EVALUATION</w:t>
      </w:r>
    </w:p>
    <w:p w14:paraId="1D5F4EEB" w14:textId="2A215647" w:rsidR="00D84034" w:rsidRDefault="00CB66DE" w:rsidP="00D84034">
      <w:pPr>
        <w:pStyle w:val="ListParagraph"/>
        <w:numPr>
          <w:ilvl w:val="0"/>
          <w:numId w:val="5"/>
        </w:numPr>
      </w:pPr>
      <w:r>
        <w:t>Added discussion of seasonal cycle (</w:t>
      </w:r>
      <w:proofErr w:type="gramStart"/>
      <w:r>
        <w:t>with reference to</w:t>
      </w:r>
      <w:proofErr w:type="gramEnd"/>
      <w:r>
        <w:t xml:space="preserve"> new figure)</w:t>
      </w:r>
    </w:p>
    <w:p w14:paraId="22CE746E" w14:textId="77777777" w:rsidR="0021504B" w:rsidRDefault="0021504B" w:rsidP="00D84034"/>
    <w:p w14:paraId="6C634FE8" w14:textId="77777777" w:rsidR="00D84034" w:rsidRDefault="00D84034" w:rsidP="00D84034">
      <w:r>
        <w:t>FIGURES</w:t>
      </w:r>
    </w:p>
    <w:p w14:paraId="7B748544" w14:textId="49535394" w:rsidR="00F675E4" w:rsidRDefault="00F675E4" w:rsidP="00F675E4">
      <w:pPr>
        <w:pStyle w:val="ListParagraph"/>
        <w:numPr>
          <w:ilvl w:val="0"/>
          <w:numId w:val="3"/>
        </w:numPr>
      </w:pPr>
      <w:r>
        <w:t>Added plot assessing the seasonal cycle of CO2 flux in CESM-LENS as well as the number of observations informing the SOM-FFN</w:t>
      </w:r>
    </w:p>
    <w:p w14:paraId="4F2F6569" w14:textId="77777777" w:rsidR="00F724E3" w:rsidRDefault="00F724E3" w:rsidP="00F724E3"/>
    <w:p w14:paraId="700B41A5" w14:textId="577E0077" w:rsidR="00F724E3" w:rsidRDefault="00F724E3" w:rsidP="00F724E3">
      <w:r>
        <w:t>TABLES</w:t>
      </w:r>
    </w:p>
    <w:p w14:paraId="7AE25258" w14:textId="56314E09" w:rsidR="00F724E3" w:rsidRDefault="00F724E3" w:rsidP="00F724E3">
      <w:pPr>
        <w:pStyle w:val="ListParagraph"/>
        <w:numPr>
          <w:ilvl w:val="0"/>
          <w:numId w:val="3"/>
        </w:numPr>
      </w:pPr>
      <w:r>
        <w:t>Split the trend component in Table 1 into contemporary, natural, and anthropogenic</w:t>
      </w:r>
    </w:p>
    <w:p w14:paraId="736610EA" w14:textId="77777777" w:rsidR="009005DF" w:rsidRDefault="009005DF" w:rsidP="00D84034"/>
    <w:p w14:paraId="2DA3E0FD" w14:textId="77777777" w:rsidR="009005DF" w:rsidRDefault="009005DF" w:rsidP="00D84034"/>
    <w:p w14:paraId="02FB06AE" w14:textId="77777777" w:rsidR="009005DF" w:rsidRDefault="009005DF" w:rsidP="00D84034"/>
    <w:p w14:paraId="733C0099" w14:textId="77777777" w:rsidR="009005DF" w:rsidRDefault="009005DF" w:rsidP="00D84034"/>
    <w:p w14:paraId="5FEFE10C" w14:textId="77777777" w:rsidR="009005DF" w:rsidRDefault="009005DF" w:rsidP="00D84034"/>
    <w:p w14:paraId="109976AF" w14:textId="77777777" w:rsidR="009005DF" w:rsidRDefault="009005DF" w:rsidP="00D84034"/>
    <w:p w14:paraId="6A6ACB92" w14:textId="77777777" w:rsidR="009005DF" w:rsidRDefault="009005DF" w:rsidP="00D84034"/>
    <w:p w14:paraId="1E10A27E" w14:textId="77777777" w:rsidR="009005DF" w:rsidRDefault="009005DF" w:rsidP="00D84034"/>
    <w:p w14:paraId="7F367850" w14:textId="77777777" w:rsidR="009005DF" w:rsidRDefault="009005DF" w:rsidP="00D84034"/>
    <w:p w14:paraId="67B28C45" w14:textId="77777777" w:rsidR="009005DF" w:rsidRDefault="009005DF" w:rsidP="00D84034"/>
    <w:p w14:paraId="47BC32F8" w14:textId="77777777" w:rsidR="009005DF" w:rsidRDefault="009005DF" w:rsidP="00D84034"/>
    <w:p w14:paraId="19FC3042" w14:textId="77777777" w:rsidR="009005DF" w:rsidRDefault="009005DF" w:rsidP="00D84034">
      <w:bookmarkStart w:id="0" w:name="_GoBack"/>
      <w:bookmarkEnd w:id="0"/>
    </w:p>
    <w:p w14:paraId="7AD4177C" w14:textId="77777777" w:rsidR="009005DF" w:rsidRDefault="009005DF" w:rsidP="00D84034"/>
    <w:p w14:paraId="3595E323" w14:textId="77777777" w:rsidR="009005DF" w:rsidRDefault="009005DF" w:rsidP="00D84034"/>
    <w:p w14:paraId="52378F8E" w14:textId="77777777" w:rsidR="009005DF" w:rsidRDefault="009005DF" w:rsidP="00D84034"/>
    <w:p w14:paraId="388B0C42" w14:textId="77777777" w:rsidR="009005DF" w:rsidRDefault="009005DF" w:rsidP="00D84034"/>
    <w:p w14:paraId="4962195E" w14:textId="77777777" w:rsidR="009005DF" w:rsidRDefault="009005DF" w:rsidP="00D84034"/>
    <w:p w14:paraId="5373F95F" w14:textId="77777777" w:rsidR="009005DF" w:rsidRDefault="009005DF" w:rsidP="00D84034"/>
    <w:p w14:paraId="2332A3A1" w14:textId="77777777" w:rsidR="009005DF" w:rsidRDefault="009005DF" w:rsidP="00D84034"/>
    <w:p w14:paraId="68BC2377" w14:textId="77777777" w:rsidR="009005DF" w:rsidRDefault="009005DF" w:rsidP="00D84034"/>
    <w:p w14:paraId="4694B760" w14:textId="40BF1787" w:rsidR="00D35CD9" w:rsidRDefault="00D35CD9" w:rsidP="00D35CD9">
      <w:pPr>
        <w:jc w:val="center"/>
      </w:pPr>
      <w:r>
        <w:lastRenderedPageBreak/>
        <w:t>COMPOSITE ANALYSIS</w:t>
      </w:r>
    </w:p>
    <w:p w14:paraId="7DF67220" w14:textId="77777777" w:rsidR="00D35CD9" w:rsidRDefault="00D35CD9" w:rsidP="00D35CD9"/>
    <w:p w14:paraId="72853EE4" w14:textId="79C9B62B" w:rsidR="00D35CD9" w:rsidRPr="003504B8" w:rsidRDefault="00D35CD9" w:rsidP="00D35CD9">
      <w:pPr>
        <w:rPr>
          <w:b/>
        </w:rPr>
      </w:pPr>
      <w:r w:rsidRPr="003504B8">
        <w:rPr>
          <w:b/>
        </w:rPr>
        <w:t>California (NPGO):</w:t>
      </w:r>
    </w:p>
    <w:p w14:paraId="4A36D40B" w14:textId="06A8C0CF" w:rsidR="00D35CD9" w:rsidRDefault="001067DA" w:rsidP="00D35CD9">
      <w:r>
        <w:tab/>
        <w:t>More associated with offshore/gyre dynamics.</w:t>
      </w:r>
    </w:p>
    <w:p w14:paraId="3A346238" w14:textId="21B2C404" w:rsidR="001067DA" w:rsidRDefault="001067DA" w:rsidP="00D35CD9">
      <w:r>
        <w:tab/>
      </w:r>
      <w:r w:rsidR="008028BE">
        <w:t>Increased nearshore upwelling of enriched subsurface DIC is compensated for by biological uptake</w:t>
      </w:r>
      <w:r w:rsidR="00210769">
        <w:t>.</w:t>
      </w:r>
    </w:p>
    <w:p w14:paraId="18ADC7F0" w14:textId="785CF869" w:rsidR="008028BE" w:rsidRDefault="008028BE" w:rsidP="00D35CD9">
      <w:r>
        <w:tab/>
      </w:r>
      <w:r w:rsidR="00421233">
        <w:t xml:space="preserve">Offshore uptake is driven by </w:t>
      </w:r>
      <w:r w:rsidR="00210769">
        <w:t>advection of cold subpolar waters with enriched DIC and little biological activity.</w:t>
      </w:r>
    </w:p>
    <w:p w14:paraId="43C53EC6" w14:textId="77777777" w:rsidR="004B52CC" w:rsidRDefault="004B52CC" w:rsidP="00D35CD9"/>
    <w:p w14:paraId="0105FF56" w14:textId="399691B4" w:rsidR="004B52CC" w:rsidRDefault="004B52CC" w:rsidP="00D35CD9">
      <w:pPr>
        <w:rPr>
          <w:b/>
        </w:rPr>
      </w:pPr>
      <w:r>
        <w:rPr>
          <w:b/>
        </w:rPr>
        <w:t>California (PDO):</w:t>
      </w:r>
    </w:p>
    <w:p w14:paraId="037E2183" w14:textId="77777777" w:rsidR="00F404B7" w:rsidRPr="00F404B7" w:rsidRDefault="00F404B7" w:rsidP="00D35CD9"/>
    <w:p w14:paraId="5E212BB4" w14:textId="77777777" w:rsidR="004B52CC" w:rsidRDefault="004B52CC" w:rsidP="00D35CD9">
      <w:pPr>
        <w:rPr>
          <w:b/>
        </w:rPr>
      </w:pPr>
    </w:p>
    <w:p w14:paraId="60606840" w14:textId="3B456D30" w:rsidR="004B52CC" w:rsidRDefault="004B52CC" w:rsidP="00D35CD9">
      <w:pPr>
        <w:rPr>
          <w:b/>
        </w:rPr>
      </w:pPr>
      <w:r>
        <w:rPr>
          <w:b/>
        </w:rPr>
        <w:t>Humboldt (ENSO):</w:t>
      </w:r>
    </w:p>
    <w:p w14:paraId="6D8C527D" w14:textId="77777777" w:rsidR="004B52CC" w:rsidRDefault="004B52CC" w:rsidP="00D35CD9">
      <w:pPr>
        <w:rPr>
          <w:b/>
        </w:rPr>
      </w:pPr>
    </w:p>
    <w:p w14:paraId="717A93F1" w14:textId="068A65A9" w:rsidR="004B52CC" w:rsidRPr="004B52CC" w:rsidRDefault="004B52CC" w:rsidP="00D35CD9">
      <w:pPr>
        <w:rPr>
          <w:b/>
        </w:rPr>
      </w:pPr>
      <w:r>
        <w:rPr>
          <w:b/>
        </w:rPr>
        <w:t>Canary (NAO):</w:t>
      </w:r>
    </w:p>
    <w:p w14:paraId="14A96D1E" w14:textId="77777777" w:rsidR="009005DF" w:rsidRDefault="009005DF" w:rsidP="00D84034"/>
    <w:p w14:paraId="42CBC60E" w14:textId="77777777" w:rsidR="009005DF" w:rsidRDefault="009005DF" w:rsidP="00D84034"/>
    <w:p w14:paraId="1E79DCBB" w14:textId="77777777" w:rsidR="009005DF" w:rsidRDefault="009005DF" w:rsidP="00D84034"/>
    <w:p w14:paraId="4415BD03" w14:textId="77777777" w:rsidR="009005DF" w:rsidRDefault="009005DF" w:rsidP="00D84034"/>
    <w:p w14:paraId="1100F615" w14:textId="77777777" w:rsidR="009005DF" w:rsidRDefault="009005DF" w:rsidP="00D84034"/>
    <w:p w14:paraId="6CED3CDF" w14:textId="77777777" w:rsidR="009005DF" w:rsidRDefault="009005DF" w:rsidP="00D84034"/>
    <w:p w14:paraId="64452E85" w14:textId="77777777" w:rsidR="009005DF" w:rsidRDefault="009005DF" w:rsidP="00D84034"/>
    <w:p w14:paraId="4D1699BB" w14:textId="77777777" w:rsidR="009005DF" w:rsidRDefault="009005DF" w:rsidP="00D84034"/>
    <w:p w14:paraId="7714669C" w14:textId="77777777" w:rsidR="009005DF" w:rsidRDefault="009005DF" w:rsidP="00D84034"/>
    <w:p w14:paraId="64B15A0B" w14:textId="77777777" w:rsidR="009005DF" w:rsidRDefault="009005DF" w:rsidP="00D84034"/>
    <w:p w14:paraId="02D83D14" w14:textId="77777777" w:rsidR="009005DF" w:rsidRDefault="009005DF" w:rsidP="00D84034"/>
    <w:p w14:paraId="3CABDD04" w14:textId="77777777" w:rsidR="009005DF" w:rsidRDefault="009005DF" w:rsidP="00D84034"/>
    <w:p w14:paraId="284AB780" w14:textId="77777777" w:rsidR="009005DF" w:rsidRDefault="009005DF" w:rsidP="00D84034"/>
    <w:p w14:paraId="556E7A32" w14:textId="77777777" w:rsidR="009005DF" w:rsidRDefault="009005DF" w:rsidP="00D84034"/>
    <w:p w14:paraId="0A52C20F" w14:textId="77777777" w:rsidR="009005DF" w:rsidRDefault="009005DF" w:rsidP="00D84034"/>
    <w:p w14:paraId="78858DF5" w14:textId="7D5922AC" w:rsidR="009005DF" w:rsidRDefault="009005DF" w:rsidP="00D84034"/>
    <w:p w14:paraId="5F94160C" w14:textId="65884A75" w:rsidR="009005DF" w:rsidRPr="005F52F3" w:rsidRDefault="009005DF" w:rsidP="009005DF">
      <w:pPr>
        <w:jc w:val="center"/>
        <w:rPr>
          <w:sz w:val="32"/>
          <w:szCs w:val="32"/>
        </w:rPr>
      </w:pPr>
      <w:r w:rsidRPr="005F52F3">
        <w:rPr>
          <w:sz w:val="32"/>
          <w:szCs w:val="32"/>
        </w:rPr>
        <w:t>RESPONSES</w:t>
      </w:r>
    </w:p>
    <w:p w14:paraId="08C0E259" w14:textId="77777777" w:rsidR="003A1322" w:rsidRDefault="003A1322" w:rsidP="009005DF">
      <w:pPr>
        <w:jc w:val="center"/>
      </w:pPr>
    </w:p>
    <w:p w14:paraId="6AB81DBC" w14:textId="77777777" w:rsidR="003A1322" w:rsidRDefault="003A1322" w:rsidP="009005DF">
      <w:pPr>
        <w:jc w:val="center"/>
      </w:pPr>
    </w:p>
    <w:p w14:paraId="3459B859" w14:textId="74374637" w:rsidR="003A1322" w:rsidRPr="00184617" w:rsidRDefault="003A1322" w:rsidP="003A1322">
      <w:pPr>
        <w:rPr>
          <w:sz w:val="28"/>
          <w:szCs w:val="28"/>
        </w:rPr>
      </w:pPr>
      <w:r w:rsidRPr="00184617">
        <w:rPr>
          <w:sz w:val="28"/>
          <w:szCs w:val="28"/>
        </w:rPr>
        <w:t>METHODS</w:t>
      </w:r>
    </w:p>
    <w:p w14:paraId="66981F97" w14:textId="77777777" w:rsidR="002C478F" w:rsidRDefault="002C478F" w:rsidP="002C478F">
      <w:pPr>
        <w:rPr>
          <w:rFonts w:eastAsia="Times New Roman"/>
        </w:rPr>
      </w:pPr>
      <w:r w:rsidRPr="002C478F">
        <w:rPr>
          <w:rFonts w:eastAsia="Times New Roman"/>
          <w:b/>
          <w:color w:val="538135" w:themeColor="accent6" w:themeShade="BF"/>
        </w:rPr>
        <w:t>Nicolas Gruber</w:t>
      </w:r>
      <w:r w:rsidRPr="002C478F">
        <w:rPr>
          <w:rFonts w:eastAsia="Times New Roman"/>
        </w:rPr>
        <w:t xml:space="preserve">: A few more details would be helpful here. Which version of CESM was used. What were the parameter values for BEC, </w:t>
      </w:r>
      <w:proofErr w:type="spellStart"/>
      <w:r w:rsidRPr="002C478F">
        <w:rPr>
          <w:rFonts w:eastAsia="Times New Roman"/>
        </w:rPr>
        <w:t>etc</w:t>
      </w:r>
      <w:proofErr w:type="spellEnd"/>
      <w:r w:rsidRPr="002C478F">
        <w:rPr>
          <w:rFonts w:eastAsia="Times New Roman"/>
        </w:rPr>
        <w:t>? I found it a bit frustrating that there is only a limited amount of traceability in CESM-BEC across versions. This should be alleviated at least here. A simple table in the appendix would suffice.</w:t>
      </w:r>
    </w:p>
    <w:p w14:paraId="0D8F7E4C" w14:textId="4C22D27E" w:rsidR="002C478F" w:rsidRDefault="002C478F" w:rsidP="002C478F">
      <w:pPr>
        <w:rPr>
          <w:rFonts w:eastAsia="Times New Roman"/>
        </w:rPr>
      </w:pPr>
      <w:r>
        <w:rPr>
          <w:rFonts w:eastAsia="Times New Roman"/>
          <w:b/>
        </w:rPr>
        <w:t xml:space="preserve">Riley Brady: </w:t>
      </w:r>
      <w:r>
        <w:rPr>
          <w:rFonts w:eastAsia="Times New Roman"/>
        </w:rPr>
        <w:t>Added version of CESM1 and some discussion of BEC with citations to two studies with in-dept</w:t>
      </w:r>
      <w:r w:rsidR="000D2E62">
        <w:rPr>
          <w:rFonts w:eastAsia="Times New Roman"/>
        </w:rPr>
        <w:t>h descriptions of BEC in CESM1.</w:t>
      </w:r>
    </w:p>
    <w:p w14:paraId="29F84BDA" w14:textId="77777777" w:rsidR="003A1322" w:rsidRDefault="003A1322" w:rsidP="002C478F">
      <w:pPr>
        <w:rPr>
          <w:rFonts w:eastAsia="Times New Roman"/>
        </w:rPr>
      </w:pPr>
    </w:p>
    <w:p w14:paraId="0D9ADA99" w14:textId="77777777" w:rsidR="003A1322" w:rsidRDefault="003A1322" w:rsidP="003A1322">
      <w:pPr>
        <w:rPr>
          <w:rFonts w:eastAsia="Times New Roman"/>
        </w:rPr>
      </w:pPr>
      <w:r w:rsidRPr="003A1322">
        <w:rPr>
          <w:rFonts w:eastAsia="Times New Roman"/>
          <w:b/>
          <w:color w:val="538135" w:themeColor="accent6" w:themeShade="BF"/>
        </w:rPr>
        <w:t>Nicolas Gruber: </w:t>
      </w:r>
      <w:r w:rsidRPr="003A1322">
        <w:rPr>
          <w:rFonts w:eastAsia="Times New Roman"/>
        </w:rPr>
        <w:t xml:space="preserve">I suggest </w:t>
      </w:r>
      <w:proofErr w:type="gramStart"/>
      <w:r w:rsidRPr="003A1322">
        <w:rPr>
          <w:rFonts w:eastAsia="Times New Roman"/>
        </w:rPr>
        <w:t>to reformulate</w:t>
      </w:r>
      <w:proofErr w:type="gramEnd"/>
      <w:r w:rsidRPr="003A1322">
        <w:rPr>
          <w:rFonts w:eastAsia="Times New Roman"/>
        </w:rPr>
        <w:t>. You can assess the controls on air-sea flux variability also by single runs. Thus, please be more specific about what advantages the use of a LE has.</w:t>
      </w:r>
    </w:p>
    <w:p w14:paraId="1D3A7931" w14:textId="545006A6" w:rsidR="00830DCF" w:rsidRDefault="00830DCF" w:rsidP="003A1322">
      <w:pPr>
        <w:rPr>
          <w:rFonts w:eastAsia="Times New Roman"/>
        </w:rPr>
      </w:pPr>
      <w:r>
        <w:rPr>
          <w:rFonts w:eastAsia="Times New Roman"/>
          <w:b/>
        </w:rPr>
        <w:t xml:space="preserve">Riley Brady: </w:t>
      </w:r>
      <w:r>
        <w:rPr>
          <w:rFonts w:eastAsia="Times New Roman"/>
        </w:rPr>
        <w:t>Added to methods section. This includes confident removal of the forced signal (generation of purely internally driven anomalies), the addition of anthropogenic CO2, and climate change driven modifications to ocean dynamics and the frequency and magnitude of large scale climate variability.</w:t>
      </w:r>
    </w:p>
    <w:p w14:paraId="0CA614E3" w14:textId="77777777" w:rsidR="003A4F39" w:rsidRDefault="003A4F39" w:rsidP="003A1322">
      <w:pPr>
        <w:rPr>
          <w:rFonts w:eastAsia="Times New Roman"/>
        </w:rPr>
      </w:pPr>
    </w:p>
    <w:p w14:paraId="4268EE26" w14:textId="77777777" w:rsidR="003A4F39" w:rsidRDefault="003A4F39" w:rsidP="003A4F39">
      <w:pPr>
        <w:rPr>
          <w:rFonts w:eastAsia="Times New Roman"/>
        </w:rPr>
      </w:pPr>
      <w:proofErr w:type="spellStart"/>
      <w:proofErr w:type="gramStart"/>
      <w:r w:rsidRPr="00184617">
        <w:rPr>
          <w:rFonts w:eastAsia="Times New Roman"/>
          <w:b/>
          <w:color w:val="ED7D31" w:themeColor="accent2"/>
          <w:highlight w:val="yellow"/>
        </w:rPr>
        <w:t>michael.jacox</w:t>
      </w:r>
      <w:proofErr w:type="spellEnd"/>
      <w:proofErr w:type="gramEnd"/>
      <w:r w:rsidRPr="00184617">
        <w:rPr>
          <w:rFonts w:eastAsia="Times New Roman"/>
          <w:b/>
          <w:color w:val="ED7D31" w:themeColor="accent2"/>
          <w:highlight w:val="yellow"/>
        </w:rPr>
        <w:t>: </w:t>
      </w:r>
      <w:r w:rsidRPr="00184617">
        <w:rPr>
          <w:rFonts w:eastAsia="Times New Roman"/>
          <w:highlight w:val="yellow"/>
        </w:rPr>
        <w:t xml:space="preserve">This is super far offshore to be looking at EBUS dynamics. 800 km offshore will still be influenced by upwelling somewhat through lateral advection, but the </w:t>
      </w:r>
      <w:proofErr w:type="gramStart"/>
      <w:r w:rsidRPr="00184617">
        <w:rPr>
          <w:rFonts w:eastAsia="Times New Roman"/>
          <w:highlight w:val="yellow"/>
        </w:rPr>
        <w:t>vast majority</w:t>
      </w:r>
      <w:proofErr w:type="gramEnd"/>
      <w:r w:rsidRPr="00184617">
        <w:rPr>
          <w:rFonts w:eastAsia="Times New Roman"/>
          <w:highlight w:val="yellow"/>
        </w:rPr>
        <w:t xml:space="preserve"> of these regions, maybe 80-90% are not characterized by upwelling. More on this later.</w:t>
      </w:r>
    </w:p>
    <w:p w14:paraId="13E2AA49" w14:textId="77777777" w:rsidR="00646C5A" w:rsidRDefault="00646C5A" w:rsidP="003A4F39">
      <w:pPr>
        <w:rPr>
          <w:rFonts w:eastAsia="Times New Roman"/>
        </w:rPr>
      </w:pPr>
    </w:p>
    <w:p w14:paraId="79AB792C" w14:textId="6FB8653A" w:rsidR="00646C5A" w:rsidRPr="00184617" w:rsidRDefault="00646C5A" w:rsidP="003A4F39">
      <w:pPr>
        <w:rPr>
          <w:rFonts w:eastAsia="Times New Roman"/>
          <w:sz w:val="28"/>
          <w:szCs w:val="28"/>
        </w:rPr>
      </w:pPr>
      <w:r w:rsidRPr="00184617">
        <w:rPr>
          <w:rFonts w:eastAsia="Times New Roman"/>
          <w:sz w:val="28"/>
          <w:szCs w:val="28"/>
        </w:rPr>
        <w:t>MODEL EVALUATION</w:t>
      </w:r>
    </w:p>
    <w:p w14:paraId="7C20351B" w14:textId="77777777" w:rsidR="00646C5A" w:rsidRDefault="00646C5A" w:rsidP="00646C5A">
      <w:pPr>
        <w:rPr>
          <w:rFonts w:eastAsia="Times New Roman"/>
        </w:rPr>
      </w:pPr>
      <w:proofErr w:type="spellStart"/>
      <w:proofErr w:type="gramStart"/>
      <w:r w:rsidRPr="00646C5A">
        <w:rPr>
          <w:rFonts w:eastAsia="Times New Roman"/>
          <w:b/>
          <w:color w:val="ED7D31" w:themeColor="accent2"/>
        </w:rPr>
        <w:t>michael.jacox</w:t>
      </w:r>
      <w:proofErr w:type="spellEnd"/>
      <w:proofErr w:type="gramEnd"/>
      <w:r w:rsidRPr="00646C5A">
        <w:rPr>
          <w:rFonts w:eastAsia="Times New Roman"/>
        </w:rPr>
        <w:t>: It would be worth commenting on the lack of nearshore estimates in SOM-FFN. The strongest outgassing in CESM occurs next to the coast where there is no SOM-FFN output. If you applied the SOM-FFN mask to CESM, this comparison would look a lot better.</w:t>
      </w:r>
    </w:p>
    <w:p w14:paraId="07E9A7A9" w14:textId="03E68316" w:rsidR="006B7A49" w:rsidRPr="00646C5A" w:rsidRDefault="006B7A49" w:rsidP="00646C5A">
      <w:pPr>
        <w:rPr>
          <w:rFonts w:eastAsia="Times New Roman"/>
          <w:b/>
        </w:rPr>
      </w:pPr>
      <w:r>
        <w:rPr>
          <w:rFonts w:eastAsia="Times New Roman"/>
          <w:b/>
        </w:rPr>
        <w:t xml:space="preserve">Riley Brady: </w:t>
      </w:r>
      <w:r>
        <w:rPr>
          <w:rFonts w:eastAsia="Times New Roman"/>
        </w:rPr>
        <w:t>Added comment on the lack of nearshore estimates</w:t>
      </w:r>
      <w:r w:rsidR="0070339A">
        <w:rPr>
          <w:rFonts w:eastAsia="Times New Roman"/>
        </w:rPr>
        <w:t xml:space="preserve">. </w:t>
      </w:r>
      <w:r w:rsidR="0070339A" w:rsidRPr="0070339A">
        <w:rPr>
          <w:rFonts w:eastAsia="Times New Roman"/>
          <w:b/>
          <w:highlight w:val="yellow"/>
        </w:rPr>
        <w:t>May still add the SOM-FFN mask to CESM</w:t>
      </w:r>
      <w:r w:rsidR="0070339A">
        <w:rPr>
          <w:rFonts w:eastAsia="Times New Roman"/>
          <w:b/>
        </w:rPr>
        <w:t>.</w:t>
      </w:r>
    </w:p>
    <w:p w14:paraId="42549834" w14:textId="77777777" w:rsidR="00646C5A" w:rsidRDefault="00646C5A" w:rsidP="003A4F39">
      <w:pPr>
        <w:rPr>
          <w:rFonts w:eastAsia="Times New Roman"/>
        </w:rPr>
      </w:pPr>
    </w:p>
    <w:p w14:paraId="589672B3" w14:textId="77777777" w:rsidR="00950C35" w:rsidRDefault="00950C35" w:rsidP="00950C35">
      <w:pPr>
        <w:rPr>
          <w:rFonts w:eastAsia="Times New Roman"/>
        </w:rPr>
      </w:pPr>
      <w:proofErr w:type="spellStart"/>
      <w:proofErr w:type="gramStart"/>
      <w:r w:rsidRPr="00950C35">
        <w:rPr>
          <w:rFonts w:eastAsia="Times New Roman"/>
          <w:b/>
          <w:color w:val="ED7D31" w:themeColor="accent2"/>
        </w:rPr>
        <w:t>michael.jacox</w:t>
      </w:r>
      <w:proofErr w:type="spellEnd"/>
      <w:proofErr w:type="gramEnd"/>
      <w:r w:rsidRPr="00950C35">
        <w:rPr>
          <w:rFonts w:eastAsia="Times New Roman"/>
          <w:b/>
          <w:color w:val="ED7D31" w:themeColor="accent2"/>
        </w:rPr>
        <w:t>:</w:t>
      </w:r>
      <w:r w:rsidRPr="00950C35">
        <w:rPr>
          <w:rFonts w:eastAsia="Times New Roman"/>
        </w:rPr>
        <w:t> Not quite clear what this means? SOM-FFN is filling in these regions based on data from far away?</w:t>
      </w:r>
    </w:p>
    <w:p w14:paraId="1EBB22C8" w14:textId="6A33DD60" w:rsidR="00950C35" w:rsidRPr="00950C35" w:rsidRDefault="00950C35" w:rsidP="00950C35">
      <w:pPr>
        <w:rPr>
          <w:rFonts w:eastAsia="Times New Roman"/>
        </w:rPr>
      </w:pPr>
      <w:r>
        <w:rPr>
          <w:rFonts w:eastAsia="Times New Roman"/>
          <w:b/>
        </w:rPr>
        <w:t xml:space="preserve">Riley Brady: </w:t>
      </w:r>
      <w:r>
        <w:rPr>
          <w:rFonts w:eastAsia="Times New Roman"/>
        </w:rPr>
        <w:t xml:space="preserve">Edited for clarity and added figure that shows number of observations. </w:t>
      </w:r>
      <w:r w:rsidR="00C5582B">
        <w:rPr>
          <w:rFonts w:eastAsia="Times New Roman"/>
        </w:rPr>
        <w:t xml:space="preserve">See Figure 1 of </w:t>
      </w:r>
      <w:r w:rsidR="00C5582B">
        <w:rPr>
          <w:rFonts w:eastAsia="Times New Roman"/>
        </w:rPr>
        <w:fldChar w:fldCharType="begin"/>
      </w:r>
      <w:r w:rsidR="00C5582B">
        <w:rPr>
          <w:rFonts w:eastAsia="Times New Roman"/>
        </w:rPr>
        <w:instrText xml:space="preserve"> ADDIN ZOTERO_ITEM CSL_CITATION {"citationID":"F67Mxji6","properties":{"formattedCitation":"(Landsch\\uc0\\u252{}tzer et al. 2014)","plainCitation":"(Landschützer et al. 2014)","noteIndex":0},"citationItems":[{"id":217,"uris":["http://zotero.org/users/4162026/items/SRCCQEFE"],"uri":["http://zotero.org/users/4162026/items/SRCCQEFE"],"itemData":{"id":217,"type":"article-journal","title":"Recent variability of the global ocean carbon sink","container-title":"Global Biogeochemical Cycles","page":"927-949","volume":"28","issue":"9","source":"Wiley Online Library","abstract":"We present a new observation-based estimate of the global oceanic carbon dioxide (CO2) sink and its temporal variation on a monthly basis from 1998 through 2011 and at a spatial resolution of 1°×1°. This sink estimate rests upon a neural network-based mapping of global surface ocean observations of the partial pressure of CO2 (pCO2) from the Surface Ocean CO2 Atlas database. The resulting pCO2 has small biases when evaluated against independent observations in the different ocean basins, but larger randomly distributed differences exist particularly in high latitudes. The seasonal climatology of our neural network-based product agrees overall well with the Takahashi et al. (2009) climatology, although our product produces a stronger seasonal cycle at high latitudes. From our global pCO2 product, we compute a mean net global ocean (excluding the Arctic Ocean and coastal regions) CO2 uptake flux of −1.42 ± 0.53 Pg C yr−1, which is in good agreement with ocean inversion-based estimates. Our data indicate a moderate level of interannual variability in the ocean carbon sink (±0.12 Pg C yr−1, 1σ) from 1998 through 2011, mostly originating from the equatorial Pacific Ocean, and associated with the El Niño–Southern Oscillation. Accounting for steady state riverine and Arctic Ocean carbon fluxes our estimate further implies a mean anthropogenic CO2 uptake of −1.99 ± 0.59 Pg C yr−1 over the analysis period. From this estimate plus the most recent estimates for fossil fuel emissions and atmospheric CO2 accumulation, we infer a mean global land sink of −2.82 ± 0.85 Pg C yr−1 over the 1998 through 2011 period with strong interannual variation.","DOI":"10.1002/2014GB004853","ISSN":"1944-9224","journalAbbreviation":"Global Biogeochem. Cycles","language":"en","author":[{"family":"Landschützer","given":"P."},{"family":"Gruber","given":"N."},{"family":"Bakker","given":"D. C. E."},{"family":"Schuster","given":"U."}],"issued":{"date-parts":[["2014",9,1]]}}}],"schema":"https://github.com/citation-style-language/schema/raw/master/csl-citation.json"} </w:instrText>
      </w:r>
      <w:r w:rsidR="00C5582B">
        <w:rPr>
          <w:rFonts w:eastAsia="Times New Roman"/>
        </w:rPr>
        <w:fldChar w:fldCharType="separate"/>
      </w:r>
      <w:r w:rsidR="00C5582B" w:rsidRPr="00C5582B">
        <w:rPr>
          <w:rFonts w:eastAsia="Times New Roman"/>
        </w:rPr>
        <w:t>(</w:t>
      </w:r>
      <w:proofErr w:type="spellStart"/>
      <w:r w:rsidR="00C5582B" w:rsidRPr="00C5582B">
        <w:rPr>
          <w:rFonts w:eastAsia="Times New Roman"/>
        </w:rPr>
        <w:t>Landschützer</w:t>
      </w:r>
      <w:proofErr w:type="spellEnd"/>
      <w:r w:rsidR="00C5582B" w:rsidRPr="00C5582B">
        <w:rPr>
          <w:rFonts w:eastAsia="Times New Roman"/>
        </w:rPr>
        <w:t xml:space="preserve"> et al. 2014)</w:t>
      </w:r>
      <w:r w:rsidR="00C5582B">
        <w:rPr>
          <w:rFonts w:eastAsia="Times New Roman"/>
        </w:rPr>
        <w:fldChar w:fldCharType="end"/>
      </w:r>
      <w:r w:rsidR="00C5582B">
        <w:rPr>
          <w:rFonts w:eastAsia="Times New Roman"/>
        </w:rPr>
        <w:t xml:space="preserve">. The </w:t>
      </w:r>
      <w:proofErr w:type="spellStart"/>
      <w:r w:rsidR="00C5582B">
        <w:rPr>
          <w:rFonts w:eastAsia="Times New Roman"/>
        </w:rPr>
        <w:t>HumCS</w:t>
      </w:r>
      <w:proofErr w:type="spellEnd"/>
      <w:r w:rsidR="00C5582B">
        <w:rPr>
          <w:rFonts w:eastAsia="Times New Roman"/>
        </w:rPr>
        <w:t xml:space="preserve"> is generally informed by the tropical Pacific</w:t>
      </w:r>
      <w:r w:rsidR="00A472E4">
        <w:rPr>
          <w:rFonts w:eastAsia="Times New Roman"/>
        </w:rPr>
        <w:t xml:space="preserve">, but sections of the </w:t>
      </w:r>
      <w:proofErr w:type="spellStart"/>
      <w:r w:rsidR="00A472E4">
        <w:rPr>
          <w:rFonts w:eastAsia="Times New Roman"/>
        </w:rPr>
        <w:t>CanCS</w:t>
      </w:r>
      <w:proofErr w:type="spellEnd"/>
      <w:r w:rsidR="00A472E4">
        <w:rPr>
          <w:rFonts w:eastAsia="Times New Roman"/>
        </w:rPr>
        <w:t xml:space="preserve"> and </w:t>
      </w:r>
      <w:proofErr w:type="spellStart"/>
      <w:r w:rsidR="00A472E4">
        <w:rPr>
          <w:rFonts w:eastAsia="Times New Roman"/>
        </w:rPr>
        <w:t>BenCS</w:t>
      </w:r>
      <w:proofErr w:type="spellEnd"/>
      <w:r w:rsidR="00A472E4">
        <w:rPr>
          <w:rFonts w:eastAsia="Times New Roman"/>
        </w:rPr>
        <w:t xml:space="preserve"> and informed by subtropical gyres.</w:t>
      </w:r>
    </w:p>
    <w:p w14:paraId="02B51D4C" w14:textId="77777777" w:rsidR="00950C35" w:rsidRDefault="00950C35" w:rsidP="003A4F39">
      <w:pPr>
        <w:rPr>
          <w:rFonts w:eastAsia="Times New Roman"/>
        </w:rPr>
      </w:pPr>
    </w:p>
    <w:p w14:paraId="707ED104" w14:textId="77777777" w:rsidR="00E869A7" w:rsidRPr="00E869A7" w:rsidRDefault="00E869A7" w:rsidP="00E869A7">
      <w:pPr>
        <w:rPr>
          <w:rFonts w:eastAsia="Times New Roman"/>
        </w:rPr>
      </w:pPr>
      <w:proofErr w:type="spellStart"/>
      <w:proofErr w:type="gramStart"/>
      <w:r w:rsidRPr="00D43EBC">
        <w:rPr>
          <w:rFonts w:eastAsia="Times New Roman"/>
          <w:b/>
          <w:color w:val="ED7D31" w:themeColor="accent2"/>
          <w:highlight w:val="yellow"/>
        </w:rPr>
        <w:t>michael.jacox</w:t>
      </w:r>
      <w:proofErr w:type="spellEnd"/>
      <w:proofErr w:type="gramEnd"/>
      <w:r w:rsidRPr="00D43EBC">
        <w:rPr>
          <w:rFonts w:eastAsia="Times New Roman"/>
          <w:b/>
          <w:color w:val="ED7D31" w:themeColor="accent2"/>
          <w:highlight w:val="yellow"/>
        </w:rPr>
        <w:t>:</w:t>
      </w:r>
      <w:r w:rsidRPr="00D43EBC">
        <w:rPr>
          <w:rFonts w:eastAsia="Times New Roman"/>
          <w:highlight w:val="yellow"/>
        </w:rPr>
        <w:t> how big are the SST biases in other EBUS?</w:t>
      </w:r>
    </w:p>
    <w:p w14:paraId="022E6553" w14:textId="77777777" w:rsidR="00E869A7" w:rsidRDefault="00E869A7" w:rsidP="003A4F39">
      <w:pPr>
        <w:rPr>
          <w:rFonts w:eastAsia="Times New Roman"/>
        </w:rPr>
      </w:pPr>
    </w:p>
    <w:p w14:paraId="5A7BF9B1" w14:textId="236A2B88" w:rsidR="003A4F39" w:rsidRDefault="00184617" w:rsidP="003A1322">
      <w:pPr>
        <w:rPr>
          <w:rFonts w:eastAsia="Times New Roman"/>
          <w:sz w:val="28"/>
          <w:szCs w:val="28"/>
        </w:rPr>
      </w:pPr>
      <w:r w:rsidRPr="00184617">
        <w:rPr>
          <w:rFonts w:eastAsia="Times New Roman"/>
          <w:sz w:val="28"/>
          <w:szCs w:val="28"/>
        </w:rPr>
        <w:t>RESULTS</w:t>
      </w:r>
    </w:p>
    <w:p w14:paraId="367B4D7E" w14:textId="77777777" w:rsidR="00501ED0" w:rsidRDefault="00501ED0" w:rsidP="003A1322">
      <w:pPr>
        <w:rPr>
          <w:rFonts w:eastAsia="Times New Roman"/>
          <w:sz w:val="28"/>
          <w:szCs w:val="28"/>
        </w:rPr>
      </w:pPr>
    </w:p>
    <w:p w14:paraId="3582C29D" w14:textId="0B7CA362" w:rsidR="003A1322" w:rsidRPr="002C478F" w:rsidRDefault="00501ED0" w:rsidP="002C478F">
      <w:pPr>
        <w:rPr>
          <w:rFonts w:eastAsia="Times New Roman"/>
          <w:sz w:val="28"/>
          <w:szCs w:val="28"/>
        </w:rPr>
      </w:pPr>
      <w:r>
        <w:rPr>
          <w:rFonts w:eastAsia="Times New Roman"/>
          <w:sz w:val="28"/>
          <w:szCs w:val="28"/>
        </w:rPr>
        <w:t>Internal Variability in Upwelling Systems</w:t>
      </w:r>
    </w:p>
    <w:p w14:paraId="56792683" w14:textId="77777777" w:rsidR="00330FB1" w:rsidRPr="00330FB1" w:rsidRDefault="00330FB1" w:rsidP="00330FB1">
      <w:pPr>
        <w:rPr>
          <w:rFonts w:eastAsia="Times New Roman"/>
        </w:rPr>
      </w:pPr>
      <w:r w:rsidRPr="00330FB1">
        <w:rPr>
          <w:rFonts w:eastAsia="Times New Roman"/>
          <w:b/>
          <w:color w:val="70AD47" w:themeColor="accent6"/>
        </w:rPr>
        <w:t>Nicolas Gruber: </w:t>
      </w:r>
      <w:r w:rsidRPr="00330FB1">
        <w:rPr>
          <w:rFonts w:eastAsia="Times New Roman"/>
        </w:rPr>
        <w:t>How did you make this attribution? It is quite certainly correct, but you should state the basis for this argument. I my suspicion is right, then you used the long-term trend of the ensemble mean to establish the contribution of anthropogenic CO2. This is only approximately correct, since this trend includes also climate-change driven trends in the fluxes of natural and anthropogenic CO2. Please explain.</w:t>
      </w:r>
    </w:p>
    <w:p w14:paraId="389D4C23" w14:textId="21981F8B" w:rsidR="009005DF" w:rsidRDefault="00136F49" w:rsidP="002C478F">
      <w:r>
        <w:rPr>
          <w:b/>
        </w:rPr>
        <w:t xml:space="preserve">Riley Brady: </w:t>
      </w:r>
      <w:r>
        <w:t xml:space="preserve">You are correct that it was the long-term trend of the ensemble mean (clarified in text). </w:t>
      </w:r>
      <w:r w:rsidR="00DF21DC">
        <w:t xml:space="preserve">The long-term trend toward a greater sink in the contemporary carbon flux is almost entirely driven by anthropogenic carbon in CESM (this is tested by computing the linear trend for contemporary flux, natural flux, and anthropogenic flux). </w:t>
      </w:r>
      <w:r w:rsidR="002E5E91">
        <w:t>These values have been separated in Table 1.</w:t>
      </w:r>
    </w:p>
    <w:p w14:paraId="282597EA" w14:textId="77777777" w:rsidR="008D140F" w:rsidRDefault="008D140F" w:rsidP="002C478F"/>
    <w:p w14:paraId="2CC9C83C" w14:textId="54135E4B" w:rsidR="008D140F" w:rsidRDefault="008D140F" w:rsidP="008D140F">
      <w:pPr>
        <w:rPr>
          <w:rStyle w:val="ng-binding"/>
          <w:rFonts w:eastAsia="Times New Roman"/>
        </w:rPr>
      </w:pPr>
      <w:r w:rsidRPr="008D140F">
        <w:rPr>
          <w:rStyle w:val="rp-entry-user"/>
          <w:rFonts w:eastAsia="Times New Roman"/>
          <w:b/>
          <w:color w:val="70AD47" w:themeColor="accent6"/>
        </w:rPr>
        <w:t>Nicolas Gruber:</w:t>
      </w:r>
      <w:r>
        <w:rPr>
          <w:rStyle w:val="rp-entry-user"/>
          <w:rFonts w:eastAsia="Times New Roman"/>
        </w:rPr>
        <w:t> </w:t>
      </w:r>
      <w:r>
        <w:rPr>
          <w:rStyle w:val="ng-binding"/>
          <w:rFonts w:eastAsia="Times New Roman"/>
        </w:rPr>
        <w:t>This needs to be explained better. How was this component</w:t>
      </w:r>
      <w:r>
        <w:rPr>
          <w:rStyle w:val="ng-binding"/>
          <w:rFonts w:eastAsia="Times New Roman"/>
        </w:rPr>
        <w:t xml:space="preserve"> (anthropogenic CO2)</w:t>
      </w:r>
      <w:r>
        <w:rPr>
          <w:rStyle w:val="ng-binding"/>
          <w:rFonts w:eastAsia="Times New Roman"/>
        </w:rPr>
        <w:t xml:space="preserve"> diagnosed?</w:t>
      </w:r>
    </w:p>
    <w:p w14:paraId="50A5F536" w14:textId="328E4E94" w:rsidR="001D3CDE" w:rsidRDefault="001D3CDE" w:rsidP="008D140F">
      <w:pPr>
        <w:rPr>
          <w:rStyle w:val="ng-binding"/>
          <w:rFonts w:eastAsia="Times New Roman"/>
        </w:rPr>
      </w:pPr>
      <w:r>
        <w:rPr>
          <w:rStyle w:val="ng-binding"/>
          <w:rFonts w:eastAsia="Times New Roman"/>
          <w:b/>
        </w:rPr>
        <w:t xml:space="preserve">Riley Brady: </w:t>
      </w:r>
      <w:r>
        <w:rPr>
          <w:rStyle w:val="ng-binding"/>
          <w:rFonts w:eastAsia="Times New Roman"/>
        </w:rPr>
        <w:t>This description was added to the methods section.</w:t>
      </w:r>
    </w:p>
    <w:p w14:paraId="6C3FC3BA" w14:textId="77777777" w:rsidR="003518ED" w:rsidRDefault="003518ED" w:rsidP="008D140F">
      <w:pPr>
        <w:rPr>
          <w:rStyle w:val="ng-binding"/>
          <w:rFonts w:eastAsia="Times New Roman"/>
        </w:rPr>
      </w:pPr>
    </w:p>
    <w:p w14:paraId="04AB76B9" w14:textId="77777777" w:rsidR="003518ED" w:rsidRDefault="003518ED" w:rsidP="003518ED">
      <w:pPr>
        <w:rPr>
          <w:rStyle w:val="ng-binding"/>
          <w:rFonts w:eastAsia="Times New Roman"/>
        </w:rPr>
      </w:pPr>
      <w:proofErr w:type="spellStart"/>
      <w:proofErr w:type="gramStart"/>
      <w:r w:rsidRPr="003518ED">
        <w:rPr>
          <w:rStyle w:val="rp-entry-user"/>
          <w:rFonts w:eastAsia="Times New Roman"/>
          <w:b/>
          <w:color w:val="ED7D31" w:themeColor="accent2"/>
        </w:rPr>
        <w:t>michael.jacox</w:t>
      </w:r>
      <w:proofErr w:type="spellEnd"/>
      <w:proofErr w:type="gramEnd"/>
      <w:r w:rsidRPr="003518ED">
        <w:rPr>
          <w:rStyle w:val="rp-entry-user"/>
          <w:rFonts w:eastAsia="Times New Roman"/>
          <w:b/>
          <w:color w:val="ED7D31" w:themeColor="accent2"/>
        </w:rPr>
        <w:t>:</w:t>
      </w:r>
      <w:r>
        <w:rPr>
          <w:rStyle w:val="rp-entry-user"/>
          <w:rFonts w:eastAsia="Times New Roman"/>
        </w:rPr>
        <w:t> </w:t>
      </w:r>
      <w:r>
        <w:rPr>
          <w:rStyle w:val="ng-binding"/>
          <w:rFonts w:eastAsia="Times New Roman"/>
        </w:rPr>
        <w:t>The gray shading is actually the internal variability plus the seasonal cycle. I suggest changing the figure and/or text as sometimes you talk about the internal variability, seasonal cycle, and anthropogenic trend as separate components, but in Fig. 3 all three components share signal (i.e., you can't add them together to get the full signal).</w:t>
      </w:r>
    </w:p>
    <w:p w14:paraId="6357BD85" w14:textId="5DB3A5D5" w:rsidR="008B4AB2" w:rsidRPr="008B4AB2" w:rsidRDefault="008B4AB2" w:rsidP="003518ED">
      <w:pPr>
        <w:rPr>
          <w:rFonts w:eastAsia="Times New Roman"/>
        </w:rPr>
      </w:pPr>
      <w:r>
        <w:rPr>
          <w:rStyle w:val="ng-binding"/>
          <w:rFonts w:eastAsia="Times New Roman"/>
          <w:b/>
        </w:rPr>
        <w:t xml:space="preserve">Riley Brady: </w:t>
      </w:r>
      <w:r w:rsidR="008C22EA">
        <w:rPr>
          <w:rStyle w:val="ng-binding"/>
          <w:rFonts w:eastAsia="Times New Roman"/>
        </w:rPr>
        <w:t>This was more of a design choice since the black ensemble mean line overlays the gray shading and thus any of the gray showing is due to internal variability. I’ve changed the caption to the figure to explicitly denote that the gray shading shares signal.</w:t>
      </w:r>
    </w:p>
    <w:p w14:paraId="4541BB35" w14:textId="77777777" w:rsidR="008D140F" w:rsidRDefault="008D140F" w:rsidP="002C478F"/>
    <w:p w14:paraId="3F1CCFC9" w14:textId="5E55BF4F" w:rsidR="005476D9" w:rsidRPr="00250B53" w:rsidRDefault="00501ED0" w:rsidP="00501ED0">
      <w:pPr>
        <w:rPr>
          <w:rFonts w:eastAsia="Times New Roman"/>
        </w:rPr>
      </w:pPr>
      <w:r w:rsidRPr="00501ED0">
        <w:rPr>
          <w:rStyle w:val="rp-entry-user"/>
          <w:rFonts w:eastAsia="Times New Roman"/>
          <w:b/>
          <w:color w:val="70AD47" w:themeColor="accent6"/>
          <w:highlight w:val="yellow"/>
        </w:rPr>
        <w:t>Nicolas Gruber:</w:t>
      </w:r>
      <w:r w:rsidRPr="00501ED0">
        <w:rPr>
          <w:rStyle w:val="rp-entry-user"/>
          <w:rFonts w:eastAsia="Times New Roman"/>
          <w:highlight w:val="yellow"/>
        </w:rPr>
        <w:t> </w:t>
      </w:r>
      <w:r w:rsidRPr="00501ED0">
        <w:rPr>
          <w:rStyle w:val="ng-binding"/>
          <w:rFonts w:eastAsia="Times New Roman"/>
          <w:highlight w:val="yellow"/>
        </w:rPr>
        <w:t>The total variability includes also the forced component, no? Or are you referring here to the variability of the residual fluxes? Please specify. But the residual fluxes don't vary seasonally, do they?</w:t>
      </w:r>
    </w:p>
    <w:p w14:paraId="4794A910" w14:textId="77777777" w:rsidR="00501ED0" w:rsidRDefault="00501ED0" w:rsidP="002C478F"/>
    <w:p w14:paraId="55FD3B9F" w14:textId="77777777" w:rsidR="00BD2ED7" w:rsidRDefault="00BD2ED7" w:rsidP="00BD2ED7">
      <w:pPr>
        <w:rPr>
          <w:rStyle w:val="ng-binding"/>
          <w:rFonts w:eastAsia="Times New Roman"/>
        </w:rPr>
      </w:pPr>
      <w:r w:rsidRPr="00BD2ED7">
        <w:rPr>
          <w:rStyle w:val="rp-entry-user"/>
          <w:rFonts w:eastAsia="Times New Roman"/>
          <w:b/>
          <w:color w:val="70AD47" w:themeColor="accent6"/>
          <w:highlight w:val="yellow"/>
        </w:rPr>
        <w:t>Nicolas Gruber:</w:t>
      </w:r>
      <w:r w:rsidRPr="00BD2ED7">
        <w:rPr>
          <w:rStyle w:val="rp-entry-user"/>
          <w:rFonts w:eastAsia="Times New Roman"/>
          <w:highlight w:val="yellow"/>
        </w:rPr>
        <w:t> </w:t>
      </w:r>
      <w:r w:rsidRPr="00BD2ED7">
        <w:rPr>
          <w:rStyle w:val="ng-binding"/>
          <w:rFonts w:eastAsia="Times New Roman"/>
          <w:highlight w:val="yellow"/>
        </w:rPr>
        <w:t>You need here a better transition. So far, you have established the importance of internal variability, but you have not provided any evidence why we should focus on the (inter annual) variability associated with major climate modes. A spectral analysis or some other form of timescale separation could help here.</w:t>
      </w:r>
    </w:p>
    <w:p w14:paraId="3AD6B759" w14:textId="77777777" w:rsidR="00B01110" w:rsidRDefault="00B01110" w:rsidP="00BD2ED7">
      <w:pPr>
        <w:rPr>
          <w:rStyle w:val="ng-binding"/>
          <w:rFonts w:eastAsia="Times New Roman"/>
        </w:rPr>
      </w:pPr>
    </w:p>
    <w:p w14:paraId="5A4498AA" w14:textId="1402436E" w:rsidR="00B01110" w:rsidRDefault="00B01110" w:rsidP="00BD2ED7">
      <w:pPr>
        <w:rPr>
          <w:rStyle w:val="ng-binding"/>
          <w:rFonts w:eastAsia="Times New Roman"/>
        </w:rPr>
      </w:pPr>
      <w:r>
        <w:rPr>
          <w:rStyle w:val="ng-binding"/>
          <w:rFonts w:eastAsia="Times New Roman"/>
        </w:rPr>
        <w:t>California Current</w:t>
      </w:r>
    </w:p>
    <w:p w14:paraId="7851D308" w14:textId="77777777" w:rsidR="00B01110" w:rsidRDefault="00B01110" w:rsidP="00B01110">
      <w:pPr>
        <w:rPr>
          <w:rStyle w:val="ng-binding"/>
          <w:rFonts w:eastAsia="Times New Roman"/>
        </w:rPr>
      </w:pPr>
      <w:proofErr w:type="spellStart"/>
      <w:proofErr w:type="gramStart"/>
      <w:r w:rsidRPr="003C5182">
        <w:rPr>
          <w:rStyle w:val="rp-entry-user"/>
          <w:rFonts w:eastAsia="Times New Roman"/>
          <w:b/>
          <w:color w:val="ED7D31" w:themeColor="accent2"/>
          <w:highlight w:val="yellow"/>
        </w:rPr>
        <w:t>michael.jacox</w:t>
      </w:r>
      <w:proofErr w:type="spellEnd"/>
      <w:proofErr w:type="gramEnd"/>
      <w:r w:rsidRPr="003C5182">
        <w:rPr>
          <w:rStyle w:val="rp-entry-user"/>
          <w:rFonts w:eastAsia="Times New Roman"/>
          <w:b/>
          <w:color w:val="ED7D31" w:themeColor="accent2"/>
          <w:highlight w:val="yellow"/>
        </w:rPr>
        <w:t>:</w:t>
      </w:r>
      <w:r w:rsidRPr="003C5182">
        <w:rPr>
          <w:rStyle w:val="rp-entry-user"/>
          <w:rFonts w:eastAsia="Times New Roman"/>
          <w:highlight w:val="yellow"/>
        </w:rPr>
        <w:t> </w:t>
      </w:r>
      <w:r w:rsidRPr="003C5182">
        <w:rPr>
          <w:rStyle w:val="ng-binding"/>
          <w:rFonts w:eastAsia="Times New Roman"/>
          <w:highlight w:val="yellow"/>
        </w:rPr>
        <w:t>Can you back this up? Spatial correlation of this pattern with PDO, ENSO, and NPGO patterns?</w:t>
      </w:r>
    </w:p>
    <w:p w14:paraId="02790448" w14:textId="77777777" w:rsidR="009A1C4A" w:rsidRDefault="009A1C4A" w:rsidP="00B01110">
      <w:pPr>
        <w:rPr>
          <w:rStyle w:val="ng-binding"/>
          <w:rFonts w:eastAsia="Times New Roman"/>
        </w:rPr>
      </w:pPr>
    </w:p>
    <w:p w14:paraId="5B082DE5" w14:textId="77777777" w:rsidR="009A1C4A" w:rsidRDefault="009A1C4A" w:rsidP="009A1C4A">
      <w:pPr>
        <w:rPr>
          <w:rStyle w:val="ng-binding"/>
          <w:rFonts w:eastAsia="Times New Roman"/>
        </w:rPr>
      </w:pPr>
      <w:r w:rsidRPr="009A1C4A">
        <w:rPr>
          <w:rStyle w:val="rp-entry-user"/>
          <w:rFonts w:eastAsia="Times New Roman"/>
          <w:b/>
          <w:color w:val="70AD47" w:themeColor="accent6"/>
        </w:rPr>
        <w:t>Nicolas Gruber:</w:t>
      </w:r>
      <w:r>
        <w:rPr>
          <w:rStyle w:val="rp-entry-user"/>
          <w:rFonts w:eastAsia="Times New Roman"/>
        </w:rPr>
        <w:t> </w:t>
      </w:r>
      <w:r>
        <w:rPr>
          <w:rStyle w:val="ng-binding"/>
          <w:rFonts w:eastAsia="Times New Roman"/>
        </w:rPr>
        <w:t>Does this mean that the NPGO explains ~24% of the total variance?</w:t>
      </w:r>
    </w:p>
    <w:p w14:paraId="56868A11" w14:textId="77777777" w:rsidR="009A1C4A" w:rsidRDefault="009A1C4A" w:rsidP="009A1C4A">
      <w:pPr>
        <w:rPr>
          <w:rStyle w:val="ng-binding"/>
          <w:rFonts w:eastAsia="Times New Roman"/>
        </w:rPr>
      </w:pPr>
      <w:r>
        <w:rPr>
          <w:rStyle w:val="ng-binding"/>
          <w:rFonts w:eastAsia="Times New Roman"/>
          <w:b/>
        </w:rPr>
        <w:t xml:space="preserve">Riley Brady: </w:t>
      </w:r>
      <w:r>
        <w:rPr>
          <w:rStyle w:val="ng-binding"/>
          <w:rFonts w:eastAsia="Times New Roman"/>
        </w:rPr>
        <w:t xml:space="preserve">Approximately, yes. The CESM-LENS does a surprisingly good job at representing the NPGO. See </w:t>
      </w:r>
      <w:proofErr w:type="spellStart"/>
      <w:r>
        <w:rPr>
          <w:rStyle w:val="ng-binding"/>
          <w:rFonts w:eastAsia="Times New Roman"/>
        </w:rPr>
        <w:t>DiLorenzo</w:t>
      </w:r>
      <w:proofErr w:type="spellEnd"/>
      <w:r>
        <w:rPr>
          <w:rStyle w:val="ng-binding"/>
          <w:rFonts w:eastAsia="Times New Roman"/>
        </w:rPr>
        <w:t xml:space="preserve"> and </w:t>
      </w:r>
      <w:proofErr w:type="spellStart"/>
      <w:r>
        <w:rPr>
          <w:rStyle w:val="ng-binding"/>
          <w:rFonts w:eastAsia="Times New Roman"/>
        </w:rPr>
        <w:t>Manuta</w:t>
      </w:r>
      <w:proofErr w:type="spellEnd"/>
      <w:r>
        <w:rPr>
          <w:rStyle w:val="ng-binding"/>
          <w:rFonts w:eastAsia="Times New Roman"/>
        </w:rPr>
        <w:t xml:space="preserve"> 2016 (DOI: 10.1038/NCLIMATE3082) Figure 6. The observed NPGO explains 20% of SST variance, while CESM-LENS explains 22% for the ensemble mean.</w:t>
      </w:r>
    </w:p>
    <w:p w14:paraId="7C1A6F65" w14:textId="77777777" w:rsidR="0011346D" w:rsidRDefault="0011346D" w:rsidP="009A1C4A">
      <w:pPr>
        <w:rPr>
          <w:rStyle w:val="ng-binding"/>
          <w:rFonts w:eastAsia="Times New Roman"/>
        </w:rPr>
      </w:pPr>
    </w:p>
    <w:p w14:paraId="5A6AEE2F" w14:textId="77777777" w:rsidR="0011346D" w:rsidRDefault="0011346D" w:rsidP="0011346D">
      <w:pPr>
        <w:rPr>
          <w:rFonts w:eastAsia="Times New Roman"/>
        </w:rPr>
      </w:pPr>
      <w:proofErr w:type="spellStart"/>
      <w:proofErr w:type="gramStart"/>
      <w:r w:rsidRPr="0011346D">
        <w:rPr>
          <w:rStyle w:val="rp-entry-user"/>
          <w:rFonts w:eastAsia="Times New Roman"/>
          <w:b/>
          <w:color w:val="ED7D31" w:themeColor="accent2"/>
        </w:rPr>
        <w:t>michael.jacox</w:t>
      </w:r>
      <w:proofErr w:type="spellEnd"/>
      <w:proofErr w:type="gramEnd"/>
      <w:r w:rsidRPr="0011346D">
        <w:rPr>
          <w:rStyle w:val="rp-entry-user"/>
          <w:rFonts w:eastAsia="Times New Roman"/>
          <w:b/>
          <w:color w:val="ED7D31" w:themeColor="accent2"/>
        </w:rPr>
        <w:t>: </w:t>
      </w:r>
      <w:r>
        <w:rPr>
          <w:rStyle w:val="ng-binding"/>
          <w:rFonts w:eastAsia="Times New Roman"/>
        </w:rPr>
        <w:t xml:space="preserve">I assume by uniform here you mean "single-signed". But it's </w:t>
      </w:r>
      <w:proofErr w:type="gramStart"/>
      <w:r>
        <w:rPr>
          <w:rStyle w:val="ng-binding"/>
          <w:rFonts w:eastAsia="Times New Roman"/>
        </w:rPr>
        <w:t>definitely not</w:t>
      </w:r>
      <w:proofErr w:type="gramEnd"/>
      <w:r>
        <w:rPr>
          <w:rStyle w:val="ng-binding"/>
          <w:rFonts w:eastAsia="Times New Roman"/>
        </w:rPr>
        <w:t xml:space="preserve"> uniform. In fact, in the main upwelling region (central/northern California within a couple hundred km of the coast), the correlation is near zero. Later, upwelling is implicated in the patterns found here, but there if you focused on the upwelling region (as you do in Fig. 6 for PDO), you'd find virtually no correlation with NPGO. This is an important issue as it looks like the dynamics you're capturing in the regional averages are more associated with </w:t>
      </w:r>
      <w:proofErr w:type="spellStart"/>
      <w:r>
        <w:rPr>
          <w:rStyle w:val="ng-binding"/>
          <w:rFonts w:eastAsia="Times New Roman"/>
        </w:rPr>
        <w:t>he</w:t>
      </w:r>
      <w:proofErr w:type="spellEnd"/>
      <w:r>
        <w:rPr>
          <w:rStyle w:val="ng-binding"/>
          <w:rFonts w:eastAsia="Times New Roman"/>
        </w:rPr>
        <w:t xml:space="preserve"> offshore/gyre dynamics than the coastal upwelling.</w:t>
      </w:r>
    </w:p>
    <w:p w14:paraId="1D305F28" w14:textId="77777777" w:rsidR="0011346D" w:rsidRDefault="0011346D" w:rsidP="009A1C4A">
      <w:pPr>
        <w:rPr>
          <w:rFonts w:eastAsia="Times New Roman"/>
        </w:rPr>
      </w:pPr>
    </w:p>
    <w:p w14:paraId="63D59590" w14:textId="13D79A52" w:rsidR="009A1C4A" w:rsidRPr="009A1C4A" w:rsidRDefault="009A1C4A" w:rsidP="009A1C4A">
      <w:pPr>
        <w:rPr>
          <w:rFonts w:eastAsia="Times New Roman"/>
        </w:rPr>
      </w:pPr>
    </w:p>
    <w:p w14:paraId="77A5DFB9" w14:textId="77777777" w:rsidR="009A1C4A" w:rsidRDefault="009A1C4A" w:rsidP="00B01110">
      <w:pPr>
        <w:rPr>
          <w:rFonts w:eastAsia="Times New Roman"/>
        </w:rPr>
      </w:pPr>
    </w:p>
    <w:p w14:paraId="14A1889A" w14:textId="77777777" w:rsidR="00B01110" w:rsidRDefault="00B01110" w:rsidP="00BD2ED7">
      <w:pPr>
        <w:rPr>
          <w:rFonts w:eastAsia="Times New Roman"/>
        </w:rPr>
      </w:pPr>
    </w:p>
    <w:p w14:paraId="2B0B4597" w14:textId="77777777" w:rsidR="00BD2ED7" w:rsidRDefault="00BD2ED7" w:rsidP="002C478F"/>
    <w:p w14:paraId="37C4FFFD" w14:textId="77777777" w:rsidR="00D35CD9" w:rsidRDefault="00D35CD9" w:rsidP="002C478F"/>
    <w:p w14:paraId="1B9D4E40" w14:textId="77777777" w:rsidR="00D35CD9" w:rsidRDefault="00D35CD9" w:rsidP="002C478F"/>
    <w:p w14:paraId="7CCFAFB5" w14:textId="77777777" w:rsidR="00D35CD9" w:rsidRPr="00136F49" w:rsidRDefault="00D35CD9" w:rsidP="002C478F"/>
    <w:sectPr w:rsidR="00D35CD9" w:rsidRPr="00136F49" w:rsidSect="00766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57746"/>
    <w:multiLevelType w:val="hybridMultilevel"/>
    <w:tmpl w:val="F68E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2D08CE"/>
    <w:multiLevelType w:val="hybridMultilevel"/>
    <w:tmpl w:val="DA80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9048A4"/>
    <w:multiLevelType w:val="hybridMultilevel"/>
    <w:tmpl w:val="F81C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2914CD"/>
    <w:multiLevelType w:val="hybridMultilevel"/>
    <w:tmpl w:val="2FC8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E27FF1"/>
    <w:multiLevelType w:val="hybridMultilevel"/>
    <w:tmpl w:val="3C02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034"/>
    <w:rsid w:val="000D2E62"/>
    <w:rsid w:val="001067DA"/>
    <w:rsid w:val="0011346D"/>
    <w:rsid w:val="00136F49"/>
    <w:rsid w:val="00184617"/>
    <w:rsid w:val="001D3CDE"/>
    <w:rsid w:val="00210769"/>
    <w:rsid w:val="00210B6A"/>
    <w:rsid w:val="0021504B"/>
    <w:rsid w:val="00250B53"/>
    <w:rsid w:val="00292E34"/>
    <w:rsid w:val="002C478F"/>
    <w:rsid w:val="002E5E91"/>
    <w:rsid w:val="00330FB1"/>
    <w:rsid w:val="003504B8"/>
    <w:rsid w:val="003518ED"/>
    <w:rsid w:val="00363394"/>
    <w:rsid w:val="00384DF9"/>
    <w:rsid w:val="003A1322"/>
    <w:rsid w:val="003A4F39"/>
    <w:rsid w:val="003C5182"/>
    <w:rsid w:val="00421233"/>
    <w:rsid w:val="004A293F"/>
    <w:rsid w:val="004B52CC"/>
    <w:rsid w:val="00501ED0"/>
    <w:rsid w:val="00523AE5"/>
    <w:rsid w:val="005476D9"/>
    <w:rsid w:val="005D7CA9"/>
    <w:rsid w:val="005F52F3"/>
    <w:rsid w:val="00646C5A"/>
    <w:rsid w:val="006B7A49"/>
    <w:rsid w:val="0070339A"/>
    <w:rsid w:val="00766049"/>
    <w:rsid w:val="008028BE"/>
    <w:rsid w:val="00817AF1"/>
    <w:rsid w:val="00830DCF"/>
    <w:rsid w:val="008B4AB2"/>
    <w:rsid w:val="008C22EA"/>
    <w:rsid w:val="008C3264"/>
    <w:rsid w:val="008D140F"/>
    <w:rsid w:val="009005DF"/>
    <w:rsid w:val="00950C35"/>
    <w:rsid w:val="00986FB6"/>
    <w:rsid w:val="009A1C4A"/>
    <w:rsid w:val="00A472E4"/>
    <w:rsid w:val="00B01110"/>
    <w:rsid w:val="00B1232D"/>
    <w:rsid w:val="00BD2ED7"/>
    <w:rsid w:val="00C5582B"/>
    <w:rsid w:val="00CB66DE"/>
    <w:rsid w:val="00D13A14"/>
    <w:rsid w:val="00D35CD9"/>
    <w:rsid w:val="00D43EBC"/>
    <w:rsid w:val="00D52073"/>
    <w:rsid w:val="00D84034"/>
    <w:rsid w:val="00DF21DC"/>
    <w:rsid w:val="00E869A7"/>
    <w:rsid w:val="00F404B7"/>
    <w:rsid w:val="00F675E4"/>
    <w:rsid w:val="00F724E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344D53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346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034"/>
    <w:pPr>
      <w:ind w:left="720"/>
      <w:contextualSpacing/>
    </w:pPr>
    <w:rPr>
      <w:rFonts w:asciiTheme="minorHAnsi" w:hAnsiTheme="minorHAnsi" w:cstheme="minorBidi"/>
    </w:rPr>
  </w:style>
  <w:style w:type="character" w:customStyle="1" w:styleId="rp-entry-user">
    <w:name w:val="rp-entry-user"/>
    <w:basedOn w:val="DefaultParagraphFont"/>
    <w:rsid w:val="002C478F"/>
  </w:style>
  <w:style w:type="character" w:customStyle="1" w:styleId="ng-binding">
    <w:name w:val="ng-binding"/>
    <w:basedOn w:val="DefaultParagraphFont"/>
    <w:rsid w:val="002C4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3119">
      <w:bodyDiv w:val="1"/>
      <w:marLeft w:val="0"/>
      <w:marRight w:val="0"/>
      <w:marTop w:val="0"/>
      <w:marBottom w:val="0"/>
      <w:divBdr>
        <w:top w:val="none" w:sz="0" w:space="0" w:color="auto"/>
        <w:left w:val="none" w:sz="0" w:space="0" w:color="auto"/>
        <w:bottom w:val="none" w:sz="0" w:space="0" w:color="auto"/>
        <w:right w:val="none" w:sz="0" w:space="0" w:color="auto"/>
      </w:divBdr>
    </w:div>
    <w:div w:id="98567283">
      <w:bodyDiv w:val="1"/>
      <w:marLeft w:val="0"/>
      <w:marRight w:val="0"/>
      <w:marTop w:val="0"/>
      <w:marBottom w:val="0"/>
      <w:divBdr>
        <w:top w:val="none" w:sz="0" w:space="0" w:color="auto"/>
        <w:left w:val="none" w:sz="0" w:space="0" w:color="auto"/>
        <w:bottom w:val="none" w:sz="0" w:space="0" w:color="auto"/>
        <w:right w:val="none" w:sz="0" w:space="0" w:color="auto"/>
      </w:divBdr>
    </w:div>
    <w:div w:id="136194482">
      <w:bodyDiv w:val="1"/>
      <w:marLeft w:val="0"/>
      <w:marRight w:val="0"/>
      <w:marTop w:val="0"/>
      <w:marBottom w:val="0"/>
      <w:divBdr>
        <w:top w:val="none" w:sz="0" w:space="0" w:color="auto"/>
        <w:left w:val="none" w:sz="0" w:space="0" w:color="auto"/>
        <w:bottom w:val="none" w:sz="0" w:space="0" w:color="auto"/>
        <w:right w:val="none" w:sz="0" w:space="0" w:color="auto"/>
      </w:divBdr>
    </w:div>
    <w:div w:id="198010777">
      <w:bodyDiv w:val="1"/>
      <w:marLeft w:val="0"/>
      <w:marRight w:val="0"/>
      <w:marTop w:val="0"/>
      <w:marBottom w:val="0"/>
      <w:divBdr>
        <w:top w:val="none" w:sz="0" w:space="0" w:color="auto"/>
        <w:left w:val="none" w:sz="0" w:space="0" w:color="auto"/>
        <w:bottom w:val="none" w:sz="0" w:space="0" w:color="auto"/>
        <w:right w:val="none" w:sz="0" w:space="0" w:color="auto"/>
      </w:divBdr>
    </w:div>
    <w:div w:id="283123776">
      <w:bodyDiv w:val="1"/>
      <w:marLeft w:val="0"/>
      <w:marRight w:val="0"/>
      <w:marTop w:val="0"/>
      <w:marBottom w:val="0"/>
      <w:divBdr>
        <w:top w:val="none" w:sz="0" w:space="0" w:color="auto"/>
        <w:left w:val="none" w:sz="0" w:space="0" w:color="auto"/>
        <w:bottom w:val="none" w:sz="0" w:space="0" w:color="auto"/>
        <w:right w:val="none" w:sz="0" w:space="0" w:color="auto"/>
      </w:divBdr>
    </w:div>
    <w:div w:id="602807993">
      <w:bodyDiv w:val="1"/>
      <w:marLeft w:val="0"/>
      <w:marRight w:val="0"/>
      <w:marTop w:val="0"/>
      <w:marBottom w:val="0"/>
      <w:divBdr>
        <w:top w:val="none" w:sz="0" w:space="0" w:color="auto"/>
        <w:left w:val="none" w:sz="0" w:space="0" w:color="auto"/>
        <w:bottom w:val="none" w:sz="0" w:space="0" w:color="auto"/>
        <w:right w:val="none" w:sz="0" w:space="0" w:color="auto"/>
      </w:divBdr>
    </w:div>
    <w:div w:id="975372651">
      <w:bodyDiv w:val="1"/>
      <w:marLeft w:val="0"/>
      <w:marRight w:val="0"/>
      <w:marTop w:val="0"/>
      <w:marBottom w:val="0"/>
      <w:divBdr>
        <w:top w:val="none" w:sz="0" w:space="0" w:color="auto"/>
        <w:left w:val="none" w:sz="0" w:space="0" w:color="auto"/>
        <w:bottom w:val="none" w:sz="0" w:space="0" w:color="auto"/>
        <w:right w:val="none" w:sz="0" w:space="0" w:color="auto"/>
      </w:divBdr>
    </w:div>
    <w:div w:id="1142306474">
      <w:bodyDiv w:val="1"/>
      <w:marLeft w:val="0"/>
      <w:marRight w:val="0"/>
      <w:marTop w:val="0"/>
      <w:marBottom w:val="0"/>
      <w:divBdr>
        <w:top w:val="none" w:sz="0" w:space="0" w:color="auto"/>
        <w:left w:val="none" w:sz="0" w:space="0" w:color="auto"/>
        <w:bottom w:val="none" w:sz="0" w:space="0" w:color="auto"/>
        <w:right w:val="none" w:sz="0" w:space="0" w:color="auto"/>
      </w:divBdr>
    </w:div>
    <w:div w:id="1198354604">
      <w:bodyDiv w:val="1"/>
      <w:marLeft w:val="0"/>
      <w:marRight w:val="0"/>
      <w:marTop w:val="0"/>
      <w:marBottom w:val="0"/>
      <w:divBdr>
        <w:top w:val="none" w:sz="0" w:space="0" w:color="auto"/>
        <w:left w:val="none" w:sz="0" w:space="0" w:color="auto"/>
        <w:bottom w:val="none" w:sz="0" w:space="0" w:color="auto"/>
        <w:right w:val="none" w:sz="0" w:space="0" w:color="auto"/>
      </w:divBdr>
    </w:div>
    <w:div w:id="1268927660">
      <w:bodyDiv w:val="1"/>
      <w:marLeft w:val="0"/>
      <w:marRight w:val="0"/>
      <w:marTop w:val="0"/>
      <w:marBottom w:val="0"/>
      <w:divBdr>
        <w:top w:val="none" w:sz="0" w:space="0" w:color="auto"/>
        <w:left w:val="none" w:sz="0" w:space="0" w:color="auto"/>
        <w:bottom w:val="none" w:sz="0" w:space="0" w:color="auto"/>
        <w:right w:val="none" w:sz="0" w:space="0" w:color="auto"/>
      </w:divBdr>
    </w:div>
    <w:div w:id="1452094668">
      <w:bodyDiv w:val="1"/>
      <w:marLeft w:val="0"/>
      <w:marRight w:val="0"/>
      <w:marTop w:val="0"/>
      <w:marBottom w:val="0"/>
      <w:divBdr>
        <w:top w:val="none" w:sz="0" w:space="0" w:color="auto"/>
        <w:left w:val="none" w:sz="0" w:space="0" w:color="auto"/>
        <w:bottom w:val="none" w:sz="0" w:space="0" w:color="auto"/>
        <w:right w:val="none" w:sz="0" w:space="0" w:color="auto"/>
      </w:divBdr>
    </w:div>
    <w:div w:id="1481269618">
      <w:bodyDiv w:val="1"/>
      <w:marLeft w:val="0"/>
      <w:marRight w:val="0"/>
      <w:marTop w:val="0"/>
      <w:marBottom w:val="0"/>
      <w:divBdr>
        <w:top w:val="none" w:sz="0" w:space="0" w:color="auto"/>
        <w:left w:val="none" w:sz="0" w:space="0" w:color="auto"/>
        <w:bottom w:val="none" w:sz="0" w:space="0" w:color="auto"/>
        <w:right w:val="none" w:sz="0" w:space="0" w:color="auto"/>
      </w:divBdr>
    </w:div>
    <w:div w:id="1540707138">
      <w:bodyDiv w:val="1"/>
      <w:marLeft w:val="0"/>
      <w:marRight w:val="0"/>
      <w:marTop w:val="0"/>
      <w:marBottom w:val="0"/>
      <w:divBdr>
        <w:top w:val="none" w:sz="0" w:space="0" w:color="auto"/>
        <w:left w:val="none" w:sz="0" w:space="0" w:color="auto"/>
        <w:bottom w:val="none" w:sz="0" w:space="0" w:color="auto"/>
        <w:right w:val="none" w:sz="0" w:space="0" w:color="auto"/>
      </w:divBdr>
    </w:div>
    <w:div w:id="1573390823">
      <w:bodyDiv w:val="1"/>
      <w:marLeft w:val="0"/>
      <w:marRight w:val="0"/>
      <w:marTop w:val="0"/>
      <w:marBottom w:val="0"/>
      <w:divBdr>
        <w:top w:val="none" w:sz="0" w:space="0" w:color="auto"/>
        <w:left w:val="none" w:sz="0" w:space="0" w:color="auto"/>
        <w:bottom w:val="none" w:sz="0" w:space="0" w:color="auto"/>
        <w:right w:val="none" w:sz="0" w:space="0" w:color="auto"/>
      </w:divBdr>
    </w:div>
    <w:div w:id="20896450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1388</Words>
  <Characters>7916</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Brady</dc:creator>
  <cp:keywords/>
  <dc:description/>
  <cp:lastModifiedBy>Riley Brady</cp:lastModifiedBy>
  <cp:revision>42</cp:revision>
  <dcterms:created xsi:type="dcterms:W3CDTF">2018-08-28T18:48:00Z</dcterms:created>
  <dcterms:modified xsi:type="dcterms:W3CDTF">2018-09-05T18:17:00Z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zotero-version="5.0.46"&gt;&lt;session id="XqYSlhdE"/&gt;&lt;style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