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256" w:rsidRDefault="00B76256" w:rsidP="00B76256">
      <w:r>
        <w:t>Automatyka i Robotyka – II stopień.</w:t>
      </w:r>
    </w:p>
    <w:p w:rsidR="00B76256" w:rsidRDefault="00B76256" w:rsidP="00B76256">
      <w:r>
        <w:t xml:space="preserve">TEMAT </w:t>
      </w:r>
      <w:proofErr w:type="spellStart"/>
      <w:r>
        <w:t>PROJEKT</w:t>
      </w:r>
      <w:r w:rsidR="00ED5ABC">
        <w:t>u</w:t>
      </w:r>
      <w:proofErr w:type="spellEnd"/>
      <w:r w:rsidR="00ED5ABC">
        <w:t xml:space="preserve"> </w:t>
      </w:r>
      <w:r>
        <w:t xml:space="preserve"> z przedmiotu „Sterowanie Adaptacyjne i Estymacja”  - 202</w:t>
      </w:r>
      <w:r w:rsidR="000B794E">
        <w:t>3</w:t>
      </w:r>
      <w:r>
        <w:t>—202</w:t>
      </w:r>
      <w:r w:rsidR="000B794E">
        <w:t>4</w:t>
      </w:r>
    </w:p>
    <w:p w:rsidR="006D631D" w:rsidRDefault="006D631D" w:rsidP="00DA6F9D">
      <w:pPr>
        <w:ind w:left="284" w:hanging="284"/>
      </w:pPr>
    </w:p>
    <w:p w:rsidR="00B76256" w:rsidRDefault="00A04AA7" w:rsidP="00B76256">
      <w:pPr>
        <w:ind w:left="284" w:hanging="284"/>
      </w:pPr>
      <w:r>
        <w:t>0</w:t>
      </w:r>
      <w:r w:rsidR="000B794E">
        <w:t>7</w:t>
      </w:r>
      <w:bookmarkStart w:id="0" w:name="_GoBack"/>
      <w:bookmarkEnd w:id="0"/>
      <w:r w:rsidR="00B76256">
        <w:t xml:space="preserve">. Zamodelować układ sterowania ze strukturą MFC (str.190) i obiektem </w:t>
      </w:r>
      <w:proofErr w:type="spellStart"/>
      <w:r w:rsidR="00B76256">
        <w:t>wieloinercyjnym</w:t>
      </w:r>
      <w:proofErr w:type="spellEnd"/>
      <w:r w:rsidR="00B76256">
        <w:t xml:space="preserve"> G, z zadawanym skokowym sygnałem referencyjnym r i skokowym sygnałem zakłócenia na wyjściu z. Przyjąć regulator główny </w:t>
      </w:r>
      <w:r w:rsidR="00DF2DF3" w:rsidRPr="00DF2DF3">
        <w:rPr>
          <w:b/>
        </w:rPr>
        <w:t>R</w:t>
      </w:r>
      <w:r w:rsidR="00DF2DF3" w:rsidRPr="00DF2DF3">
        <w:rPr>
          <w:b/>
          <w:vertAlign w:val="subscript"/>
        </w:rPr>
        <w:t>M</w:t>
      </w:r>
      <w:r w:rsidR="00DF2DF3">
        <w:t xml:space="preserve"> </w:t>
      </w:r>
      <w:r w:rsidR="00B76256">
        <w:t xml:space="preserve">typu PI. Regulator pomocniczy </w:t>
      </w:r>
      <w:proofErr w:type="spellStart"/>
      <w:r w:rsidR="00DF2DF3" w:rsidRPr="00DF2DF3">
        <w:rPr>
          <w:b/>
        </w:rPr>
        <w:t>R</w:t>
      </w:r>
      <w:r w:rsidR="00DF2DF3" w:rsidRPr="00DF2DF3">
        <w:rPr>
          <w:b/>
          <w:vertAlign w:val="subscript"/>
        </w:rPr>
        <w:t>k</w:t>
      </w:r>
      <w:proofErr w:type="spellEnd"/>
      <w:r w:rsidR="00DF2DF3">
        <w:t xml:space="preserve"> </w:t>
      </w:r>
      <w:r w:rsidR="00DF2DF3">
        <w:rPr>
          <w:rFonts w:cstheme="minorHAnsi"/>
        </w:rPr>
        <w:t>≠</w:t>
      </w:r>
      <w:r w:rsidR="00DF2DF3" w:rsidRPr="00DF2DF3">
        <w:rPr>
          <w:rFonts w:cstheme="minorHAnsi"/>
          <w:b/>
        </w:rPr>
        <w:t>R</w:t>
      </w:r>
      <w:r w:rsidR="00DF2DF3" w:rsidRPr="00DF2DF3">
        <w:rPr>
          <w:rFonts w:cstheme="minorHAnsi"/>
          <w:b/>
          <w:vertAlign w:val="subscript"/>
        </w:rPr>
        <w:t>M</w:t>
      </w:r>
      <w:r w:rsidR="00DF2DF3">
        <w:rPr>
          <w:rFonts w:cstheme="minorHAnsi"/>
        </w:rPr>
        <w:t xml:space="preserve"> </w:t>
      </w:r>
      <w:r w:rsidR="00B76256">
        <w:t xml:space="preserve">dobrać </w:t>
      </w:r>
      <w:r w:rsidR="00DF2DF3">
        <w:t xml:space="preserve">tak aby zachodził </w:t>
      </w:r>
      <w:r w:rsidR="00B76256">
        <w:t>wz</w:t>
      </w:r>
      <w:r w:rsidR="00DF2DF3">
        <w:t>ór</w:t>
      </w:r>
      <w:r w:rsidR="00B76256">
        <w:t xml:space="preserve"> (6.8).</w:t>
      </w:r>
    </w:p>
    <w:p w:rsidR="007624BC" w:rsidRDefault="007624BC" w:rsidP="00B76256">
      <w:pPr>
        <w:ind w:left="284" w:hanging="284"/>
      </w:pPr>
      <w:r>
        <w:rPr>
          <w:rFonts w:ascii="Times New Roman" w:hAnsi="Times New Roman"/>
          <w:position w:val="-30"/>
          <w:sz w:val="20"/>
        </w:rPr>
        <w:object w:dxaOrig="3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5pt;height:34.15pt" o:ole="" fillcolor="window">
            <v:imagedata r:id="rId6" o:title=""/>
          </v:shape>
          <o:OLEObject Type="Embed" ProgID="Equation.3" ShapeID="_x0000_i1025" DrawAspect="Content" ObjectID="_1759050860" r:id="rId7"/>
        </w:object>
      </w:r>
    </w:p>
    <w:p w:rsidR="00051706" w:rsidRDefault="00051706" w:rsidP="00B76256">
      <w:pPr>
        <w:ind w:left="284" w:hanging="284"/>
      </w:pPr>
      <w:r>
        <w:rPr>
          <w:noProof/>
          <w:lang w:eastAsia="pl-PL"/>
        </w:rPr>
        <w:drawing>
          <wp:inline distT="0" distB="0" distL="0" distR="0" wp14:anchorId="6DE7F621" wp14:editId="25BCC116">
            <wp:extent cx="2754947" cy="1217431"/>
            <wp:effectExtent l="0" t="0" r="762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319" cy="12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F3" w:rsidRDefault="00B76256" w:rsidP="00DF2DF3">
      <w:pPr>
        <w:spacing w:after="0"/>
        <w:ind w:left="284"/>
      </w:pPr>
      <w:r>
        <w:t xml:space="preserve">Powinno zachodzić </w:t>
      </w:r>
      <w:r w:rsidRPr="00DF2DF3">
        <w:rPr>
          <w:b/>
        </w:rPr>
        <w:t>G</w:t>
      </w:r>
      <w:r w:rsidRPr="00DF2DF3">
        <w:rPr>
          <w:b/>
          <w:vertAlign w:val="subscript"/>
        </w:rPr>
        <w:t>M</w:t>
      </w:r>
      <w:r w:rsidRPr="00DF2DF3">
        <w:rPr>
          <w:b/>
        </w:rPr>
        <w:t>=G</w:t>
      </w:r>
      <w:r>
        <w:t xml:space="preserve">. W tym celu na początku przyjąć brak zakłócenia z i wtedy identyfikować </w:t>
      </w:r>
      <w:r w:rsidRPr="00DF2DF3">
        <w:rPr>
          <w:b/>
        </w:rPr>
        <w:t>G</w:t>
      </w:r>
      <w:r>
        <w:t xml:space="preserve"> metodą </w:t>
      </w:r>
    </w:p>
    <w:p w:rsidR="00B76256" w:rsidRDefault="00B76256" w:rsidP="00B76256">
      <w:pPr>
        <w:ind w:left="284"/>
      </w:pPr>
      <w:r>
        <w:t xml:space="preserve">on-line </w:t>
      </w:r>
      <w:r w:rsidRPr="00B76256">
        <w:rPr>
          <w:b/>
        </w:rPr>
        <w:t>pasywnie</w:t>
      </w:r>
      <w:r>
        <w:t xml:space="preserve">  - poprzez dekonwolucj</w:t>
      </w:r>
      <w:r w:rsidR="00DF2DF3">
        <w:t>ę</w:t>
      </w:r>
      <w:r>
        <w:t xml:space="preserve"> </w:t>
      </w:r>
      <w:r w:rsidR="00DF2DF3">
        <w:t>– z</w:t>
      </w:r>
      <w:r>
        <w:t>identyfik</w:t>
      </w:r>
      <w:r w:rsidR="00DF2DF3">
        <w:t xml:space="preserve">ować kształt </w:t>
      </w:r>
      <w:r w:rsidRPr="00B76256">
        <w:rPr>
          <w:b/>
          <w:u w:val="single"/>
        </w:rPr>
        <w:t>dyskretnej</w:t>
      </w:r>
      <w:r>
        <w:t xml:space="preserve"> </w:t>
      </w:r>
      <w:r w:rsidRPr="00B76256">
        <w:rPr>
          <w:b/>
        </w:rPr>
        <w:t>charakterystyki impulsowej g(</w:t>
      </w:r>
      <w:proofErr w:type="spellStart"/>
      <w:r w:rsidRPr="00B76256">
        <w:rPr>
          <w:b/>
        </w:rPr>
        <w:t>t</w:t>
      </w:r>
      <w:r>
        <w:rPr>
          <w:b/>
          <w:vertAlign w:val="subscript"/>
        </w:rPr>
        <w:t>i</w:t>
      </w:r>
      <w:proofErr w:type="spellEnd"/>
      <w:r w:rsidRPr="00B76256">
        <w:rPr>
          <w:b/>
        </w:rPr>
        <w:t>)</w:t>
      </w:r>
      <w:r>
        <w:t xml:space="preserve">, a następnie </w:t>
      </w:r>
      <w:r w:rsidRPr="00B76256">
        <w:rPr>
          <w:b/>
        </w:rPr>
        <w:t>skokowej h(</w:t>
      </w:r>
      <w:proofErr w:type="spellStart"/>
      <w:r w:rsidRPr="00B76256">
        <w:rPr>
          <w:b/>
        </w:rPr>
        <w:t>t</w:t>
      </w:r>
      <w:r>
        <w:rPr>
          <w:b/>
          <w:vertAlign w:val="subscript"/>
        </w:rPr>
        <w:t>i</w:t>
      </w:r>
      <w:proofErr w:type="spellEnd"/>
      <w:r w:rsidRPr="00B76256">
        <w:rPr>
          <w:b/>
        </w:rPr>
        <w:t>)</w:t>
      </w:r>
      <w:r>
        <w:t xml:space="preserve"> (identyfikacja nieparametryczna) z małym krokiem dyskretyzacji. </w:t>
      </w:r>
    </w:p>
    <w:p w:rsidR="00EE5008" w:rsidRDefault="00EE5008" w:rsidP="00EE5008">
      <w:pPr>
        <w:ind w:left="284" w:hanging="284"/>
        <w:jc w:val="both"/>
      </w:pPr>
      <w:r>
        <w:t xml:space="preserve">Pakiet do inteligentnej </w:t>
      </w:r>
      <w:r>
        <w:rPr>
          <w:u w:val="single"/>
        </w:rPr>
        <w:t>pasywnej</w:t>
      </w:r>
      <w:r>
        <w:t xml:space="preserve"> metody identyfikacji nieznanego obiektu wieloinercyjnego z dowolnym sterowaniem </w:t>
      </w:r>
      <w:r w:rsidRPr="00AC6BE5">
        <w:rPr>
          <w:b/>
          <w:u w:val="single"/>
        </w:rPr>
        <w:t xml:space="preserve">ON-LINE </w:t>
      </w:r>
      <w:r>
        <w:t xml:space="preserve">(ciąg skoków, sygnał z 10 różnych sinusoid) dla odtworzenia charakterystyki impulsowej g(t), a następnie skokowej h(t) (identyfikacja nieparametryczna za pomocą </w:t>
      </w:r>
      <w:proofErr w:type="spellStart"/>
      <w:r>
        <w:t>dekonwolucji</w:t>
      </w:r>
      <w:proofErr w:type="spellEnd"/>
      <w:r>
        <w:t xml:space="preserve"> rozszerzonej), tego nieznanego obiektu DYSKRETNEGO z małym krokiem dyskretyzacji, a w drugim etapie identyfikacja jego transmitancji modelem </w:t>
      </w:r>
      <w:proofErr w:type="spellStart"/>
      <w:r>
        <w:t>Strejca</w:t>
      </w:r>
      <w:proofErr w:type="spellEnd"/>
      <w:r>
        <w:t xml:space="preserve"> odpowiedniego rzędu n (metodą dwupunktową) .</w:t>
      </w:r>
    </w:p>
    <w:p w:rsidR="00EE5008" w:rsidRDefault="00EE5008" w:rsidP="00B76256">
      <w:pPr>
        <w:ind w:left="284"/>
      </w:pPr>
    </w:p>
    <w:p w:rsidR="007624BC" w:rsidRDefault="007624BC" w:rsidP="00B76256">
      <w:pPr>
        <w:ind w:left="284"/>
      </w:pPr>
      <w:r>
        <w:rPr>
          <w:noProof/>
          <w:lang w:eastAsia="pl-PL"/>
        </w:rPr>
        <w:drawing>
          <wp:inline distT="0" distB="0" distL="0" distR="0" wp14:anchorId="191AC739" wp14:editId="23A082BD">
            <wp:extent cx="4821733" cy="34691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890" cy="34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008" w:rsidRPr="00EE5008">
        <w:rPr>
          <w:noProof/>
          <w:lang w:eastAsia="pl-PL"/>
        </w:rPr>
        <w:t xml:space="preserve"> </w:t>
      </w:r>
      <w:r w:rsidR="00EE5008">
        <w:rPr>
          <w:noProof/>
          <w:lang w:eastAsia="pl-PL"/>
        </w:rPr>
        <w:drawing>
          <wp:inline distT="0" distB="0" distL="0" distR="0" wp14:anchorId="498FB03D" wp14:editId="5A3D81AA">
            <wp:extent cx="974558" cy="586627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584" cy="5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F3" w:rsidRDefault="00DF2DF3" w:rsidP="00DF2DF3">
      <w:pPr>
        <w:ind w:left="284"/>
        <w:jc w:val="both"/>
      </w:pPr>
      <w:r>
        <w:t xml:space="preserve">ON-LINE oznacza, że okno przesuwne </w:t>
      </w:r>
      <w:proofErr w:type="spellStart"/>
      <w:r>
        <w:t>dekonwolucji</w:t>
      </w:r>
      <w:proofErr w:type="spellEnd"/>
      <w:r>
        <w:t xml:space="preserve"> z N próbkami przesuwa się małym skokiem </w:t>
      </w:r>
      <w:proofErr w:type="spellStart"/>
      <w:r>
        <w:rPr>
          <w:rFonts w:cstheme="minorHAnsi"/>
        </w:rPr>
        <w:t>Δ</w:t>
      </w:r>
      <w:r>
        <w:t>t</w:t>
      </w:r>
      <w:proofErr w:type="spellEnd"/>
      <w:r>
        <w:t xml:space="preserve"> i w każdym kroku mamy wykreśloną pełna odpowiedź skokową (oczywiście pierwszy raz można ja wykreślić dopiero po N krokach) , a potem już w każdym kroku </w:t>
      </w:r>
      <w:r w:rsidR="004F62DA">
        <w:t xml:space="preserve">jest dany </w:t>
      </w:r>
      <w:r>
        <w:t>jej pełny obraz</w:t>
      </w:r>
      <w:r w:rsidR="004F62DA">
        <w:t xml:space="preserve"> „wstecz”</w:t>
      </w:r>
      <w:r>
        <w:t>.</w:t>
      </w:r>
    </w:p>
    <w:p w:rsidR="00DF2DF3" w:rsidRDefault="00DF2DF3" w:rsidP="00DF2DF3">
      <w:pPr>
        <w:ind w:left="284"/>
        <w:jc w:val="both"/>
      </w:pPr>
      <w:r>
        <w:t xml:space="preserve">Jako obiekt „nieznany” </w:t>
      </w:r>
      <w:r w:rsidR="00F42200" w:rsidRPr="00F42200">
        <w:rPr>
          <w:b/>
        </w:rPr>
        <w:t>G</w:t>
      </w:r>
      <w:r w:rsidR="00F42200">
        <w:t xml:space="preserve"> przyjąć </w:t>
      </w:r>
      <w:r>
        <w:t xml:space="preserve">obiekt  6-go rzędu: </w:t>
      </w:r>
    </w:p>
    <w:p w:rsidR="00DF2DF3" w:rsidRDefault="00F42200" w:rsidP="00DF2DF3">
      <w:pPr>
        <w:ind w:left="284"/>
        <w:jc w:val="both"/>
      </w:pPr>
      <w:r w:rsidRPr="00F42200">
        <w:rPr>
          <w:position w:val="-28"/>
        </w:rPr>
        <w:object w:dxaOrig="9760" w:dyaOrig="660">
          <v:shape id="_x0000_i1026" type="#_x0000_t75" style="width:6in;height:29.55pt" o:ole="">
            <v:imagedata r:id="rId11" o:title=""/>
          </v:shape>
          <o:OLEObject Type="Embed" ProgID="Equation.3" ShapeID="_x0000_i1026" DrawAspect="Content" ObjectID="_1759050861" r:id="rId12"/>
        </w:object>
      </w:r>
      <w:r w:rsidR="00DF2DF3">
        <w:t xml:space="preserve"> </w:t>
      </w:r>
    </w:p>
    <w:p w:rsidR="00051706" w:rsidRDefault="00DF2DF3" w:rsidP="00F42200">
      <w:pPr>
        <w:ind w:left="284"/>
        <w:jc w:val="both"/>
      </w:pPr>
      <w:r>
        <w:t xml:space="preserve">W drugim etapie na podstawie </w:t>
      </w:r>
      <w:r w:rsidR="00F42200">
        <w:t xml:space="preserve">otrzymanej charakterystyki </w:t>
      </w:r>
      <w:r>
        <w:t>skokowej</w:t>
      </w:r>
      <w:r w:rsidR="00F42200">
        <w:t>,</w:t>
      </w:r>
      <w:r>
        <w:t xml:space="preserve"> dobrać dla </w:t>
      </w:r>
      <w:r w:rsidRPr="00DF2DF3">
        <w:rPr>
          <w:b/>
        </w:rPr>
        <w:t xml:space="preserve">G </w:t>
      </w:r>
      <w:r>
        <w:t xml:space="preserve">model </w:t>
      </w:r>
      <w:proofErr w:type="spellStart"/>
      <w:r>
        <w:t>Strejca</w:t>
      </w:r>
      <w:proofErr w:type="spellEnd"/>
      <w:r>
        <w:t xml:space="preserve"> odpowiedniego rzędu n (metodą dwupunktową) (2 osoby). </w:t>
      </w:r>
    </w:p>
    <w:p w:rsidR="004F62DA" w:rsidRDefault="004F62DA" w:rsidP="00F42200">
      <w:pPr>
        <w:ind w:left="284"/>
        <w:jc w:val="both"/>
      </w:pPr>
      <w:r>
        <w:t xml:space="preserve">W każdym kroku i-tym, dla i&gt;N mamy wyliczone parametry obiektu </w:t>
      </w:r>
      <w:proofErr w:type="spellStart"/>
      <w:r w:rsidR="00051706">
        <w:t>Strejca</w:t>
      </w:r>
      <w:proofErr w:type="spellEnd"/>
      <w:r w:rsidR="00051706">
        <w:t xml:space="preserve"> </w:t>
      </w:r>
      <w:r>
        <w:t xml:space="preserve">tzn. T(i), n(i), </w:t>
      </w:r>
      <w:r>
        <w:rPr>
          <w:rFonts w:cstheme="minorHAnsi"/>
        </w:rPr>
        <w:t>τ</w:t>
      </w:r>
      <w:r>
        <w:t>(i).</w:t>
      </w:r>
    </w:p>
    <w:p w:rsidR="00DF2DF3" w:rsidRPr="00320264" w:rsidRDefault="00DF2DF3" w:rsidP="00DF2DF3">
      <w:pPr>
        <w:ind w:left="284"/>
        <w:jc w:val="both"/>
        <w:rPr>
          <w:sz w:val="24"/>
          <w:szCs w:val="24"/>
        </w:rPr>
      </w:pPr>
      <w:r w:rsidRPr="00320264">
        <w:rPr>
          <w:sz w:val="24"/>
          <w:szCs w:val="24"/>
        </w:rPr>
        <w:t xml:space="preserve">Rząd modelu </w:t>
      </w:r>
      <w:proofErr w:type="spellStart"/>
      <w:r w:rsidRPr="00320264">
        <w:rPr>
          <w:sz w:val="24"/>
          <w:szCs w:val="24"/>
        </w:rPr>
        <w:t>Strejca</w:t>
      </w:r>
      <w:proofErr w:type="spellEnd"/>
      <w:r w:rsidRPr="00320264">
        <w:rPr>
          <w:sz w:val="24"/>
          <w:szCs w:val="24"/>
        </w:rPr>
        <w:t xml:space="preserve"> dobierać z tabelki (Byrski) sprawdzając kolejne wiersze od n=1, 2, 3… do chwili gdy opóźnienie </w:t>
      </w:r>
      <w:r w:rsidRPr="00320264">
        <w:rPr>
          <w:rFonts w:cstheme="minorHAnsi"/>
          <w:sz w:val="24"/>
          <w:szCs w:val="24"/>
        </w:rPr>
        <w:t>τ stanie się ujemne.</w:t>
      </w:r>
      <w:r>
        <w:rPr>
          <w:rFonts w:cstheme="minorHAnsi"/>
          <w:sz w:val="24"/>
          <w:szCs w:val="24"/>
        </w:rPr>
        <w:t xml:space="preserve"> Zapami</w:t>
      </w:r>
      <w:r w:rsidR="00051706">
        <w:rPr>
          <w:rFonts w:cstheme="minorHAnsi"/>
          <w:sz w:val="24"/>
          <w:szCs w:val="24"/>
        </w:rPr>
        <w:t>ę</w:t>
      </w:r>
      <w:r>
        <w:rPr>
          <w:rFonts w:cstheme="minorHAnsi"/>
          <w:sz w:val="24"/>
          <w:szCs w:val="24"/>
        </w:rPr>
        <w:t>tać T, n i τ.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721"/>
        <w:gridCol w:w="2866"/>
        <w:gridCol w:w="1435"/>
        <w:gridCol w:w="3365"/>
      </w:tblGrid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r w:rsidRPr="00B47D86">
              <w:rPr>
                <w:b/>
                <w:i/>
                <w:sz w:val="20"/>
                <w:szCs w:val="20"/>
              </w:rPr>
              <w:t>n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B47D86">
              <w:rPr>
                <w:b/>
                <w:i/>
                <w:sz w:val="20"/>
                <w:szCs w:val="20"/>
              </w:rPr>
              <w:t>h</w:t>
            </w:r>
            <w:r w:rsidRPr="00B47D86">
              <w:rPr>
                <w:b/>
                <w:i/>
                <w:sz w:val="20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B47D86">
              <w:rPr>
                <w:b/>
                <w:i/>
                <w:sz w:val="20"/>
                <w:szCs w:val="20"/>
              </w:rPr>
              <w:t>T</w:t>
            </w:r>
            <w:r w:rsidRPr="00B47D86">
              <w:rPr>
                <w:b/>
                <w:i/>
                <w:sz w:val="20"/>
                <w:szCs w:val="20"/>
                <w:vertAlign w:val="subscript"/>
              </w:rPr>
              <w:t>n</w:t>
            </w:r>
            <w:proofErr w:type="spellEnd"/>
            <w:r w:rsidRPr="00B47D86"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B47D86">
              <w:rPr>
                <w:b/>
                <w:i/>
                <w:sz w:val="20"/>
                <w:szCs w:val="20"/>
              </w:rPr>
              <w:t>τ</w:t>
            </w:r>
            <w:r w:rsidRPr="00B47D86">
              <w:rPr>
                <w:b/>
                <w:i/>
                <w:sz w:val="20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b/>
                <w:i/>
                <w:sz w:val="20"/>
                <w:szCs w:val="20"/>
                <w:vertAlign w:val="subscript"/>
              </w:rPr>
            </w:pPr>
            <w:proofErr w:type="spellStart"/>
            <w:r w:rsidRPr="00B47D86">
              <w:rPr>
                <w:b/>
                <w:i/>
                <w:sz w:val="20"/>
                <w:szCs w:val="20"/>
              </w:rPr>
              <w:t>τ</w:t>
            </w:r>
            <w:r w:rsidRPr="00B47D86">
              <w:rPr>
                <w:b/>
                <w:i/>
                <w:sz w:val="20"/>
                <w:szCs w:val="20"/>
                <w:vertAlign w:val="subscript"/>
              </w:rPr>
              <w:t>n</w:t>
            </w:r>
            <w:proofErr w:type="spellEnd"/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2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0.264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460" w:dyaOrig="360">
                <v:shape id="_x0000_i1027" type="#_x0000_t75" style="width:120.9pt;height:17.55pt" o:ole="">
                  <v:imagedata r:id="rId13" o:title=""/>
                </v:shape>
                <o:OLEObject Type="Embed" ProgID="Equation.3" ShapeID="_x0000_i1027" DrawAspect="Content" ObjectID="_1759050862" r:id="rId14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219" w:dyaOrig="360">
                <v:shape id="_x0000_i1028" type="#_x0000_t75" style="width:58.15pt;height:17.1pt" o:ole="">
                  <v:imagedata r:id="rId15" o:title=""/>
                </v:shape>
                <o:OLEObject Type="Embed" ProgID="Equation.3" ShapeID="_x0000_i1028" DrawAspect="Content" ObjectID="_1759050863" r:id="rId16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3180" w:dyaOrig="360">
                <v:shape id="_x0000_i1029" type="#_x0000_t75" style="width:156pt;height:17.55pt" o:ole="">
                  <v:imagedata r:id="rId17" o:title=""/>
                </v:shape>
                <o:OLEObject Type="Embed" ProgID="Equation.3" ShapeID="_x0000_i1029" DrawAspect="Content" ObjectID="_1759050864" r:id="rId18"/>
              </w:object>
            </w:r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3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0.323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439" w:dyaOrig="360">
                <v:shape id="_x0000_i1030" type="#_x0000_t75" style="width:121.4pt;height:18pt" o:ole="">
                  <v:imagedata r:id="rId19" o:title=""/>
                </v:shape>
                <o:OLEObject Type="Embed" ProgID="Equation.3" ShapeID="_x0000_i1030" DrawAspect="Content" ObjectID="_1759050865" r:id="rId20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320" w:dyaOrig="360">
                <v:shape id="_x0000_i1031" type="#_x0000_t75" style="width:60.45pt;height:16.6pt" o:ole="">
                  <v:imagedata r:id="rId21" o:title=""/>
                </v:shape>
                <o:OLEObject Type="Embed" ProgID="Equation.3" ShapeID="_x0000_i1031" DrawAspect="Content" ObjectID="_1759050866" r:id="rId22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3180" w:dyaOrig="360">
                <v:shape id="_x0000_i1032" type="#_x0000_t75" style="width:154.15pt;height:17.55pt" o:ole="">
                  <v:imagedata r:id="rId23" o:title=""/>
                </v:shape>
                <o:OLEObject Type="Embed" ProgID="Equation.3" ShapeID="_x0000_i1032" DrawAspect="Content" ObjectID="_1759050867" r:id="rId24"/>
              </w:object>
            </w:r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4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0.353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460" w:dyaOrig="360">
                <v:shape id="_x0000_i1033" type="#_x0000_t75" style="width:126.45pt;height:18.45pt" o:ole="">
                  <v:imagedata r:id="rId25" o:title=""/>
                </v:shape>
                <o:OLEObject Type="Embed" ProgID="Equation.3" ShapeID="_x0000_i1033" DrawAspect="Content" ObjectID="_1759050868" r:id="rId26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340" w:dyaOrig="360">
                <v:shape id="_x0000_i1034" type="#_x0000_t75" style="width:60.9pt;height:16.15pt" o:ole="">
                  <v:imagedata r:id="rId27" o:title=""/>
                </v:shape>
                <o:OLEObject Type="Embed" ProgID="Equation.3" ShapeID="_x0000_i1034" DrawAspect="Content" ObjectID="_1759050869" r:id="rId28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3200" w:dyaOrig="360">
                <v:shape id="_x0000_i1035" type="#_x0000_t75" style="width:153.7pt;height:17.1pt" o:ole="">
                  <v:imagedata r:id="rId29" o:title=""/>
                </v:shape>
                <o:OLEObject Type="Embed" ProgID="Equation.3" ShapeID="_x0000_i1035" DrawAspect="Content" ObjectID="_1759050870" r:id="rId30"/>
              </w:object>
            </w:r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5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sz w:val="20"/>
                <w:szCs w:val="20"/>
              </w:rPr>
              <w:t>0.371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439" w:dyaOrig="360">
                <v:shape id="_x0000_i1036" type="#_x0000_t75" style="width:126pt;height:18.9pt" o:ole="">
                  <v:imagedata r:id="rId31" o:title=""/>
                </v:shape>
                <o:OLEObject Type="Embed" ProgID="Equation.3" ShapeID="_x0000_i1036" DrawAspect="Content" ObjectID="_1759050871" r:id="rId32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320" w:dyaOrig="360">
                <v:shape id="_x0000_i1037" type="#_x0000_t75" style="width:60.45pt;height:16.15pt" o:ole="">
                  <v:imagedata r:id="rId33" o:title=""/>
                </v:shape>
                <o:OLEObject Type="Embed" ProgID="Equation.3" ShapeID="_x0000_i1037" DrawAspect="Content" ObjectID="_1759050872" r:id="rId34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3159" w:dyaOrig="360">
                <v:shape id="_x0000_i1038" type="#_x0000_t75" style="width:151.85pt;height:17.1pt" o:ole="">
                  <v:imagedata r:id="rId35" o:title=""/>
                </v:shape>
                <o:OLEObject Type="Embed" ProgID="Equation.3" ShapeID="_x0000_i1038" DrawAspect="Content" ObjectID="_1759050873" r:id="rId36"/>
              </w:object>
            </w:r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0.384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380" w:dyaOrig="360">
                <v:shape id="_x0000_i1039" type="#_x0000_t75" style="width:123.7pt;height:18.9pt" o:ole="">
                  <v:imagedata r:id="rId37" o:title=""/>
                </v:shape>
                <o:OLEObject Type="Embed" ProgID="Equation.3" ShapeID="_x0000_i1039" DrawAspect="Content" ObjectID="_1759050874" r:id="rId38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260" w:dyaOrig="360">
                <v:shape id="_x0000_i1040" type="#_x0000_t75" style="width:57.7pt;height:16.15pt" o:ole="">
                  <v:imagedata r:id="rId39" o:title=""/>
                </v:shape>
                <o:OLEObject Type="Embed" ProgID="Equation.3" ShapeID="_x0000_i1040" DrawAspect="Content" ObjectID="_1759050875" r:id="rId40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3080" w:dyaOrig="360">
                <v:shape id="_x0000_i1041" type="#_x0000_t75" style="width:148.15pt;height:17.1pt" o:ole="">
                  <v:imagedata r:id="rId41" o:title=""/>
                </v:shape>
                <o:OLEObject Type="Embed" ProgID="Equation.3" ShapeID="_x0000_i1041" DrawAspect="Content" ObjectID="_1759050876" r:id="rId42"/>
              </w:object>
            </w:r>
          </w:p>
        </w:tc>
      </w:tr>
      <w:tr w:rsidR="00DF2DF3" w:rsidRPr="00B47D86" w:rsidTr="00F877EB">
        <w:tc>
          <w:tcPr>
            <w:tcW w:w="378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1" w:type="dxa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0.394</w:t>
            </w:r>
          </w:p>
        </w:tc>
        <w:tc>
          <w:tcPr>
            <w:tcW w:w="2866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439" w:dyaOrig="360">
                <v:shape id="_x0000_i1042" type="#_x0000_t75" style="width:126pt;height:18.9pt" o:ole="">
                  <v:imagedata r:id="rId43" o:title=""/>
                </v:shape>
                <o:OLEObject Type="Embed" ProgID="Equation.3" ShapeID="_x0000_i1042" DrawAspect="Content" ObjectID="_1759050877" r:id="rId44"/>
              </w:object>
            </w:r>
          </w:p>
        </w:tc>
        <w:tc>
          <w:tcPr>
            <w:tcW w:w="1435" w:type="dxa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1280" w:dyaOrig="360">
                <v:shape id="_x0000_i1043" type="#_x0000_t75" style="width:58.6pt;height:16.15pt" o:ole="">
                  <v:imagedata r:id="rId45" o:title=""/>
                </v:shape>
                <o:OLEObject Type="Embed" ProgID="Equation.3" ShapeID="_x0000_i1043" DrawAspect="Content" ObjectID="_1759050878" r:id="rId46"/>
              </w:object>
            </w:r>
          </w:p>
        </w:tc>
        <w:tc>
          <w:tcPr>
            <w:tcW w:w="3365" w:type="dxa"/>
            <w:shd w:val="clear" w:color="auto" w:fill="auto"/>
          </w:tcPr>
          <w:p w:rsidR="00DF2DF3" w:rsidRPr="00B47D86" w:rsidRDefault="00DF2DF3" w:rsidP="00F877EB">
            <w:pPr>
              <w:spacing w:before="60" w:after="60"/>
              <w:rPr>
                <w:sz w:val="20"/>
                <w:szCs w:val="20"/>
              </w:rPr>
            </w:pPr>
            <w:r w:rsidRPr="00B47D86">
              <w:rPr>
                <w:position w:val="-12"/>
                <w:sz w:val="20"/>
                <w:szCs w:val="20"/>
              </w:rPr>
              <w:object w:dxaOrig="2860" w:dyaOrig="360">
                <v:shape id="_x0000_i1044" type="#_x0000_t75" style="width:137.1pt;height:17.1pt" o:ole="">
                  <v:imagedata r:id="rId47" o:title=""/>
                </v:shape>
                <o:OLEObject Type="Embed" ProgID="Equation.3" ShapeID="_x0000_i1044" DrawAspect="Content" ObjectID="_1759050879" r:id="rId48"/>
              </w:object>
            </w:r>
          </w:p>
        </w:tc>
      </w:tr>
    </w:tbl>
    <w:p w:rsidR="00051706" w:rsidRDefault="00051706" w:rsidP="00DF2DF3">
      <w:pPr>
        <w:ind w:left="284" w:hanging="284"/>
        <w:jc w:val="both"/>
      </w:pPr>
    </w:p>
    <w:p w:rsidR="00051706" w:rsidRDefault="00051706" w:rsidP="00051706">
      <w:pPr>
        <w:ind w:left="284"/>
        <w:jc w:val="both"/>
      </w:pPr>
      <w:r>
        <w:t xml:space="preserve">W oparciu o model </w:t>
      </w:r>
      <w:proofErr w:type="spellStart"/>
      <w:r>
        <w:t>Strejca</w:t>
      </w:r>
      <w:proofErr w:type="spellEnd"/>
      <w:r>
        <w:t xml:space="preserve"> zastosować regulator </w:t>
      </w:r>
      <w:r w:rsidRPr="00051706">
        <w:rPr>
          <w:b/>
        </w:rPr>
        <w:t>R</w:t>
      </w:r>
      <w:r w:rsidRPr="00051706">
        <w:rPr>
          <w:b/>
          <w:vertAlign w:val="subscript"/>
        </w:rPr>
        <w:t>M</w:t>
      </w:r>
      <w:r>
        <w:t xml:space="preserve"> nastrojony wg.</w:t>
      </w:r>
    </w:p>
    <w:p w:rsidR="00051706" w:rsidRDefault="00051706" w:rsidP="00051706">
      <w:pPr>
        <w:ind w:left="284"/>
        <w:jc w:val="both"/>
      </w:pPr>
      <w:r>
        <w:rPr>
          <w:noProof/>
          <w:lang w:eastAsia="pl-PL"/>
        </w:rPr>
        <w:drawing>
          <wp:inline distT="0" distB="0" distL="0" distR="0" wp14:anchorId="2254707B" wp14:editId="1C6BD6A8">
            <wp:extent cx="4529138" cy="1561786"/>
            <wp:effectExtent l="0" t="0" r="508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13707" cy="15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6" w:rsidRPr="00051706" w:rsidRDefault="00051706" w:rsidP="00DF2DF3">
      <w:pPr>
        <w:ind w:left="284" w:hanging="284"/>
        <w:jc w:val="both"/>
      </w:pPr>
      <w:r>
        <w:t xml:space="preserve">Zastosować w chwili </w:t>
      </w:r>
      <w:proofErr w:type="spellStart"/>
      <w:r>
        <w:t>t</w:t>
      </w:r>
      <w:r>
        <w:rPr>
          <w:vertAlign w:val="subscript"/>
        </w:rPr>
        <w:t>z</w:t>
      </w:r>
      <w:proofErr w:type="spellEnd"/>
      <w:r>
        <w:t xml:space="preserve"> zakłócenie </w:t>
      </w:r>
      <w:r w:rsidR="000941B8">
        <w:t xml:space="preserve">skokowe z(t)=1(t). </w:t>
      </w:r>
      <w:r w:rsidR="00A42D3E">
        <w:t>dla systemu MFC.</w:t>
      </w:r>
      <w:r w:rsidR="000941B8">
        <w:t xml:space="preserve">  Nie powinien wystąpić zauważalny efekt.</w:t>
      </w:r>
    </w:p>
    <w:p w:rsidR="00DF2DF3" w:rsidRDefault="00376FB1" w:rsidP="00DF2DF3">
      <w:pPr>
        <w:ind w:left="284" w:hanging="284"/>
        <w:jc w:val="both"/>
      </w:pPr>
      <w:r>
        <w:t xml:space="preserve">W pewnej chwili obiekt </w:t>
      </w:r>
      <w:r w:rsidR="00051706">
        <w:t>zmieni</w:t>
      </w:r>
      <w:r>
        <w:t xml:space="preserve"> się na </w:t>
      </w:r>
    </w:p>
    <w:p w:rsidR="000941B8" w:rsidRDefault="000941B8" w:rsidP="00DF2DF3">
      <w:pPr>
        <w:ind w:left="284" w:hanging="284"/>
        <w:jc w:val="both"/>
      </w:pPr>
      <w:r w:rsidRPr="000941B8">
        <w:rPr>
          <w:position w:val="-30"/>
        </w:rPr>
        <w:object w:dxaOrig="4760" w:dyaOrig="680">
          <v:shape id="_x0000_i1045" type="#_x0000_t75" style="width:210.9pt;height:30.45pt" o:ole="">
            <v:imagedata r:id="rId50" o:title=""/>
          </v:shape>
          <o:OLEObject Type="Embed" ProgID="Equation.3" ShapeID="_x0000_i1045" DrawAspect="Content" ObjectID="_1759050880" r:id="rId51"/>
        </w:object>
      </w:r>
    </w:p>
    <w:p w:rsidR="00376FB1" w:rsidRDefault="00A42D3E" w:rsidP="00DF2DF3">
      <w:pPr>
        <w:ind w:left="284" w:hanging="284"/>
        <w:jc w:val="both"/>
      </w:pPr>
      <w:r>
        <w:t>Zidentyfikować i d</w:t>
      </w:r>
      <w:r w:rsidR="00376FB1">
        <w:t>obrać nowy regulator.</w:t>
      </w:r>
    </w:p>
    <w:sectPr w:rsidR="00376FB1" w:rsidSect="00F55E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72A2A"/>
    <w:multiLevelType w:val="hybridMultilevel"/>
    <w:tmpl w:val="01906F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29"/>
    <w:rsid w:val="0003253E"/>
    <w:rsid w:val="00051706"/>
    <w:rsid w:val="000941B8"/>
    <w:rsid w:val="000B794E"/>
    <w:rsid w:val="00147120"/>
    <w:rsid w:val="001548DC"/>
    <w:rsid w:val="00204C7B"/>
    <w:rsid w:val="00270103"/>
    <w:rsid w:val="002A0D02"/>
    <w:rsid w:val="002A4D35"/>
    <w:rsid w:val="00376FB1"/>
    <w:rsid w:val="003B33E0"/>
    <w:rsid w:val="003C0C8F"/>
    <w:rsid w:val="004F62DA"/>
    <w:rsid w:val="005D4B69"/>
    <w:rsid w:val="006573AF"/>
    <w:rsid w:val="00665304"/>
    <w:rsid w:val="006D631D"/>
    <w:rsid w:val="00706FE5"/>
    <w:rsid w:val="00732AC6"/>
    <w:rsid w:val="007624BC"/>
    <w:rsid w:val="00780A18"/>
    <w:rsid w:val="007814E6"/>
    <w:rsid w:val="007B763C"/>
    <w:rsid w:val="007D6902"/>
    <w:rsid w:val="008172D0"/>
    <w:rsid w:val="00830F49"/>
    <w:rsid w:val="008518F0"/>
    <w:rsid w:val="00893047"/>
    <w:rsid w:val="00A04AA7"/>
    <w:rsid w:val="00A42D3E"/>
    <w:rsid w:val="00A52B7D"/>
    <w:rsid w:val="00A61DBA"/>
    <w:rsid w:val="00A63A3E"/>
    <w:rsid w:val="00AA51BA"/>
    <w:rsid w:val="00B43FFD"/>
    <w:rsid w:val="00B76256"/>
    <w:rsid w:val="00C30755"/>
    <w:rsid w:val="00CD4ED7"/>
    <w:rsid w:val="00D33577"/>
    <w:rsid w:val="00D42542"/>
    <w:rsid w:val="00D65448"/>
    <w:rsid w:val="00DA6F9D"/>
    <w:rsid w:val="00DD3529"/>
    <w:rsid w:val="00DD53D9"/>
    <w:rsid w:val="00DE436F"/>
    <w:rsid w:val="00DF2DF3"/>
    <w:rsid w:val="00E81482"/>
    <w:rsid w:val="00ED5ABC"/>
    <w:rsid w:val="00EE5008"/>
    <w:rsid w:val="00EF5026"/>
    <w:rsid w:val="00F42200"/>
    <w:rsid w:val="00F42D8A"/>
    <w:rsid w:val="00F55E35"/>
    <w:rsid w:val="00F8636E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11B6"/>
  <w15:chartTrackingRefBased/>
  <w15:docId w15:val="{119935F2-C67F-4AB5-BBCA-B395FDD2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33577"/>
    <w:rPr>
      <w:color w:val="808080"/>
    </w:rPr>
  </w:style>
  <w:style w:type="paragraph" w:styleId="Akapitzlist">
    <w:name w:val="List Paragraph"/>
    <w:basedOn w:val="Normalny"/>
    <w:uiPriority w:val="34"/>
    <w:qFormat/>
    <w:rsid w:val="00D3357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5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5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image" Target="media/image25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CEB06-CF89-4F32-990E-C347BBA2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2021-10-18T18:21:00Z</cp:lastPrinted>
  <dcterms:created xsi:type="dcterms:W3CDTF">2022-10-24T23:27:00Z</dcterms:created>
  <dcterms:modified xsi:type="dcterms:W3CDTF">2023-10-17T10:28:00Z</dcterms:modified>
</cp:coreProperties>
</file>