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C4BB8" w14:textId="77777777" w:rsidR="009C4CCE" w:rsidRPr="004D36D1" w:rsidRDefault="009C4CCE" w:rsidP="0081270E">
      <w:pPr>
        <w:spacing w:line="480" w:lineRule="auto"/>
        <w:contextualSpacing/>
        <w:jc w:val="center"/>
        <w:rPr>
          <w:rFonts w:ascii="Times New Roman" w:hAnsi="Times New Roman" w:cs="Times New Roman"/>
          <w:b/>
          <w:bCs/>
          <w:color w:val="000000" w:themeColor="text1"/>
          <w:sz w:val="24"/>
          <w:szCs w:val="24"/>
        </w:rPr>
      </w:pPr>
    </w:p>
    <w:p w14:paraId="7A010ADC" w14:textId="77777777" w:rsidR="009C4CCE" w:rsidRPr="004D36D1" w:rsidRDefault="009C4CCE" w:rsidP="0081270E">
      <w:pPr>
        <w:spacing w:line="480" w:lineRule="auto"/>
        <w:contextualSpacing/>
        <w:jc w:val="center"/>
        <w:rPr>
          <w:rFonts w:ascii="Times New Roman" w:hAnsi="Times New Roman" w:cs="Times New Roman"/>
          <w:b/>
          <w:bCs/>
          <w:color w:val="000000" w:themeColor="text1"/>
          <w:sz w:val="24"/>
          <w:szCs w:val="24"/>
        </w:rPr>
      </w:pPr>
    </w:p>
    <w:p w14:paraId="19055D35" w14:textId="48748EC3" w:rsidR="00DB350D" w:rsidRPr="004D36D1" w:rsidRDefault="00000000" w:rsidP="0081270E">
      <w:pPr>
        <w:spacing w:line="480" w:lineRule="auto"/>
        <w:contextualSpacing/>
        <w:jc w:val="center"/>
        <w:rPr>
          <w:rFonts w:ascii="Times New Roman" w:hAnsi="Times New Roman" w:cs="Times New Roman"/>
          <w:b/>
          <w:bCs/>
          <w:color w:val="000000" w:themeColor="text1"/>
          <w:sz w:val="24"/>
          <w:szCs w:val="24"/>
        </w:rPr>
      </w:pPr>
      <w:r w:rsidRPr="004D36D1">
        <w:rPr>
          <w:rFonts w:ascii="Times New Roman" w:hAnsi="Times New Roman" w:cs="Times New Roman"/>
          <w:b/>
          <w:bCs/>
          <w:color w:val="000000" w:themeColor="text1"/>
          <w:sz w:val="24"/>
          <w:szCs w:val="24"/>
        </w:rPr>
        <w:t>CASE LEGAL</w:t>
      </w:r>
      <w:r w:rsidR="005F21BE" w:rsidRPr="004D36D1">
        <w:rPr>
          <w:rFonts w:ascii="Times New Roman" w:hAnsi="Times New Roman" w:cs="Times New Roman"/>
          <w:b/>
          <w:bCs/>
          <w:color w:val="000000" w:themeColor="text1"/>
          <w:sz w:val="24"/>
          <w:szCs w:val="24"/>
        </w:rPr>
        <w:t xml:space="preserve"> </w:t>
      </w:r>
      <w:r w:rsidRPr="004D36D1">
        <w:rPr>
          <w:rFonts w:ascii="Times New Roman" w:hAnsi="Times New Roman" w:cs="Times New Roman"/>
          <w:b/>
          <w:bCs/>
          <w:color w:val="000000" w:themeColor="text1"/>
          <w:sz w:val="24"/>
          <w:szCs w:val="24"/>
        </w:rPr>
        <w:t xml:space="preserve">ANALYSIS </w:t>
      </w:r>
    </w:p>
    <w:p w14:paraId="33CCF59B" w14:textId="77777777" w:rsidR="009C4CCE" w:rsidRPr="004D36D1" w:rsidRDefault="009C4CCE" w:rsidP="0081270E">
      <w:pPr>
        <w:spacing w:line="480" w:lineRule="auto"/>
        <w:contextualSpacing/>
        <w:jc w:val="center"/>
        <w:rPr>
          <w:rFonts w:ascii="Times New Roman" w:hAnsi="Times New Roman" w:cs="Times New Roman"/>
          <w:b/>
          <w:bCs/>
          <w:color w:val="000000" w:themeColor="text1"/>
          <w:sz w:val="24"/>
          <w:szCs w:val="24"/>
        </w:rPr>
      </w:pPr>
    </w:p>
    <w:p w14:paraId="2E67735A" w14:textId="60648333" w:rsidR="009C4CCE" w:rsidRPr="004D36D1" w:rsidRDefault="00D20A68" w:rsidP="0081270E">
      <w:pPr>
        <w:spacing w:line="480" w:lineRule="auto"/>
        <w:contextualSpacing/>
        <w:jc w:val="cente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B</w:t>
      </w:r>
      <w:r w:rsidRPr="004D36D1">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w:t>
      </w:r>
      <w:proofErr w:type="gramEnd"/>
      <w:r w:rsidRPr="004D36D1">
        <w:rPr>
          <w:rFonts w:ascii="Times New Roman" w:hAnsi="Times New Roman" w:cs="Times New Roman"/>
          <w:color w:val="000000" w:themeColor="text1"/>
          <w:sz w:val="24"/>
          <w:szCs w:val="24"/>
        </w:rPr>
        <w:t>Name</w:t>
      </w:r>
      <w:r>
        <w:rPr>
          <w:rFonts w:ascii="Times New Roman" w:hAnsi="Times New Roman" w:cs="Times New Roman"/>
          <w:color w:val="000000" w:themeColor="text1"/>
          <w:sz w:val="24"/>
          <w:szCs w:val="24"/>
        </w:rPr>
        <w:t>]</w:t>
      </w:r>
    </w:p>
    <w:p w14:paraId="51C121E1" w14:textId="77777777" w:rsidR="009C4CCE" w:rsidRPr="004D36D1" w:rsidRDefault="009C4CCE" w:rsidP="0081270E">
      <w:pPr>
        <w:spacing w:line="480" w:lineRule="auto"/>
        <w:contextualSpacing/>
        <w:jc w:val="center"/>
        <w:rPr>
          <w:rFonts w:ascii="Times New Roman" w:hAnsi="Times New Roman" w:cs="Times New Roman"/>
          <w:color w:val="000000" w:themeColor="text1"/>
          <w:sz w:val="24"/>
          <w:szCs w:val="24"/>
        </w:rPr>
      </w:pPr>
    </w:p>
    <w:p w14:paraId="793D9AF0" w14:textId="77777777" w:rsidR="009C4CCE" w:rsidRPr="004D36D1" w:rsidRDefault="009C4CCE" w:rsidP="0081270E">
      <w:pPr>
        <w:spacing w:line="480" w:lineRule="auto"/>
        <w:contextualSpacing/>
        <w:jc w:val="center"/>
        <w:rPr>
          <w:rFonts w:ascii="Times New Roman" w:hAnsi="Times New Roman" w:cs="Times New Roman"/>
          <w:color w:val="000000" w:themeColor="text1"/>
          <w:sz w:val="24"/>
          <w:szCs w:val="24"/>
        </w:rPr>
      </w:pPr>
    </w:p>
    <w:p w14:paraId="4B6DE019" w14:textId="77777777" w:rsidR="009C4CCE" w:rsidRPr="004D36D1" w:rsidRDefault="009C4CCE" w:rsidP="0081270E">
      <w:pPr>
        <w:spacing w:line="480" w:lineRule="auto"/>
        <w:contextualSpacing/>
        <w:jc w:val="center"/>
        <w:rPr>
          <w:rFonts w:ascii="Times New Roman" w:hAnsi="Times New Roman" w:cs="Times New Roman"/>
          <w:color w:val="000000" w:themeColor="text1"/>
          <w:sz w:val="24"/>
          <w:szCs w:val="24"/>
        </w:rPr>
      </w:pPr>
    </w:p>
    <w:p w14:paraId="513B031C" w14:textId="77777777" w:rsidR="009C4CCE" w:rsidRPr="004D36D1" w:rsidRDefault="009C4CCE" w:rsidP="0081270E">
      <w:pPr>
        <w:spacing w:line="480" w:lineRule="auto"/>
        <w:contextualSpacing/>
        <w:jc w:val="center"/>
        <w:rPr>
          <w:rFonts w:ascii="Times New Roman" w:hAnsi="Times New Roman" w:cs="Times New Roman"/>
          <w:color w:val="000000" w:themeColor="text1"/>
          <w:sz w:val="24"/>
          <w:szCs w:val="24"/>
        </w:rPr>
      </w:pPr>
    </w:p>
    <w:p w14:paraId="5FF335D1" w14:textId="77777777" w:rsidR="009C4CCE" w:rsidRPr="004D36D1" w:rsidRDefault="009C4CCE" w:rsidP="0081270E">
      <w:pPr>
        <w:spacing w:line="480" w:lineRule="auto"/>
        <w:contextualSpacing/>
        <w:jc w:val="center"/>
        <w:rPr>
          <w:rFonts w:ascii="Times New Roman" w:hAnsi="Times New Roman" w:cs="Times New Roman"/>
          <w:color w:val="000000" w:themeColor="text1"/>
          <w:sz w:val="24"/>
          <w:szCs w:val="24"/>
        </w:rPr>
      </w:pPr>
    </w:p>
    <w:p w14:paraId="10647B4E" w14:textId="77777777" w:rsidR="009C4CCE" w:rsidRPr="004D36D1" w:rsidRDefault="009C4CCE" w:rsidP="0081270E">
      <w:pPr>
        <w:spacing w:line="480" w:lineRule="auto"/>
        <w:contextualSpacing/>
        <w:jc w:val="center"/>
        <w:rPr>
          <w:rFonts w:ascii="Times New Roman" w:hAnsi="Times New Roman" w:cs="Times New Roman"/>
          <w:color w:val="000000" w:themeColor="text1"/>
          <w:sz w:val="24"/>
          <w:szCs w:val="24"/>
        </w:rPr>
      </w:pPr>
    </w:p>
    <w:p w14:paraId="79DB13C8" w14:textId="77777777" w:rsidR="009C4CCE" w:rsidRPr="004D36D1" w:rsidRDefault="00000000" w:rsidP="0081270E">
      <w:pPr>
        <w:spacing w:line="480" w:lineRule="auto"/>
        <w:contextualSpacing/>
        <w:jc w:val="center"/>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Course</w:t>
      </w:r>
    </w:p>
    <w:p w14:paraId="6492E58D" w14:textId="77777777" w:rsidR="009C4CCE" w:rsidRPr="004D36D1" w:rsidRDefault="00000000" w:rsidP="0081270E">
      <w:pPr>
        <w:spacing w:line="480" w:lineRule="auto"/>
        <w:contextualSpacing/>
        <w:jc w:val="center"/>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Professor’s Name</w:t>
      </w:r>
    </w:p>
    <w:p w14:paraId="727D42D6" w14:textId="77777777" w:rsidR="009C4CCE" w:rsidRPr="004D36D1" w:rsidRDefault="00000000" w:rsidP="0081270E">
      <w:pPr>
        <w:spacing w:line="480" w:lineRule="auto"/>
        <w:contextualSpacing/>
        <w:jc w:val="center"/>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Institution</w:t>
      </w:r>
    </w:p>
    <w:p w14:paraId="4A7A0C2B" w14:textId="77777777" w:rsidR="009C4CCE" w:rsidRPr="004D36D1" w:rsidRDefault="00000000" w:rsidP="0081270E">
      <w:pPr>
        <w:spacing w:line="480" w:lineRule="auto"/>
        <w:contextualSpacing/>
        <w:jc w:val="center"/>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 xml:space="preserve">Location of Institution </w:t>
      </w:r>
    </w:p>
    <w:p w14:paraId="194F4BDA" w14:textId="4731B459" w:rsidR="009C4CCE" w:rsidRPr="004D36D1" w:rsidRDefault="00000000" w:rsidP="0081270E">
      <w:pPr>
        <w:spacing w:line="480" w:lineRule="auto"/>
        <w:contextualSpacing/>
        <w:jc w:val="center"/>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Submission Date</w:t>
      </w:r>
    </w:p>
    <w:p w14:paraId="13CA3722" w14:textId="77777777" w:rsidR="009C4CCE" w:rsidRPr="004D36D1" w:rsidRDefault="00000000" w:rsidP="0081270E">
      <w:pPr>
        <w:spacing w:line="480" w:lineRule="auto"/>
        <w:contextualSpacing/>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br w:type="page"/>
      </w:r>
    </w:p>
    <w:p w14:paraId="357144DB" w14:textId="3729E900" w:rsidR="009C4CCE" w:rsidRPr="004D36D1" w:rsidRDefault="00000000" w:rsidP="0081270E">
      <w:pPr>
        <w:spacing w:line="480" w:lineRule="auto"/>
        <w:contextualSpacing/>
        <w:jc w:val="center"/>
        <w:rPr>
          <w:rFonts w:ascii="Times New Roman" w:hAnsi="Times New Roman" w:cs="Times New Roman"/>
          <w:b/>
          <w:bCs/>
          <w:color w:val="000000" w:themeColor="text1"/>
          <w:sz w:val="24"/>
          <w:szCs w:val="24"/>
        </w:rPr>
      </w:pPr>
      <w:r w:rsidRPr="004D36D1">
        <w:rPr>
          <w:rFonts w:ascii="Times New Roman" w:hAnsi="Times New Roman" w:cs="Times New Roman"/>
          <w:b/>
          <w:bCs/>
          <w:color w:val="000000" w:themeColor="text1"/>
          <w:sz w:val="24"/>
          <w:szCs w:val="24"/>
        </w:rPr>
        <w:lastRenderedPageBreak/>
        <w:t xml:space="preserve">Case Legal Analysis </w:t>
      </w:r>
    </w:p>
    <w:p w14:paraId="70A612EB" w14:textId="204981A3" w:rsidR="00DB350D" w:rsidRPr="004D36D1" w:rsidRDefault="00000000" w:rsidP="0081270E">
      <w:pPr>
        <w:spacing w:line="480" w:lineRule="auto"/>
        <w:ind w:firstLine="720"/>
        <w:contextualSpacing/>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 xml:space="preserve">This </w:t>
      </w:r>
      <w:r w:rsidR="007F3502" w:rsidRPr="004D36D1">
        <w:rPr>
          <w:rFonts w:ascii="Times New Roman" w:hAnsi="Times New Roman" w:cs="Times New Roman"/>
          <w:color w:val="000000" w:themeColor="text1"/>
          <w:sz w:val="24"/>
          <w:szCs w:val="24"/>
        </w:rPr>
        <w:t>analysis</w:t>
      </w:r>
      <w:r w:rsidRPr="004D36D1">
        <w:rPr>
          <w:rFonts w:ascii="Times New Roman" w:hAnsi="Times New Roman" w:cs="Times New Roman"/>
          <w:color w:val="000000" w:themeColor="text1"/>
          <w:sz w:val="24"/>
          <w:szCs w:val="24"/>
        </w:rPr>
        <w:t xml:space="preserve"> enables</w:t>
      </w:r>
      <w:r w:rsidR="00C9106A" w:rsidRPr="004D36D1">
        <w:rPr>
          <w:rFonts w:ascii="Times New Roman" w:hAnsi="Times New Roman" w:cs="Times New Roman"/>
          <w:color w:val="000000" w:themeColor="text1"/>
          <w:sz w:val="24"/>
          <w:szCs w:val="24"/>
        </w:rPr>
        <w:t xml:space="preserve"> accessibility of all-around legal concerns derived from Usman's actions while portraying the notion of business law. </w:t>
      </w:r>
      <w:r w:rsidR="007F3502" w:rsidRPr="004D36D1">
        <w:rPr>
          <w:rFonts w:ascii="Times New Roman" w:hAnsi="Times New Roman" w:cs="Times New Roman"/>
          <w:color w:val="000000" w:themeColor="text1"/>
          <w:sz w:val="24"/>
          <w:szCs w:val="24"/>
        </w:rPr>
        <w:t>The responsibilities and liabilities of Usman in accordance with the materials, such as statutory provisions</w:t>
      </w:r>
      <w:r w:rsidR="00FB6224" w:rsidRPr="004D36D1">
        <w:rPr>
          <w:rFonts w:ascii="Times New Roman" w:hAnsi="Times New Roman" w:cs="Times New Roman"/>
          <w:color w:val="000000" w:themeColor="text1"/>
          <w:sz w:val="24"/>
          <w:szCs w:val="24"/>
        </w:rPr>
        <w:t xml:space="preserve"> and</w:t>
      </w:r>
      <w:r w:rsidR="007F3502" w:rsidRPr="004D36D1">
        <w:rPr>
          <w:rFonts w:ascii="Times New Roman" w:hAnsi="Times New Roman" w:cs="Times New Roman"/>
          <w:color w:val="000000" w:themeColor="text1"/>
          <w:sz w:val="24"/>
          <w:szCs w:val="24"/>
        </w:rPr>
        <w:t xml:space="preserve"> case law</w:t>
      </w:r>
      <w:r w:rsidR="00FB6224" w:rsidRPr="004D36D1">
        <w:rPr>
          <w:rFonts w:ascii="Times New Roman" w:hAnsi="Times New Roman" w:cs="Times New Roman"/>
          <w:color w:val="000000" w:themeColor="text1"/>
          <w:sz w:val="24"/>
          <w:szCs w:val="24"/>
        </w:rPr>
        <w:t>, are</w:t>
      </w:r>
      <w:r w:rsidR="00C9106A" w:rsidRPr="004D36D1">
        <w:rPr>
          <w:rFonts w:ascii="Times New Roman" w:hAnsi="Times New Roman" w:cs="Times New Roman"/>
          <w:color w:val="000000" w:themeColor="text1"/>
          <w:sz w:val="24"/>
          <w:szCs w:val="24"/>
        </w:rPr>
        <w:t xml:space="preserve"> </w:t>
      </w:r>
      <w:r w:rsidR="00FB6224" w:rsidRPr="004D36D1">
        <w:rPr>
          <w:rFonts w:ascii="Times New Roman" w:hAnsi="Times New Roman" w:cs="Times New Roman"/>
          <w:color w:val="000000" w:themeColor="text1"/>
          <w:sz w:val="24"/>
          <w:szCs w:val="24"/>
        </w:rPr>
        <w:t>discuss</w:t>
      </w:r>
      <w:r w:rsidR="00C9106A" w:rsidRPr="004D36D1">
        <w:rPr>
          <w:rFonts w:ascii="Times New Roman" w:hAnsi="Times New Roman" w:cs="Times New Roman"/>
          <w:color w:val="000000" w:themeColor="text1"/>
          <w:sz w:val="24"/>
          <w:szCs w:val="24"/>
        </w:rPr>
        <w:t xml:space="preserve">ed and </w:t>
      </w:r>
      <w:proofErr w:type="spellStart"/>
      <w:r w:rsidR="00C9106A" w:rsidRPr="004D36D1">
        <w:rPr>
          <w:rFonts w:ascii="Times New Roman" w:hAnsi="Times New Roman" w:cs="Times New Roman"/>
          <w:color w:val="000000" w:themeColor="text1"/>
          <w:sz w:val="24"/>
          <w:szCs w:val="24"/>
        </w:rPr>
        <w:t>analy</w:t>
      </w:r>
      <w:r w:rsidR="00D20A68">
        <w:rPr>
          <w:rFonts w:ascii="Times New Roman" w:hAnsi="Times New Roman" w:cs="Times New Roman"/>
          <w:color w:val="000000" w:themeColor="text1"/>
          <w:sz w:val="24"/>
          <w:szCs w:val="24"/>
        </w:rPr>
        <w:t>s</w:t>
      </w:r>
      <w:r w:rsidR="00C9106A" w:rsidRPr="004D36D1">
        <w:rPr>
          <w:rFonts w:ascii="Times New Roman" w:hAnsi="Times New Roman" w:cs="Times New Roman"/>
          <w:color w:val="000000" w:themeColor="text1"/>
          <w:sz w:val="24"/>
          <w:szCs w:val="24"/>
        </w:rPr>
        <w:t>ed</w:t>
      </w:r>
      <w:proofErr w:type="spellEnd"/>
      <w:r w:rsidR="007F3502" w:rsidRPr="004D36D1">
        <w:rPr>
          <w:rFonts w:ascii="Times New Roman" w:hAnsi="Times New Roman" w:cs="Times New Roman"/>
          <w:color w:val="000000" w:themeColor="text1"/>
          <w:sz w:val="24"/>
          <w:szCs w:val="24"/>
        </w:rPr>
        <w:t xml:space="preserve"> well. </w:t>
      </w:r>
      <w:r w:rsidRPr="004D36D1">
        <w:rPr>
          <w:rFonts w:ascii="Times New Roman" w:hAnsi="Times New Roman" w:cs="Times New Roman"/>
          <w:color w:val="000000" w:themeColor="text1"/>
          <w:sz w:val="24"/>
          <w:szCs w:val="24"/>
        </w:rPr>
        <w:t xml:space="preserve">The context explores </w:t>
      </w:r>
      <w:r w:rsidR="00C9106A" w:rsidRPr="004D36D1">
        <w:rPr>
          <w:rFonts w:ascii="Times New Roman" w:hAnsi="Times New Roman" w:cs="Times New Roman"/>
          <w:color w:val="000000" w:themeColor="text1"/>
          <w:sz w:val="24"/>
          <w:szCs w:val="24"/>
        </w:rPr>
        <w:t>all rounded levels in legal jurisdictions su</w:t>
      </w:r>
      <w:r w:rsidR="00C45C39" w:rsidRPr="004D36D1">
        <w:rPr>
          <w:rFonts w:ascii="Times New Roman" w:hAnsi="Times New Roman" w:cs="Times New Roman"/>
          <w:color w:val="000000" w:themeColor="text1"/>
          <w:sz w:val="24"/>
          <w:szCs w:val="24"/>
        </w:rPr>
        <w:t>c</w:t>
      </w:r>
      <w:r w:rsidR="00C9106A" w:rsidRPr="004D36D1">
        <w:rPr>
          <w:rFonts w:ascii="Times New Roman" w:hAnsi="Times New Roman" w:cs="Times New Roman"/>
          <w:color w:val="000000" w:themeColor="text1"/>
          <w:sz w:val="24"/>
          <w:szCs w:val="24"/>
        </w:rPr>
        <w:t>h as agen</w:t>
      </w:r>
      <w:r w:rsidR="00C45C39" w:rsidRPr="004D36D1">
        <w:rPr>
          <w:rFonts w:ascii="Times New Roman" w:hAnsi="Times New Roman" w:cs="Times New Roman"/>
          <w:color w:val="000000" w:themeColor="text1"/>
          <w:sz w:val="24"/>
          <w:szCs w:val="24"/>
        </w:rPr>
        <w:t>cy law, partnership, insurance and insolvency by evaluating and finding the best ways to overcome integrated challenges. The focus is drawn from how the case is carried out using a strategic approach and risk management techniques that should compare and relate the business compliance with the law.</w:t>
      </w:r>
      <w:r w:rsidRPr="004D36D1">
        <w:rPr>
          <w:rFonts w:ascii="Times New Roman" w:hAnsi="Times New Roman" w:cs="Times New Roman"/>
          <w:color w:val="000000" w:themeColor="text1"/>
          <w:sz w:val="24"/>
          <w:szCs w:val="24"/>
        </w:rPr>
        <w:t xml:space="preserve"> </w:t>
      </w:r>
    </w:p>
    <w:p w14:paraId="3D6DE7C9" w14:textId="09923626" w:rsidR="00DB350D" w:rsidRPr="004D36D1" w:rsidRDefault="00000000" w:rsidP="0081270E">
      <w:pPr>
        <w:spacing w:line="480" w:lineRule="auto"/>
        <w:contextualSpacing/>
        <w:rPr>
          <w:rFonts w:ascii="Times New Roman" w:hAnsi="Times New Roman" w:cs="Times New Roman"/>
          <w:b/>
          <w:bCs/>
          <w:color w:val="000000" w:themeColor="text1"/>
          <w:sz w:val="24"/>
          <w:szCs w:val="24"/>
        </w:rPr>
      </w:pPr>
      <w:r w:rsidRPr="004D36D1">
        <w:rPr>
          <w:rFonts w:ascii="Times New Roman" w:hAnsi="Times New Roman" w:cs="Times New Roman"/>
          <w:b/>
          <w:bCs/>
          <w:color w:val="000000" w:themeColor="text1"/>
          <w:sz w:val="24"/>
          <w:szCs w:val="24"/>
        </w:rPr>
        <w:t xml:space="preserve">Partnership Issues </w:t>
      </w:r>
    </w:p>
    <w:p w14:paraId="1A9C692F" w14:textId="59DE03E0" w:rsidR="00B7612B" w:rsidRPr="004D36D1" w:rsidRDefault="00000000" w:rsidP="00B7612B">
      <w:pPr>
        <w:spacing w:line="480" w:lineRule="auto"/>
        <w:ind w:firstLine="720"/>
        <w:contextualSpacing/>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Section 1 of the Partnership Act 1890 brings out a clear definition of partnership, and it is related to the created relationship between particular individuals connected through business activities that have a common objective and are driven towards obtaining more profits and strategic trends in the market.</w:t>
      </w:r>
      <w:r>
        <w:rPr>
          <w:rStyle w:val="FootnoteReference"/>
          <w:rFonts w:ascii="Times New Roman" w:hAnsi="Times New Roman" w:cs="Times New Roman"/>
          <w:color w:val="000000" w:themeColor="text1"/>
          <w:sz w:val="24"/>
          <w:szCs w:val="24"/>
        </w:rPr>
        <w:footnoteReference w:id="1"/>
      </w:r>
      <w:r w:rsidRPr="004D36D1">
        <w:rPr>
          <w:rFonts w:ascii="Times New Roman" w:hAnsi="Times New Roman" w:cs="Times New Roman"/>
          <w:color w:val="000000" w:themeColor="text1"/>
          <w:sz w:val="24"/>
          <w:szCs w:val="24"/>
        </w:rPr>
        <w:t xml:space="preserve"> The "Colombian Boost," as mentioned in the case, is a business that has all the qualities of being a partnership from the Act. In relation to that, the case is an outstanding way of showing how the statutory boundaries are met the same way parliament sets them. To begin with, Grace and Usman have never officiated their partnership. As seen in partnerships, there are divisions in work input, profits, responsibilities, and decision-making capability. The partnership can be in conflict or confusion due to the absence of a written contract on how work will be done, how profits will be shared, structure, roles, responsibilities, and the goals the </w:t>
      </w:r>
      <w:proofErr w:type="spellStart"/>
      <w:r w:rsidRPr="004D36D1">
        <w:rPr>
          <w:rFonts w:ascii="Times New Roman" w:hAnsi="Times New Roman" w:cs="Times New Roman"/>
          <w:color w:val="000000" w:themeColor="text1"/>
          <w:sz w:val="24"/>
          <w:szCs w:val="24"/>
        </w:rPr>
        <w:t>organi</w:t>
      </w:r>
      <w:r w:rsidR="00D20A68">
        <w:rPr>
          <w:rFonts w:ascii="Times New Roman" w:hAnsi="Times New Roman" w:cs="Times New Roman"/>
          <w:color w:val="000000" w:themeColor="text1"/>
          <w:sz w:val="24"/>
          <w:szCs w:val="24"/>
        </w:rPr>
        <w:t>s</w:t>
      </w:r>
      <w:r w:rsidRPr="004D36D1">
        <w:rPr>
          <w:rFonts w:ascii="Times New Roman" w:hAnsi="Times New Roman" w:cs="Times New Roman"/>
          <w:color w:val="000000" w:themeColor="text1"/>
          <w:sz w:val="24"/>
          <w:szCs w:val="24"/>
        </w:rPr>
        <w:t>ations</w:t>
      </w:r>
      <w:proofErr w:type="spellEnd"/>
      <w:r w:rsidRPr="004D36D1">
        <w:rPr>
          <w:rFonts w:ascii="Times New Roman" w:hAnsi="Times New Roman" w:cs="Times New Roman"/>
          <w:color w:val="000000" w:themeColor="text1"/>
          <w:sz w:val="24"/>
          <w:szCs w:val="24"/>
        </w:rPr>
        <w:t xml:space="preserve"> intend to achieve. However, the inconsistencies in this case signify the interpretation that interconnects with </w:t>
      </w:r>
      <w:r w:rsidRPr="004D36D1">
        <w:rPr>
          <w:rFonts w:ascii="Times New Roman" w:hAnsi="Times New Roman" w:cs="Times New Roman"/>
          <w:color w:val="000000" w:themeColor="text1"/>
          <w:sz w:val="24"/>
          <w:szCs w:val="24"/>
        </w:rPr>
        <w:lastRenderedPageBreak/>
        <w:t xml:space="preserve">how everything is put in order. Additionally, </w:t>
      </w:r>
      <w:r w:rsidR="00C163FD" w:rsidRPr="004D36D1">
        <w:rPr>
          <w:rFonts w:ascii="Times New Roman" w:hAnsi="Times New Roman" w:cs="Times New Roman"/>
          <w:color w:val="000000" w:themeColor="text1"/>
          <w:sz w:val="24"/>
          <w:szCs w:val="24"/>
        </w:rPr>
        <w:t xml:space="preserve">this partnership is termed an alliance, which drags in a lot of conflict and is unsatisfactory. </w:t>
      </w:r>
    </w:p>
    <w:p w14:paraId="438AD06D" w14:textId="0E47BA9D" w:rsidR="00C739FF" w:rsidRPr="004D36D1" w:rsidRDefault="00000000" w:rsidP="00B1681D">
      <w:pPr>
        <w:spacing w:line="480" w:lineRule="auto"/>
        <w:ind w:firstLine="720"/>
        <w:contextualSpacing/>
        <w:rPr>
          <w:rFonts w:ascii="Times New Roman" w:hAnsi="Times New Roman" w:cs="Times New Roman"/>
          <w:color w:val="000000" w:themeColor="text1"/>
          <w:sz w:val="24"/>
          <w:szCs w:val="24"/>
          <w:highlight w:val="yellow"/>
        </w:rPr>
      </w:pPr>
      <w:r w:rsidRPr="004D36D1">
        <w:rPr>
          <w:rFonts w:ascii="Times New Roman" w:hAnsi="Times New Roman" w:cs="Times New Roman"/>
          <w:color w:val="000000" w:themeColor="text1"/>
          <w:sz w:val="24"/>
          <w:szCs w:val="24"/>
        </w:rPr>
        <w:t xml:space="preserve">In section 5 of the </w:t>
      </w:r>
      <w:r w:rsidR="00B1681D" w:rsidRPr="004D36D1">
        <w:rPr>
          <w:rFonts w:ascii="Times New Roman" w:hAnsi="Times New Roman" w:cs="Times New Roman"/>
          <w:color w:val="000000" w:themeColor="text1"/>
          <w:sz w:val="24"/>
          <w:szCs w:val="24"/>
        </w:rPr>
        <w:t xml:space="preserve">same Act illustrates how a partner is supposed to carry out the business assigned as long as it does not go against the other partner’s consent as </w:t>
      </w:r>
      <w:r w:rsidRPr="004D36D1">
        <w:rPr>
          <w:rFonts w:ascii="Times New Roman" w:hAnsi="Times New Roman" w:cs="Times New Roman"/>
          <w:color w:val="000000" w:themeColor="text1"/>
          <w:sz w:val="24"/>
          <w:szCs w:val="24"/>
        </w:rPr>
        <w:t xml:space="preserve">documented </w:t>
      </w:r>
      <w:r w:rsidR="00B1681D" w:rsidRPr="004D36D1">
        <w:rPr>
          <w:rFonts w:ascii="Times New Roman" w:hAnsi="Times New Roman" w:cs="Times New Roman"/>
          <w:color w:val="000000" w:themeColor="text1"/>
          <w:sz w:val="24"/>
          <w:szCs w:val="24"/>
        </w:rPr>
        <w:t xml:space="preserve">in the </w:t>
      </w:r>
      <w:r w:rsidRPr="004D36D1">
        <w:rPr>
          <w:rFonts w:ascii="Times New Roman" w:hAnsi="Times New Roman" w:cs="Times New Roman"/>
          <w:color w:val="000000" w:themeColor="text1"/>
          <w:sz w:val="24"/>
          <w:szCs w:val="24"/>
        </w:rPr>
        <w:t xml:space="preserve">signed </w:t>
      </w:r>
      <w:r w:rsidR="00B1681D" w:rsidRPr="004D36D1">
        <w:rPr>
          <w:rFonts w:ascii="Times New Roman" w:hAnsi="Times New Roman" w:cs="Times New Roman"/>
          <w:color w:val="000000" w:themeColor="text1"/>
          <w:sz w:val="24"/>
          <w:szCs w:val="24"/>
        </w:rPr>
        <w:t>partnership agreement</w:t>
      </w:r>
      <w:r w:rsidRPr="004D36D1">
        <w:rPr>
          <w:rFonts w:ascii="Times New Roman" w:hAnsi="Times New Roman" w:cs="Times New Roman"/>
          <w:color w:val="000000" w:themeColor="text1"/>
          <w:sz w:val="24"/>
          <w:szCs w:val="24"/>
        </w:rPr>
        <w:t>.</w:t>
      </w:r>
      <w:r>
        <w:rPr>
          <w:rStyle w:val="FootnoteReference"/>
          <w:rFonts w:ascii="Times New Roman" w:hAnsi="Times New Roman" w:cs="Times New Roman"/>
          <w:color w:val="000000" w:themeColor="text1"/>
          <w:sz w:val="24"/>
          <w:szCs w:val="24"/>
        </w:rPr>
        <w:footnoteReference w:id="2"/>
      </w:r>
      <w:r w:rsidRPr="004D36D1">
        <w:rPr>
          <w:rFonts w:ascii="Times New Roman" w:hAnsi="Times New Roman" w:cs="Times New Roman"/>
          <w:color w:val="000000" w:themeColor="text1"/>
          <w:sz w:val="24"/>
          <w:szCs w:val="24"/>
        </w:rPr>
        <w:t xml:space="preserve"> </w:t>
      </w:r>
      <w:r w:rsidR="00B1681D" w:rsidRPr="004D36D1">
        <w:rPr>
          <w:rFonts w:ascii="Times New Roman" w:hAnsi="Times New Roman" w:cs="Times New Roman"/>
          <w:color w:val="000000" w:themeColor="text1"/>
          <w:sz w:val="24"/>
          <w:szCs w:val="24"/>
        </w:rPr>
        <w:t>While there are cases of leasing coffee stores, Grace runs all the activities alone, and this brings a</w:t>
      </w:r>
      <w:r w:rsidRPr="004D36D1">
        <w:rPr>
          <w:rFonts w:ascii="Times New Roman" w:hAnsi="Times New Roman" w:cs="Times New Roman"/>
          <w:color w:val="000000" w:themeColor="text1"/>
          <w:sz w:val="24"/>
          <w:szCs w:val="24"/>
        </w:rPr>
        <w:t xml:space="preserve">n opposite way </w:t>
      </w:r>
      <w:r w:rsidR="00B1681D" w:rsidRPr="004D36D1">
        <w:rPr>
          <w:rFonts w:ascii="Times New Roman" w:hAnsi="Times New Roman" w:cs="Times New Roman"/>
          <w:color w:val="000000" w:themeColor="text1"/>
          <w:sz w:val="24"/>
          <w:szCs w:val="24"/>
        </w:rPr>
        <w:t xml:space="preserve">of </w:t>
      </w:r>
      <w:r w:rsidRPr="004D36D1">
        <w:rPr>
          <w:rFonts w:ascii="Times New Roman" w:hAnsi="Times New Roman" w:cs="Times New Roman"/>
          <w:color w:val="000000" w:themeColor="text1"/>
          <w:sz w:val="24"/>
          <w:szCs w:val="24"/>
        </w:rPr>
        <w:t xml:space="preserve">how </w:t>
      </w:r>
      <w:r w:rsidR="00B1681D" w:rsidRPr="004D36D1">
        <w:rPr>
          <w:rFonts w:ascii="Times New Roman" w:hAnsi="Times New Roman" w:cs="Times New Roman"/>
          <w:color w:val="000000" w:themeColor="text1"/>
          <w:sz w:val="24"/>
          <w:szCs w:val="24"/>
        </w:rPr>
        <w:t>the responsibilities</w:t>
      </w:r>
      <w:r w:rsidRPr="004D36D1">
        <w:rPr>
          <w:rFonts w:ascii="Times New Roman" w:hAnsi="Times New Roman" w:cs="Times New Roman"/>
          <w:color w:val="000000" w:themeColor="text1"/>
          <w:sz w:val="24"/>
          <w:szCs w:val="24"/>
        </w:rPr>
        <w:t xml:space="preserve"> should be handled and divided in </w:t>
      </w:r>
      <w:r w:rsidR="00B1681D" w:rsidRPr="004D36D1">
        <w:rPr>
          <w:rFonts w:ascii="Times New Roman" w:hAnsi="Times New Roman" w:cs="Times New Roman"/>
          <w:color w:val="000000" w:themeColor="text1"/>
          <w:sz w:val="24"/>
          <w:szCs w:val="24"/>
        </w:rPr>
        <w:t xml:space="preserve">a partnership. </w:t>
      </w:r>
      <w:r w:rsidRPr="004D36D1">
        <w:rPr>
          <w:rFonts w:ascii="Times New Roman" w:hAnsi="Times New Roman" w:cs="Times New Roman"/>
          <w:color w:val="000000" w:themeColor="text1"/>
          <w:sz w:val="24"/>
          <w:szCs w:val="24"/>
        </w:rPr>
        <w:t>However, t</w:t>
      </w:r>
      <w:r w:rsidR="00B1681D" w:rsidRPr="004D36D1">
        <w:rPr>
          <w:rFonts w:ascii="Times New Roman" w:hAnsi="Times New Roman" w:cs="Times New Roman"/>
          <w:color w:val="000000" w:themeColor="text1"/>
          <w:sz w:val="24"/>
          <w:szCs w:val="24"/>
        </w:rPr>
        <w:t xml:space="preserve">o prevent such situations, the partnerships must have </w:t>
      </w:r>
      <w:r w:rsidRPr="004D36D1">
        <w:rPr>
          <w:rFonts w:ascii="Times New Roman" w:hAnsi="Times New Roman" w:cs="Times New Roman"/>
          <w:color w:val="000000" w:themeColor="text1"/>
          <w:sz w:val="24"/>
          <w:szCs w:val="24"/>
        </w:rPr>
        <w:t xml:space="preserve">evidence of </w:t>
      </w:r>
      <w:r w:rsidR="00B1681D" w:rsidRPr="004D36D1">
        <w:rPr>
          <w:rFonts w:ascii="Times New Roman" w:hAnsi="Times New Roman" w:cs="Times New Roman"/>
          <w:color w:val="000000" w:themeColor="text1"/>
          <w:sz w:val="24"/>
          <w:szCs w:val="24"/>
        </w:rPr>
        <w:t xml:space="preserve">a signed </w:t>
      </w:r>
      <w:r w:rsidRPr="004D36D1">
        <w:rPr>
          <w:rFonts w:ascii="Times New Roman" w:hAnsi="Times New Roman" w:cs="Times New Roman"/>
          <w:color w:val="000000" w:themeColor="text1"/>
          <w:sz w:val="24"/>
          <w:szCs w:val="24"/>
        </w:rPr>
        <w:t xml:space="preserve">agreement that drives one to be more responsible and lower the risks resulting from unprescribed tasks under </w:t>
      </w:r>
      <w:r w:rsidR="00B1681D" w:rsidRPr="004D36D1">
        <w:rPr>
          <w:rFonts w:ascii="Times New Roman" w:hAnsi="Times New Roman" w:cs="Times New Roman"/>
          <w:color w:val="000000" w:themeColor="text1"/>
          <w:sz w:val="24"/>
          <w:szCs w:val="24"/>
        </w:rPr>
        <w:t>the corporate agreement by defining the duties and decision-making processes. A consensus approach is suggested in a business involved in contractual agreements.</w:t>
      </w:r>
    </w:p>
    <w:p w14:paraId="760E1EC0" w14:textId="7E939C06" w:rsidR="00DB350D" w:rsidRPr="004D36D1" w:rsidRDefault="00000000" w:rsidP="0081270E">
      <w:pPr>
        <w:spacing w:line="480" w:lineRule="auto"/>
        <w:contextualSpacing/>
        <w:rPr>
          <w:rFonts w:ascii="Times New Roman" w:hAnsi="Times New Roman" w:cs="Times New Roman"/>
          <w:b/>
          <w:bCs/>
          <w:color w:val="000000" w:themeColor="text1"/>
          <w:sz w:val="24"/>
          <w:szCs w:val="24"/>
        </w:rPr>
      </w:pPr>
      <w:r w:rsidRPr="004D36D1">
        <w:rPr>
          <w:rFonts w:ascii="Times New Roman" w:hAnsi="Times New Roman" w:cs="Times New Roman"/>
          <w:b/>
          <w:bCs/>
          <w:color w:val="000000" w:themeColor="text1"/>
          <w:sz w:val="24"/>
          <w:szCs w:val="24"/>
        </w:rPr>
        <w:t xml:space="preserve">Agency Law in Fruits </w:t>
      </w:r>
    </w:p>
    <w:p w14:paraId="0989CA5A" w14:textId="124FF5AF" w:rsidR="00080872" w:rsidRPr="004D36D1" w:rsidRDefault="00000000" w:rsidP="00080872">
      <w:pPr>
        <w:spacing w:line="480" w:lineRule="auto"/>
        <w:ind w:firstLine="720"/>
        <w:contextualSpacing/>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 xml:space="preserve">Usman </w:t>
      </w:r>
      <w:r w:rsidR="00C70DEB" w:rsidRPr="004D36D1">
        <w:rPr>
          <w:rFonts w:ascii="Times New Roman" w:hAnsi="Times New Roman" w:cs="Times New Roman"/>
          <w:color w:val="000000" w:themeColor="text1"/>
          <w:sz w:val="24"/>
          <w:szCs w:val="24"/>
        </w:rPr>
        <w:t xml:space="preserve">is seen to have nominated </w:t>
      </w:r>
      <w:r w:rsidRPr="004D36D1">
        <w:rPr>
          <w:rFonts w:ascii="Times New Roman" w:hAnsi="Times New Roman" w:cs="Times New Roman"/>
          <w:color w:val="000000" w:themeColor="text1"/>
          <w:sz w:val="24"/>
          <w:szCs w:val="24"/>
        </w:rPr>
        <w:t xml:space="preserve">Katie </w:t>
      </w:r>
      <w:r w:rsidR="00C70DEB" w:rsidRPr="004D36D1">
        <w:rPr>
          <w:rFonts w:ascii="Times New Roman" w:hAnsi="Times New Roman" w:cs="Times New Roman"/>
          <w:color w:val="000000" w:themeColor="text1"/>
          <w:sz w:val="24"/>
          <w:szCs w:val="24"/>
        </w:rPr>
        <w:t xml:space="preserve">to carry out any tasks related to </w:t>
      </w:r>
      <w:r w:rsidRPr="004D36D1">
        <w:rPr>
          <w:rFonts w:ascii="Times New Roman" w:hAnsi="Times New Roman" w:cs="Times New Roman"/>
          <w:color w:val="000000" w:themeColor="text1"/>
          <w:sz w:val="24"/>
          <w:szCs w:val="24"/>
        </w:rPr>
        <w:t>negotiat</w:t>
      </w:r>
      <w:r w:rsidR="00C70DEB" w:rsidRPr="004D36D1">
        <w:rPr>
          <w:rFonts w:ascii="Times New Roman" w:hAnsi="Times New Roman" w:cs="Times New Roman"/>
          <w:color w:val="000000" w:themeColor="text1"/>
          <w:sz w:val="24"/>
          <w:szCs w:val="24"/>
        </w:rPr>
        <w:t xml:space="preserve">ing the exact cost of blueberries. This portrays a clear intervention that pulls together all the agency law components as one element, especially from an authority dimension. From Usman's angle, he did not </w:t>
      </w:r>
      <w:proofErr w:type="spellStart"/>
      <w:r w:rsidR="00C70DEB" w:rsidRPr="004D36D1">
        <w:rPr>
          <w:rFonts w:ascii="Times New Roman" w:hAnsi="Times New Roman" w:cs="Times New Roman"/>
          <w:color w:val="000000" w:themeColor="text1"/>
          <w:sz w:val="24"/>
          <w:szCs w:val="24"/>
        </w:rPr>
        <w:t>authori</w:t>
      </w:r>
      <w:r w:rsidR="00D20A68">
        <w:rPr>
          <w:rFonts w:ascii="Times New Roman" w:hAnsi="Times New Roman" w:cs="Times New Roman"/>
          <w:color w:val="000000" w:themeColor="text1"/>
          <w:sz w:val="24"/>
          <w:szCs w:val="24"/>
        </w:rPr>
        <w:t>s</w:t>
      </w:r>
      <w:r w:rsidR="00C70DEB" w:rsidRPr="004D36D1">
        <w:rPr>
          <w:rFonts w:ascii="Times New Roman" w:hAnsi="Times New Roman" w:cs="Times New Roman"/>
          <w:color w:val="000000" w:themeColor="text1"/>
          <w:sz w:val="24"/>
          <w:szCs w:val="24"/>
        </w:rPr>
        <w:t>e</w:t>
      </w:r>
      <w:proofErr w:type="spellEnd"/>
      <w:r w:rsidR="00C70DEB" w:rsidRPr="004D36D1">
        <w:rPr>
          <w:rFonts w:ascii="Times New Roman" w:hAnsi="Times New Roman" w:cs="Times New Roman"/>
          <w:color w:val="000000" w:themeColor="text1"/>
          <w:sz w:val="24"/>
          <w:szCs w:val="24"/>
        </w:rPr>
        <w:t xml:space="preserve"> the purchase of 5 tons of blueberries, but she</w:t>
      </w:r>
      <w:r w:rsidR="007E10DD">
        <w:rPr>
          <w:rFonts w:ascii="Times New Roman" w:hAnsi="Times New Roman" w:cs="Times New Roman"/>
          <w:color w:val="000000" w:themeColor="text1"/>
          <w:sz w:val="24"/>
          <w:szCs w:val="24"/>
        </w:rPr>
        <w:t xml:space="preserve"> went ahead to buy them.</w:t>
      </w:r>
      <w:r w:rsidR="00C70DEB" w:rsidRPr="004D36D1">
        <w:rPr>
          <w:rFonts w:ascii="Times New Roman" w:hAnsi="Times New Roman" w:cs="Times New Roman"/>
          <w:color w:val="000000" w:themeColor="text1"/>
          <w:sz w:val="24"/>
          <w:szCs w:val="24"/>
        </w:rPr>
        <w:t xml:space="preserve"> This raises</w:t>
      </w:r>
      <w:r w:rsidR="007E10DD">
        <w:rPr>
          <w:rFonts w:ascii="Times New Roman" w:hAnsi="Times New Roman" w:cs="Times New Roman"/>
          <w:color w:val="000000" w:themeColor="text1"/>
          <w:sz w:val="24"/>
          <w:szCs w:val="24"/>
        </w:rPr>
        <w:t xml:space="preserve"> some doubtful concerns that take a heavyweight when comparing actual and apparent </w:t>
      </w:r>
      <w:r w:rsidR="006E691D" w:rsidRPr="004D36D1">
        <w:rPr>
          <w:rFonts w:ascii="Times New Roman" w:hAnsi="Times New Roman" w:cs="Times New Roman"/>
          <w:color w:val="000000" w:themeColor="text1"/>
          <w:sz w:val="24"/>
          <w:szCs w:val="24"/>
        </w:rPr>
        <w:t>authority</w:t>
      </w:r>
      <w:r w:rsidR="007E10DD">
        <w:rPr>
          <w:rFonts w:ascii="Times New Roman" w:hAnsi="Times New Roman" w:cs="Times New Roman"/>
          <w:color w:val="000000" w:themeColor="text1"/>
          <w:sz w:val="24"/>
          <w:szCs w:val="24"/>
        </w:rPr>
        <w:t xml:space="preserve"> in business environments. </w:t>
      </w:r>
      <w:r w:rsidRPr="004D36D1">
        <w:rPr>
          <w:rFonts w:ascii="Times New Roman" w:hAnsi="Times New Roman" w:cs="Times New Roman"/>
          <w:color w:val="000000" w:themeColor="text1"/>
          <w:sz w:val="24"/>
          <w:szCs w:val="24"/>
          <w:highlight w:val="green"/>
        </w:rPr>
        <w:t xml:space="preserve"> </w:t>
      </w:r>
    </w:p>
    <w:p w14:paraId="657604B0" w14:textId="72E99BD0" w:rsidR="00DB350D" w:rsidRPr="004D36D1" w:rsidRDefault="00000000" w:rsidP="0008087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the case in hand, </w:t>
      </w:r>
      <w:r w:rsidR="00C55F38" w:rsidRPr="004D36D1">
        <w:rPr>
          <w:rFonts w:ascii="Times New Roman" w:hAnsi="Times New Roman" w:cs="Times New Roman"/>
          <w:color w:val="000000" w:themeColor="text1"/>
          <w:sz w:val="24"/>
          <w:szCs w:val="24"/>
        </w:rPr>
        <w:t xml:space="preserve">Mrs Macygod </w:t>
      </w:r>
      <w:r>
        <w:rPr>
          <w:rFonts w:ascii="Times New Roman" w:hAnsi="Times New Roman" w:cs="Times New Roman"/>
          <w:color w:val="000000" w:themeColor="text1"/>
          <w:sz w:val="24"/>
          <w:szCs w:val="24"/>
        </w:rPr>
        <w:t xml:space="preserve">is caught unaware of what is taking place while Katie, who was given clear instructions, fails to follow and takes her own way of handling the matter. </w:t>
      </w:r>
      <w:r w:rsidR="00317D4F" w:rsidRPr="004D36D1">
        <w:rPr>
          <w:rFonts w:ascii="Times New Roman" w:hAnsi="Times New Roman" w:cs="Times New Roman"/>
          <w:color w:val="000000" w:themeColor="text1"/>
          <w:sz w:val="24"/>
          <w:szCs w:val="24"/>
        </w:rPr>
        <w:t>From another perspective, if</w:t>
      </w:r>
      <w:r w:rsidR="00C55F38" w:rsidRPr="004D36D1">
        <w:rPr>
          <w:rFonts w:ascii="Times New Roman" w:hAnsi="Times New Roman" w:cs="Times New Roman"/>
          <w:color w:val="000000" w:themeColor="text1"/>
          <w:sz w:val="24"/>
          <w:szCs w:val="24"/>
        </w:rPr>
        <w:t xml:space="preserve"> everything could have been brought to everyone's attention, the following actions would have attracted the doctrine of apparent dominance </w:t>
      </w:r>
      <w:r w:rsidR="00C55F38" w:rsidRPr="004D36D1">
        <w:rPr>
          <w:rFonts w:ascii="Times New Roman" w:hAnsi="Times New Roman" w:cs="Times New Roman"/>
          <w:color w:val="000000" w:themeColor="text1"/>
          <w:sz w:val="24"/>
          <w:szCs w:val="24"/>
        </w:rPr>
        <w:lastRenderedPageBreak/>
        <w:t>revealed in</w:t>
      </w:r>
      <w:r w:rsidR="00E17708" w:rsidRPr="004D36D1">
        <w:rPr>
          <w:rFonts w:ascii="Times New Roman" w:hAnsi="Times New Roman" w:cs="Times New Roman"/>
          <w:color w:val="000000" w:themeColor="text1"/>
          <w:sz w:val="24"/>
          <w:szCs w:val="24"/>
        </w:rPr>
        <w:t xml:space="preserve"> </w:t>
      </w:r>
      <w:r w:rsidR="00FD2795" w:rsidRPr="004D36D1">
        <w:rPr>
          <w:rFonts w:ascii="Times New Roman" w:hAnsi="Times New Roman" w:cs="Times New Roman"/>
          <w:color w:val="000000" w:themeColor="text1"/>
          <w:sz w:val="24"/>
          <w:szCs w:val="24"/>
        </w:rPr>
        <w:t>Hely Hutchinson v Brayhead Ltd</w:t>
      </w:r>
      <w:r w:rsidR="00E17708" w:rsidRPr="004D36D1">
        <w:rPr>
          <w:rFonts w:ascii="Times New Roman" w:hAnsi="Times New Roman" w:cs="Times New Roman"/>
          <w:color w:val="000000" w:themeColor="text1"/>
          <w:sz w:val="24"/>
          <w:szCs w:val="24"/>
        </w:rPr>
        <w:t xml:space="preserve"> </w:t>
      </w:r>
      <w:r w:rsidR="00FD2795" w:rsidRPr="004D36D1">
        <w:rPr>
          <w:rFonts w:ascii="Times New Roman" w:hAnsi="Times New Roman" w:cs="Times New Roman"/>
          <w:color w:val="000000" w:themeColor="text1"/>
          <w:sz w:val="24"/>
          <w:szCs w:val="24"/>
        </w:rPr>
        <w:t>[1968] 1 QB 549.</w:t>
      </w:r>
      <w:r>
        <w:rPr>
          <w:rStyle w:val="FootnoteReference"/>
          <w:rFonts w:ascii="Times New Roman" w:hAnsi="Times New Roman" w:cs="Times New Roman"/>
          <w:color w:val="000000" w:themeColor="text1"/>
          <w:sz w:val="24"/>
          <w:szCs w:val="24"/>
        </w:rPr>
        <w:footnoteReference w:id="3"/>
      </w:r>
      <w:r w:rsidR="00FD2795" w:rsidRPr="004D36D1">
        <w:rPr>
          <w:rFonts w:ascii="Times New Roman" w:hAnsi="Times New Roman" w:cs="Times New Roman"/>
          <w:color w:val="000000" w:themeColor="text1"/>
          <w:sz w:val="24"/>
          <w:szCs w:val="24"/>
        </w:rPr>
        <w:t xml:space="preserve"> </w:t>
      </w:r>
      <w:r w:rsidR="00317D4F" w:rsidRPr="004D36D1">
        <w:rPr>
          <w:rFonts w:ascii="Times New Roman" w:hAnsi="Times New Roman" w:cs="Times New Roman"/>
          <w:color w:val="000000" w:themeColor="text1"/>
          <w:sz w:val="24"/>
          <w:szCs w:val="24"/>
        </w:rPr>
        <w:t>Relation to i</w:t>
      </w:r>
      <w:r w:rsidR="00E17708" w:rsidRPr="004D36D1">
        <w:rPr>
          <w:rFonts w:ascii="Times New Roman" w:hAnsi="Times New Roman" w:cs="Times New Roman"/>
          <w:color w:val="000000" w:themeColor="text1"/>
          <w:sz w:val="24"/>
          <w:szCs w:val="24"/>
        </w:rPr>
        <w:t xml:space="preserve">nformed authority occurs when the ruler maker conveys relevant information about activities, which later makes a third party believe that the agent can conduct all duties delegated to the principal. Using this approach, </w:t>
      </w:r>
      <w:r w:rsidR="00FD2795" w:rsidRPr="004D36D1">
        <w:rPr>
          <w:rFonts w:ascii="Times New Roman" w:hAnsi="Times New Roman" w:cs="Times New Roman"/>
          <w:color w:val="000000" w:themeColor="text1"/>
          <w:sz w:val="24"/>
          <w:szCs w:val="24"/>
        </w:rPr>
        <w:t>Usman</w:t>
      </w:r>
      <w:r w:rsidR="00E17708" w:rsidRPr="004D36D1">
        <w:rPr>
          <w:rFonts w:ascii="Times New Roman" w:hAnsi="Times New Roman" w:cs="Times New Roman"/>
          <w:color w:val="000000" w:themeColor="text1"/>
          <w:sz w:val="24"/>
          <w:szCs w:val="24"/>
        </w:rPr>
        <w:t xml:space="preserve"> communicated with </w:t>
      </w:r>
      <w:r w:rsidR="00FD2795" w:rsidRPr="004D36D1">
        <w:rPr>
          <w:rFonts w:ascii="Times New Roman" w:hAnsi="Times New Roman" w:cs="Times New Roman"/>
          <w:color w:val="000000" w:themeColor="text1"/>
          <w:sz w:val="24"/>
          <w:szCs w:val="24"/>
        </w:rPr>
        <w:t>Mrs Macyagod</w:t>
      </w:r>
      <w:r w:rsidR="00E17708" w:rsidRPr="004D36D1">
        <w:rPr>
          <w:rFonts w:ascii="Times New Roman" w:hAnsi="Times New Roman" w:cs="Times New Roman"/>
          <w:color w:val="000000" w:themeColor="text1"/>
          <w:sz w:val="24"/>
          <w:szCs w:val="24"/>
        </w:rPr>
        <w:t xml:space="preserve"> while sending her assurance messages that Katie would be directly working for him as an agent with assigned skills such as negotiation and upholding complex tasks. With all the information, </w:t>
      </w:r>
      <w:r w:rsidR="00FD2795" w:rsidRPr="004D36D1">
        <w:rPr>
          <w:rFonts w:ascii="Times New Roman" w:hAnsi="Times New Roman" w:cs="Times New Roman"/>
          <w:color w:val="000000" w:themeColor="text1"/>
          <w:sz w:val="24"/>
          <w:szCs w:val="24"/>
        </w:rPr>
        <w:t xml:space="preserve">Usman could be held </w:t>
      </w:r>
      <w:r w:rsidR="00E17708" w:rsidRPr="004D36D1">
        <w:rPr>
          <w:rFonts w:ascii="Times New Roman" w:hAnsi="Times New Roman" w:cs="Times New Roman"/>
          <w:color w:val="000000" w:themeColor="text1"/>
          <w:sz w:val="24"/>
          <w:szCs w:val="24"/>
        </w:rPr>
        <w:t xml:space="preserve">responsible for the transaction made </w:t>
      </w:r>
      <w:r w:rsidR="00FD2795" w:rsidRPr="004D36D1">
        <w:rPr>
          <w:rFonts w:ascii="Times New Roman" w:hAnsi="Times New Roman" w:cs="Times New Roman"/>
          <w:color w:val="000000" w:themeColor="text1"/>
          <w:sz w:val="24"/>
          <w:szCs w:val="24"/>
        </w:rPr>
        <w:t xml:space="preserve">by agency law. </w:t>
      </w:r>
      <w:r w:rsidR="009F1517" w:rsidRPr="004D36D1">
        <w:rPr>
          <w:rFonts w:ascii="Times New Roman" w:hAnsi="Times New Roman" w:cs="Times New Roman"/>
          <w:color w:val="000000" w:themeColor="text1"/>
          <w:sz w:val="24"/>
          <w:szCs w:val="24"/>
        </w:rPr>
        <w:t xml:space="preserve">This calls for a sketch to identify the definition and the scope of the </w:t>
      </w:r>
      <w:r w:rsidR="00D27417" w:rsidRPr="004D36D1">
        <w:rPr>
          <w:rFonts w:ascii="Times New Roman" w:hAnsi="Times New Roman" w:cs="Times New Roman"/>
          <w:color w:val="000000" w:themeColor="text1"/>
          <w:sz w:val="24"/>
          <w:szCs w:val="24"/>
        </w:rPr>
        <w:t xml:space="preserve">power given to an agent through effective communication involving third parties. </w:t>
      </w:r>
      <w:r w:rsidR="00317D4F" w:rsidRPr="004D36D1">
        <w:rPr>
          <w:rFonts w:ascii="Times New Roman" w:hAnsi="Times New Roman" w:cs="Times New Roman"/>
          <w:color w:val="000000" w:themeColor="text1"/>
          <w:sz w:val="24"/>
          <w:szCs w:val="24"/>
        </w:rPr>
        <w:t>Thus, t</w:t>
      </w:r>
      <w:r w:rsidR="00D27417" w:rsidRPr="004D36D1">
        <w:rPr>
          <w:rFonts w:ascii="Times New Roman" w:hAnsi="Times New Roman" w:cs="Times New Roman"/>
          <w:color w:val="000000" w:themeColor="text1"/>
          <w:sz w:val="24"/>
          <w:szCs w:val="24"/>
        </w:rPr>
        <w:t xml:space="preserve">his </w:t>
      </w:r>
      <w:proofErr w:type="spellStart"/>
      <w:r w:rsidR="00D27417" w:rsidRPr="004D36D1">
        <w:rPr>
          <w:rFonts w:ascii="Times New Roman" w:hAnsi="Times New Roman" w:cs="Times New Roman"/>
          <w:color w:val="000000" w:themeColor="text1"/>
          <w:sz w:val="24"/>
          <w:szCs w:val="24"/>
        </w:rPr>
        <w:t>minimi</w:t>
      </w:r>
      <w:r w:rsidR="00D20A68">
        <w:rPr>
          <w:rFonts w:ascii="Times New Roman" w:hAnsi="Times New Roman" w:cs="Times New Roman"/>
          <w:color w:val="000000" w:themeColor="text1"/>
          <w:sz w:val="24"/>
          <w:szCs w:val="24"/>
        </w:rPr>
        <w:t>s</w:t>
      </w:r>
      <w:r w:rsidR="00D27417" w:rsidRPr="004D36D1">
        <w:rPr>
          <w:rFonts w:ascii="Times New Roman" w:hAnsi="Times New Roman" w:cs="Times New Roman"/>
          <w:color w:val="000000" w:themeColor="text1"/>
          <w:sz w:val="24"/>
          <w:szCs w:val="24"/>
        </w:rPr>
        <w:t>es</w:t>
      </w:r>
      <w:proofErr w:type="spellEnd"/>
      <w:r w:rsidR="00D27417" w:rsidRPr="004D36D1">
        <w:rPr>
          <w:rFonts w:ascii="Times New Roman" w:hAnsi="Times New Roman" w:cs="Times New Roman"/>
          <w:color w:val="000000" w:themeColor="text1"/>
          <w:sz w:val="24"/>
          <w:szCs w:val="24"/>
        </w:rPr>
        <w:t xml:space="preserve"> the chances of not considering the agent worthy of standing up for the </w:t>
      </w:r>
      <w:r w:rsidR="00FD2795" w:rsidRPr="004D36D1">
        <w:rPr>
          <w:rFonts w:ascii="Times New Roman" w:hAnsi="Times New Roman" w:cs="Times New Roman"/>
          <w:color w:val="000000" w:themeColor="text1"/>
          <w:sz w:val="24"/>
          <w:szCs w:val="24"/>
        </w:rPr>
        <w:t>principal's liability.</w:t>
      </w:r>
    </w:p>
    <w:p w14:paraId="4E099E63" w14:textId="4C57D6DA" w:rsidR="0081270E" w:rsidRPr="004D36D1" w:rsidRDefault="00000000" w:rsidP="004E7939">
      <w:pPr>
        <w:spacing w:line="480" w:lineRule="auto"/>
        <w:ind w:firstLine="720"/>
        <w:contextualSpacing/>
        <w:rPr>
          <w:rFonts w:ascii="Times New Roman" w:hAnsi="Times New Roman" w:cs="Times New Roman"/>
          <w:b/>
          <w:bCs/>
          <w:color w:val="000000" w:themeColor="text1"/>
          <w:sz w:val="24"/>
          <w:szCs w:val="24"/>
          <w:highlight w:val="green"/>
        </w:rPr>
      </w:pPr>
      <w:r w:rsidRPr="004D36D1">
        <w:rPr>
          <w:rFonts w:ascii="Times New Roman" w:hAnsi="Times New Roman" w:cs="Times New Roman"/>
          <w:color w:val="000000" w:themeColor="text1"/>
          <w:sz w:val="24"/>
          <w:szCs w:val="24"/>
        </w:rPr>
        <w:t xml:space="preserve">A potential </w:t>
      </w:r>
      <w:r w:rsidR="00637FC6" w:rsidRPr="004D36D1">
        <w:rPr>
          <w:rFonts w:ascii="Times New Roman" w:hAnsi="Times New Roman" w:cs="Times New Roman"/>
          <w:color w:val="000000" w:themeColor="text1"/>
          <w:sz w:val="24"/>
          <w:szCs w:val="24"/>
        </w:rPr>
        <w:t xml:space="preserve">concern in this matter is portrayed to show that Katie has overused her power. In case of a dispute, one can withdraw from the contract law and disown the oriented responsibilities, leading to the </w:t>
      </w:r>
      <w:proofErr w:type="spellStart"/>
      <w:r w:rsidR="00637FC6" w:rsidRPr="004D36D1">
        <w:rPr>
          <w:rFonts w:ascii="Times New Roman" w:hAnsi="Times New Roman" w:cs="Times New Roman"/>
          <w:color w:val="000000" w:themeColor="text1"/>
          <w:sz w:val="24"/>
          <w:szCs w:val="24"/>
        </w:rPr>
        <w:t>minimi</w:t>
      </w:r>
      <w:r w:rsidR="00D20A68">
        <w:rPr>
          <w:rFonts w:ascii="Times New Roman" w:hAnsi="Times New Roman" w:cs="Times New Roman"/>
          <w:color w:val="000000" w:themeColor="text1"/>
          <w:sz w:val="24"/>
          <w:szCs w:val="24"/>
        </w:rPr>
        <w:t>s</w:t>
      </w:r>
      <w:r w:rsidR="00637FC6" w:rsidRPr="004D36D1">
        <w:rPr>
          <w:rFonts w:ascii="Times New Roman" w:hAnsi="Times New Roman" w:cs="Times New Roman"/>
          <w:color w:val="000000" w:themeColor="text1"/>
          <w:sz w:val="24"/>
          <w:szCs w:val="24"/>
        </w:rPr>
        <w:t>ation</w:t>
      </w:r>
      <w:proofErr w:type="spellEnd"/>
      <w:r w:rsidR="00637FC6" w:rsidRPr="004D36D1">
        <w:rPr>
          <w:rFonts w:ascii="Times New Roman" w:hAnsi="Times New Roman" w:cs="Times New Roman"/>
          <w:color w:val="000000" w:themeColor="text1"/>
          <w:sz w:val="24"/>
          <w:szCs w:val="24"/>
        </w:rPr>
        <w:t xml:space="preserve"> of liabilities. This proves that Katie went beyond her instructions to assist Usman in cases where </w:t>
      </w:r>
      <w:r w:rsidR="00EB03DA" w:rsidRPr="004D36D1">
        <w:rPr>
          <w:rFonts w:ascii="Times New Roman" w:hAnsi="Times New Roman" w:cs="Times New Roman"/>
          <w:color w:val="000000" w:themeColor="text1"/>
          <w:sz w:val="24"/>
          <w:szCs w:val="24"/>
        </w:rPr>
        <w:t>Mrs Macyagod initiated legal actions. To avoid any future problems, the interconnection between the client and the agency should be clearly defined i</w:t>
      </w:r>
      <w:r w:rsidRPr="004D36D1">
        <w:rPr>
          <w:rFonts w:ascii="Times New Roman" w:hAnsi="Times New Roman" w:cs="Times New Roman"/>
          <w:color w:val="000000" w:themeColor="text1"/>
          <w:sz w:val="24"/>
          <w:szCs w:val="24"/>
        </w:rPr>
        <w:t xml:space="preserve">n advance. </w:t>
      </w:r>
      <w:r w:rsidR="00CD21A8" w:rsidRPr="004D36D1">
        <w:rPr>
          <w:rFonts w:ascii="Times New Roman" w:hAnsi="Times New Roman" w:cs="Times New Roman"/>
          <w:color w:val="000000" w:themeColor="text1"/>
          <w:sz w:val="24"/>
          <w:szCs w:val="24"/>
        </w:rPr>
        <w:t>Thus, t</w:t>
      </w:r>
      <w:r w:rsidRPr="004D36D1">
        <w:rPr>
          <w:rFonts w:ascii="Times New Roman" w:hAnsi="Times New Roman" w:cs="Times New Roman"/>
          <w:color w:val="000000" w:themeColor="text1"/>
          <w:sz w:val="24"/>
          <w:szCs w:val="24"/>
        </w:rPr>
        <w:t xml:space="preserve">hese agreements should be supported by constant monitoring, checks, and periodic group discussions to ensure agents follow instructions. In addition to the potential for risks, offering compliance and legal training to agents eliminates these risks. The following will also improve accountability, prevent </w:t>
      </w:r>
      <w:proofErr w:type="spellStart"/>
      <w:r w:rsidRPr="004D36D1">
        <w:rPr>
          <w:rFonts w:ascii="Times New Roman" w:hAnsi="Times New Roman" w:cs="Times New Roman"/>
          <w:color w:val="000000" w:themeColor="text1"/>
          <w:sz w:val="24"/>
          <w:szCs w:val="24"/>
        </w:rPr>
        <w:t>unauthori</w:t>
      </w:r>
      <w:r w:rsidR="00D20A68">
        <w:rPr>
          <w:rFonts w:ascii="Times New Roman" w:hAnsi="Times New Roman" w:cs="Times New Roman"/>
          <w:color w:val="000000" w:themeColor="text1"/>
          <w:sz w:val="24"/>
          <w:szCs w:val="24"/>
        </w:rPr>
        <w:t>s</w:t>
      </w:r>
      <w:r w:rsidRPr="004D36D1">
        <w:rPr>
          <w:rFonts w:ascii="Times New Roman" w:hAnsi="Times New Roman" w:cs="Times New Roman"/>
          <w:color w:val="000000" w:themeColor="text1"/>
          <w:sz w:val="24"/>
          <w:szCs w:val="24"/>
        </w:rPr>
        <w:t>ed</w:t>
      </w:r>
      <w:proofErr w:type="spellEnd"/>
      <w:r w:rsidRPr="004D36D1">
        <w:rPr>
          <w:rFonts w:ascii="Times New Roman" w:hAnsi="Times New Roman" w:cs="Times New Roman"/>
          <w:color w:val="000000" w:themeColor="text1"/>
          <w:sz w:val="24"/>
          <w:szCs w:val="24"/>
        </w:rPr>
        <w:t xml:space="preserve"> transactions, and create a proper system of checks and balances.</w:t>
      </w:r>
    </w:p>
    <w:p w14:paraId="0B548876" w14:textId="0415A939" w:rsidR="00DB350D" w:rsidRPr="004D36D1" w:rsidRDefault="00000000" w:rsidP="0081270E">
      <w:pPr>
        <w:spacing w:line="480" w:lineRule="auto"/>
        <w:contextualSpacing/>
        <w:rPr>
          <w:rFonts w:ascii="Times New Roman" w:hAnsi="Times New Roman" w:cs="Times New Roman"/>
          <w:b/>
          <w:bCs/>
          <w:color w:val="000000" w:themeColor="text1"/>
          <w:sz w:val="24"/>
          <w:szCs w:val="24"/>
        </w:rPr>
      </w:pPr>
      <w:r w:rsidRPr="004D36D1">
        <w:rPr>
          <w:rFonts w:ascii="Times New Roman" w:hAnsi="Times New Roman" w:cs="Times New Roman"/>
          <w:b/>
          <w:bCs/>
          <w:color w:val="000000" w:themeColor="text1"/>
          <w:sz w:val="24"/>
          <w:szCs w:val="24"/>
        </w:rPr>
        <w:t>Insurance Law Issues</w:t>
      </w:r>
    </w:p>
    <w:p w14:paraId="7FF27FE6" w14:textId="2E5EF80F" w:rsidR="00DB350D" w:rsidRPr="004D36D1" w:rsidRDefault="00000000" w:rsidP="0081270E">
      <w:pPr>
        <w:spacing w:line="480" w:lineRule="auto"/>
        <w:ind w:firstLine="720"/>
        <w:contextualSpacing/>
        <w:rPr>
          <w:rFonts w:ascii="Times New Roman" w:hAnsi="Times New Roman" w:cs="Times New Roman"/>
          <w:color w:val="000000" w:themeColor="text1"/>
          <w:sz w:val="24"/>
          <w:szCs w:val="24"/>
          <w:highlight w:val="green"/>
        </w:rPr>
      </w:pPr>
      <w:r w:rsidRPr="004D36D1">
        <w:rPr>
          <w:rFonts w:ascii="Times New Roman" w:hAnsi="Times New Roman" w:cs="Times New Roman"/>
          <w:color w:val="000000" w:themeColor="text1"/>
          <w:sz w:val="24"/>
          <w:szCs w:val="24"/>
        </w:rPr>
        <w:t xml:space="preserve">Usman violated the responsibility of fair display of the risks under the Insurance Act 2015 when he could not open up about past claims against </w:t>
      </w:r>
      <w:r w:rsidR="00FD2795" w:rsidRPr="004D36D1">
        <w:rPr>
          <w:rFonts w:ascii="Times New Roman" w:hAnsi="Times New Roman" w:cs="Times New Roman"/>
          <w:color w:val="000000" w:themeColor="text1"/>
          <w:sz w:val="24"/>
          <w:szCs w:val="24"/>
        </w:rPr>
        <w:t xml:space="preserve">"Colombian Boost" when </w:t>
      </w:r>
      <w:r w:rsidR="00FD2795" w:rsidRPr="004D36D1">
        <w:rPr>
          <w:rFonts w:ascii="Times New Roman" w:hAnsi="Times New Roman" w:cs="Times New Roman"/>
          <w:color w:val="000000" w:themeColor="text1"/>
          <w:sz w:val="24"/>
          <w:szCs w:val="24"/>
        </w:rPr>
        <w:lastRenderedPageBreak/>
        <w:t xml:space="preserve">renewing his insurance policy with Clapham Insurance Company. </w:t>
      </w:r>
      <w:r w:rsidR="006F6C84" w:rsidRPr="004D36D1">
        <w:rPr>
          <w:rFonts w:ascii="Times New Roman" w:hAnsi="Times New Roman" w:cs="Times New Roman"/>
          <w:color w:val="000000" w:themeColor="text1"/>
          <w:sz w:val="24"/>
          <w:szCs w:val="24"/>
        </w:rPr>
        <w:t>Additionally, s</w:t>
      </w:r>
      <w:r w:rsidRPr="004D36D1">
        <w:rPr>
          <w:rFonts w:ascii="Times New Roman" w:hAnsi="Times New Roman" w:cs="Times New Roman"/>
          <w:color w:val="000000" w:themeColor="text1"/>
          <w:sz w:val="24"/>
          <w:szCs w:val="24"/>
        </w:rPr>
        <w:t xml:space="preserve">ection 3 of the Act requires the policyholders to speak out of any </w:t>
      </w:r>
      <w:r w:rsidR="00637FC6" w:rsidRPr="004D36D1">
        <w:rPr>
          <w:rFonts w:ascii="Times New Roman" w:hAnsi="Times New Roman" w:cs="Times New Roman"/>
          <w:color w:val="000000" w:themeColor="text1"/>
          <w:sz w:val="24"/>
          <w:szCs w:val="24"/>
        </w:rPr>
        <w:t xml:space="preserve">cases in which they should be aware of any situations that may influence the </w:t>
      </w:r>
      <w:r w:rsidR="00FD2795" w:rsidRPr="004D36D1">
        <w:rPr>
          <w:rFonts w:ascii="Times New Roman" w:hAnsi="Times New Roman" w:cs="Times New Roman"/>
          <w:color w:val="000000" w:themeColor="text1"/>
          <w:sz w:val="24"/>
          <w:szCs w:val="24"/>
        </w:rPr>
        <w:t>insurer's decision.</w:t>
      </w:r>
      <w:r>
        <w:rPr>
          <w:rStyle w:val="FootnoteReference"/>
          <w:rFonts w:ascii="Times New Roman" w:hAnsi="Times New Roman" w:cs="Times New Roman"/>
          <w:color w:val="000000" w:themeColor="text1"/>
          <w:sz w:val="24"/>
          <w:szCs w:val="24"/>
        </w:rPr>
        <w:footnoteReference w:id="4"/>
      </w:r>
      <w:r w:rsidR="00FD2795" w:rsidRPr="004D36D1">
        <w:rPr>
          <w:rFonts w:ascii="Times New Roman" w:hAnsi="Times New Roman" w:cs="Times New Roman"/>
          <w:color w:val="000000" w:themeColor="text1"/>
          <w:sz w:val="24"/>
          <w:szCs w:val="24"/>
        </w:rPr>
        <w:t xml:space="preserve"> </w:t>
      </w:r>
      <w:r w:rsidR="00B52048" w:rsidRPr="004D36D1">
        <w:rPr>
          <w:rFonts w:ascii="Times New Roman" w:hAnsi="Times New Roman" w:cs="Times New Roman"/>
          <w:color w:val="000000" w:themeColor="text1"/>
          <w:sz w:val="24"/>
          <w:szCs w:val="24"/>
        </w:rPr>
        <w:t xml:space="preserve">The inability to </w:t>
      </w:r>
      <w:proofErr w:type="spellStart"/>
      <w:r w:rsidR="00B52048" w:rsidRPr="004D36D1">
        <w:rPr>
          <w:rFonts w:ascii="Times New Roman" w:hAnsi="Times New Roman" w:cs="Times New Roman"/>
          <w:color w:val="000000" w:themeColor="text1"/>
          <w:sz w:val="24"/>
          <w:szCs w:val="24"/>
        </w:rPr>
        <w:t>synchroni</w:t>
      </w:r>
      <w:r w:rsidR="00D20A68">
        <w:rPr>
          <w:rFonts w:ascii="Times New Roman" w:hAnsi="Times New Roman" w:cs="Times New Roman"/>
          <w:color w:val="000000" w:themeColor="text1"/>
          <w:sz w:val="24"/>
          <w:szCs w:val="24"/>
        </w:rPr>
        <w:t>s</w:t>
      </w:r>
      <w:r w:rsidR="00B52048" w:rsidRPr="004D36D1">
        <w:rPr>
          <w:rFonts w:ascii="Times New Roman" w:hAnsi="Times New Roman" w:cs="Times New Roman"/>
          <w:color w:val="000000" w:themeColor="text1"/>
          <w:sz w:val="24"/>
          <w:szCs w:val="24"/>
        </w:rPr>
        <w:t>e</w:t>
      </w:r>
      <w:proofErr w:type="spellEnd"/>
      <w:r w:rsidR="00B52048" w:rsidRPr="004D36D1">
        <w:rPr>
          <w:rFonts w:ascii="Times New Roman" w:hAnsi="Times New Roman" w:cs="Times New Roman"/>
          <w:color w:val="000000" w:themeColor="text1"/>
          <w:sz w:val="24"/>
          <w:szCs w:val="24"/>
        </w:rPr>
        <w:t xml:space="preserve"> mechanisms for unveiling misunderstandings and misleads may negatively influence economic stabilit</w:t>
      </w:r>
      <w:r w:rsidR="00086CB2" w:rsidRPr="004D36D1">
        <w:rPr>
          <w:rFonts w:ascii="Times New Roman" w:hAnsi="Times New Roman" w:cs="Times New Roman"/>
          <w:color w:val="000000" w:themeColor="text1"/>
          <w:sz w:val="24"/>
          <w:szCs w:val="24"/>
        </w:rPr>
        <w:t xml:space="preserve">y. </w:t>
      </w:r>
      <w:r w:rsidR="006F6C84" w:rsidRPr="004D36D1">
        <w:rPr>
          <w:rFonts w:ascii="Times New Roman" w:hAnsi="Times New Roman" w:cs="Times New Roman"/>
          <w:color w:val="000000" w:themeColor="text1"/>
          <w:sz w:val="24"/>
          <w:szCs w:val="24"/>
        </w:rPr>
        <w:t>Moreover, t</w:t>
      </w:r>
      <w:r w:rsidR="00086CB2" w:rsidRPr="004D36D1">
        <w:rPr>
          <w:rFonts w:ascii="Times New Roman" w:hAnsi="Times New Roman" w:cs="Times New Roman"/>
          <w:color w:val="000000" w:themeColor="text1"/>
          <w:sz w:val="24"/>
          <w:szCs w:val="24"/>
        </w:rPr>
        <w:t xml:space="preserve">he scenarios </w:t>
      </w:r>
      <w:r w:rsidR="00C80BC2" w:rsidRPr="004D36D1">
        <w:rPr>
          <w:rFonts w:ascii="Times New Roman" w:hAnsi="Times New Roman" w:cs="Times New Roman"/>
          <w:color w:val="000000" w:themeColor="text1"/>
          <w:sz w:val="24"/>
          <w:szCs w:val="24"/>
        </w:rPr>
        <w:t>drive</w:t>
      </w:r>
      <w:r w:rsidR="00086CB2" w:rsidRPr="004D36D1">
        <w:rPr>
          <w:rFonts w:ascii="Times New Roman" w:hAnsi="Times New Roman" w:cs="Times New Roman"/>
          <w:color w:val="000000" w:themeColor="text1"/>
          <w:sz w:val="24"/>
          <w:szCs w:val="24"/>
        </w:rPr>
        <w:t xml:space="preserve"> to denote the core necessities of insurance, such as fair and clear provision of depicted contracts relating to risk evaluation and other legal requirements.  </w:t>
      </w:r>
    </w:p>
    <w:p w14:paraId="7F4CAE45" w14:textId="5F1CBE12" w:rsidR="007C2BF9" w:rsidRPr="004D36D1" w:rsidRDefault="00000000" w:rsidP="0081270E">
      <w:pPr>
        <w:spacing w:line="480" w:lineRule="auto"/>
        <w:ind w:firstLine="720"/>
        <w:contextualSpacing/>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 xml:space="preserve">The Insurance Act 2015 introduced the proportionate remedies section 8 of the Act, which modifies the common law rules that insurers could exclude themselves from the contract where there has been a breach of duty of fair presentation. In relation, this framework ensures that the insurance distribution is equitable and rational and enables one party to make a disclosure </w:t>
      </w:r>
      <w:r w:rsidR="000D2775" w:rsidRPr="004D36D1">
        <w:rPr>
          <w:rFonts w:ascii="Times New Roman" w:hAnsi="Times New Roman" w:cs="Times New Roman"/>
          <w:color w:val="000000" w:themeColor="text1"/>
          <w:sz w:val="24"/>
          <w:szCs w:val="24"/>
        </w:rPr>
        <w:t>unfavourable</w:t>
      </w:r>
      <w:r w:rsidRPr="004D36D1">
        <w:rPr>
          <w:rFonts w:ascii="Times New Roman" w:hAnsi="Times New Roman" w:cs="Times New Roman"/>
          <w:color w:val="000000" w:themeColor="text1"/>
          <w:sz w:val="24"/>
          <w:szCs w:val="24"/>
        </w:rPr>
        <w:t xml:space="preserve"> to the other. Additionally, the quantity and quality relationship also </w:t>
      </w:r>
      <w:r w:rsidR="000D2775" w:rsidRPr="004D36D1">
        <w:rPr>
          <w:rFonts w:ascii="Times New Roman" w:hAnsi="Times New Roman" w:cs="Times New Roman"/>
          <w:color w:val="000000" w:themeColor="text1"/>
          <w:sz w:val="24"/>
          <w:szCs w:val="24"/>
        </w:rPr>
        <w:t>mean</w:t>
      </w:r>
      <w:r w:rsidRPr="004D36D1">
        <w:rPr>
          <w:rFonts w:ascii="Times New Roman" w:hAnsi="Times New Roman" w:cs="Times New Roman"/>
          <w:color w:val="000000" w:themeColor="text1"/>
          <w:sz w:val="24"/>
          <w:szCs w:val="24"/>
        </w:rPr>
        <w:t>s that proportional remedies ensure that the insurer's response to the breach is equitable. In this way, proportionate remedies assist in warranting higher responsibility and credibility in the insurance industry by reducing the risk of litigation. In conjunction, the policy may be cancelled where the failure to disclose is fraudulent or negligent.</w:t>
      </w:r>
    </w:p>
    <w:p w14:paraId="4864CD3C" w14:textId="4D75EF56" w:rsidR="00D12C4C" w:rsidRPr="004D36D1" w:rsidRDefault="00000000" w:rsidP="0081270E">
      <w:pPr>
        <w:spacing w:line="480" w:lineRule="auto"/>
        <w:ind w:firstLine="720"/>
        <w:contextualSpacing/>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Usman</w:t>
      </w:r>
      <w:r w:rsidR="00B52048" w:rsidRPr="004D36D1">
        <w:rPr>
          <w:rFonts w:ascii="Times New Roman" w:hAnsi="Times New Roman" w:cs="Times New Roman"/>
          <w:color w:val="000000" w:themeColor="text1"/>
          <w:sz w:val="24"/>
          <w:szCs w:val="24"/>
        </w:rPr>
        <w:t xml:space="preserve"> must report and submit insurance applications targeting the future and acquire a declaration of every fact that is considered true material. Future disagreements can be eradicated by having legal professionals with the intellect to understand the insurance disclosures and documentation. </w:t>
      </w:r>
      <w:r w:rsidR="006F6C84" w:rsidRPr="004D36D1">
        <w:rPr>
          <w:rFonts w:ascii="Times New Roman" w:hAnsi="Times New Roman" w:cs="Times New Roman"/>
          <w:color w:val="000000" w:themeColor="text1"/>
          <w:sz w:val="24"/>
          <w:szCs w:val="24"/>
        </w:rPr>
        <w:t>Additionally,</w:t>
      </w:r>
      <w:r w:rsidR="006C6327">
        <w:rPr>
          <w:rFonts w:ascii="Times New Roman" w:hAnsi="Times New Roman" w:cs="Times New Roman"/>
          <w:color w:val="000000" w:themeColor="text1"/>
          <w:sz w:val="24"/>
          <w:szCs w:val="24"/>
        </w:rPr>
        <w:t xml:space="preserve"> as illustrated in the insolvency law-22-November-2024 notes, </w:t>
      </w:r>
      <w:r w:rsidR="006F6C84" w:rsidRPr="004D36D1">
        <w:rPr>
          <w:rFonts w:ascii="Times New Roman" w:hAnsi="Times New Roman" w:cs="Times New Roman"/>
          <w:color w:val="000000" w:themeColor="text1"/>
          <w:sz w:val="24"/>
          <w:szCs w:val="24"/>
        </w:rPr>
        <w:t>t</w:t>
      </w:r>
      <w:r w:rsidR="00B52048" w:rsidRPr="004D36D1">
        <w:rPr>
          <w:rFonts w:ascii="Times New Roman" w:hAnsi="Times New Roman" w:cs="Times New Roman"/>
          <w:color w:val="000000" w:themeColor="text1"/>
          <w:sz w:val="24"/>
          <w:szCs w:val="24"/>
        </w:rPr>
        <w:t xml:space="preserve">his enhances the quality of reporting compliance in connection with </w:t>
      </w:r>
      <w:r w:rsidR="00B52048" w:rsidRPr="004D36D1">
        <w:rPr>
          <w:rFonts w:ascii="Times New Roman" w:hAnsi="Times New Roman" w:cs="Times New Roman"/>
          <w:color w:val="000000" w:themeColor="text1"/>
          <w:sz w:val="24"/>
          <w:szCs w:val="24"/>
        </w:rPr>
        <w:lastRenderedPageBreak/>
        <w:t>the Insurance Act 2015</w:t>
      </w:r>
      <w:r w:rsidRPr="004D36D1">
        <w:rPr>
          <w:rFonts w:ascii="Times New Roman" w:hAnsi="Times New Roman" w:cs="Times New Roman"/>
          <w:color w:val="000000" w:themeColor="text1"/>
          <w:sz w:val="24"/>
          <w:szCs w:val="24"/>
        </w:rPr>
        <w:t>.</w:t>
      </w:r>
      <w:r>
        <w:rPr>
          <w:rStyle w:val="FootnoteReference"/>
          <w:rFonts w:ascii="Times New Roman" w:hAnsi="Times New Roman" w:cs="Times New Roman"/>
          <w:color w:val="000000" w:themeColor="text1"/>
          <w:sz w:val="24"/>
          <w:szCs w:val="24"/>
        </w:rPr>
        <w:footnoteReference w:id="5"/>
      </w:r>
      <w:r w:rsidRPr="004D36D1">
        <w:rPr>
          <w:rFonts w:ascii="Times New Roman" w:hAnsi="Times New Roman" w:cs="Times New Roman"/>
          <w:color w:val="000000" w:themeColor="text1"/>
          <w:sz w:val="24"/>
          <w:szCs w:val="24"/>
        </w:rPr>
        <w:t xml:space="preserve"> On top of that, Usman is supposed to come up with an </w:t>
      </w:r>
      <w:proofErr w:type="spellStart"/>
      <w:r w:rsidRPr="004D36D1">
        <w:rPr>
          <w:rFonts w:ascii="Times New Roman" w:hAnsi="Times New Roman" w:cs="Times New Roman"/>
          <w:color w:val="000000" w:themeColor="text1"/>
          <w:sz w:val="24"/>
          <w:szCs w:val="24"/>
        </w:rPr>
        <w:t>internali</w:t>
      </w:r>
      <w:r w:rsidR="00D20A68">
        <w:rPr>
          <w:rFonts w:ascii="Times New Roman" w:hAnsi="Times New Roman" w:cs="Times New Roman"/>
          <w:color w:val="000000" w:themeColor="text1"/>
          <w:sz w:val="24"/>
          <w:szCs w:val="24"/>
        </w:rPr>
        <w:t>s</w:t>
      </w:r>
      <w:r w:rsidRPr="004D36D1">
        <w:rPr>
          <w:rFonts w:ascii="Times New Roman" w:hAnsi="Times New Roman" w:cs="Times New Roman"/>
          <w:color w:val="000000" w:themeColor="text1"/>
          <w:sz w:val="24"/>
          <w:szCs w:val="24"/>
        </w:rPr>
        <w:t>ed</w:t>
      </w:r>
      <w:proofErr w:type="spellEnd"/>
      <w:r w:rsidRPr="004D36D1">
        <w:rPr>
          <w:rFonts w:ascii="Times New Roman" w:hAnsi="Times New Roman" w:cs="Times New Roman"/>
          <w:color w:val="000000" w:themeColor="text1"/>
          <w:sz w:val="24"/>
          <w:szCs w:val="24"/>
        </w:rPr>
        <w:t xml:space="preserve"> technique control for keeping records of any business transactions and operations and preparing appropriate output that supports reporting of key material information. </w:t>
      </w:r>
      <w:r w:rsidR="006F6C84" w:rsidRPr="004D36D1">
        <w:rPr>
          <w:rFonts w:ascii="Times New Roman" w:hAnsi="Times New Roman" w:cs="Times New Roman"/>
          <w:color w:val="000000" w:themeColor="text1"/>
          <w:sz w:val="24"/>
          <w:szCs w:val="24"/>
        </w:rPr>
        <w:t>Moreover, t</w:t>
      </w:r>
      <w:r w:rsidRPr="004D36D1">
        <w:rPr>
          <w:rFonts w:ascii="Times New Roman" w:hAnsi="Times New Roman" w:cs="Times New Roman"/>
          <w:color w:val="000000" w:themeColor="text1"/>
          <w:sz w:val="24"/>
          <w:szCs w:val="24"/>
        </w:rPr>
        <w:t>he constant regeneration of reviews of the insurance policies and the supporting practices will showcase the existing vulnerable points and address them as soon as possible</w:t>
      </w:r>
      <w:r w:rsidR="009C2858" w:rsidRPr="004D36D1">
        <w:rPr>
          <w:rFonts w:ascii="Times New Roman" w:hAnsi="Times New Roman" w:cs="Times New Roman"/>
          <w:color w:val="000000" w:themeColor="text1"/>
          <w:sz w:val="24"/>
          <w:szCs w:val="24"/>
        </w:rPr>
        <w:t xml:space="preserve">, ensuring gradual compliance with the legal requirements and norms and </w:t>
      </w:r>
      <w:proofErr w:type="spellStart"/>
      <w:r w:rsidR="009C2858" w:rsidRPr="004D36D1">
        <w:rPr>
          <w:rFonts w:ascii="Times New Roman" w:hAnsi="Times New Roman" w:cs="Times New Roman"/>
          <w:color w:val="000000" w:themeColor="text1"/>
          <w:sz w:val="24"/>
          <w:szCs w:val="24"/>
        </w:rPr>
        <w:t>minimi</w:t>
      </w:r>
      <w:r w:rsidR="00D20A68">
        <w:rPr>
          <w:rFonts w:ascii="Times New Roman" w:hAnsi="Times New Roman" w:cs="Times New Roman"/>
          <w:color w:val="000000" w:themeColor="text1"/>
          <w:sz w:val="24"/>
          <w:szCs w:val="24"/>
        </w:rPr>
        <w:t>s</w:t>
      </w:r>
      <w:r w:rsidR="009C2858" w:rsidRPr="004D36D1">
        <w:rPr>
          <w:rFonts w:ascii="Times New Roman" w:hAnsi="Times New Roman" w:cs="Times New Roman"/>
          <w:color w:val="000000" w:themeColor="text1"/>
          <w:sz w:val="24"/>
          <w:szCs w:val="24"/>
        </w:rPr>
        <w:t>ing</w:t>
      </w:r>
      <w:proofErr w:type="spellEnd"/>
      <w:r w:rsidR="009C2858" w:rsidRPr="004D36D1">
        <w:rPr>
          <w:rFonts w:ascii="Times New Roman" w:hAnsi="Times New Roman" w:cs="Times New Roman"/>
          <w:color w:val="000000" w:themeColor="text1"/>
          <w:sz w:val="24"/>
          <w:szCs w:val="24"/>
        </w:rPr>
        <w:t xml:space="preserve"> the level of complexity.</w:t>
      </w:r>
    </w:p>
    <w:p w14:paraId="2838758D" w14:textId="1227A431" w:rsidR="00DB350D" w:rsidRPr="004D36D1" w:rsidRDefault="00000000" w:rsidP="0081270E">
      <w:pPr>
        <w:spacing w:line="480" w:lineRule="auto"/>
        <w:contextualSpacing/>
        <w:rPr>
          <w:rFonts w:ascii="Times New Roman" w:hAnsi="Times New Roman" w:cs="Times New Roman"/>
          <w:b/>
          <w:bCs/>
          <w:color w:val="000000" w:themeColor="text1"/>
          <w:sz w:val="24"/>
          <w:szCs w:val="24"/>
        </w:rPr>
      </w:pPr>
      <w:r w:rsidRPr="004D36D1">
        <w:rPr>
          <w:rFonts w:ascii="Times New Roman" w:hAnsi="Times New Roman" w:cs="Times New Roman"/>
          <w:b/>
          <w:bCs/>
          <w:color w:val="000000" w:themeColor="text1"/>
          <w:sz w:val="24"/>
          <w:szCs w:val="24"/>
        </w:rPr>
        <w:t>Implications</w:t>
      </w:r>
      <w:r w:rsidR="00977227">
        <w:rPr>
          <w:rFonts w:ascii="Times New Roman" w:hAnsi="Times New Roman" w:cs="Times New Roman"/>
          <w:b/>
          <w:bCs/>
          <w:color w:val="000000" w:themeColor="text1"/>
          <w:sz w:val="24"/>
          <w:szCs w:val="24"/>
        </w:rPr>
        <w:t xml:space="preserve"> of </w:t>
      </w:r>
      <w:r w:rsidR="00977227" w:rsidRPr="004D36D1">
        <w:rPr>
          <w:rFonts w:ascii="Times New Roman" w:hAnsi="Times New Roman" w:cs="Times New Roman"/>
          <w:b/>
          <w:bCs/>
          <w:color w:val="000000" w:themeColor="text1"/>
          <w:sz w:val="24"/>
          <w:szCs w:val="24"/>
        </w:rPr>
        <w:t>Insolvency Law</w:t>
      </w:r>
    </w:p>
    <w:p w14:paraId="5F12A1B2" w14:textId="6F528559" w:rsidR="00681668" w:rsidRPr="004D36D1" w:rsidRDefault="00000000" w:rsidP="001628A9">
      <w:pPr>
        <w:spacing w:line="480" w:lineRule="auto"/>
        <w:ind w:firstLine="720"/>
        <w:contextualSpacing/>
        <w:rPr>
          <w:rFonts w:ascii="Times New Roman" w:hAnsi="Times New Roman" w:cs="Times New Roman"/>
          <w:color w:val="000000" w:themeColor="text1"/>
          <w:sz w:val="24"/>
          <w:szCs w:val="24"/>
        </w:rPr>
      </w:pPr>
      <w:r w:rsidRPr="00977227">
        <w:rPr>
          <w:rFonts w:ascii="Times New Roman" w:hAnsi="Times New Roman" w:cs="Times New Roman"/>
          <w:color w:val="000000" w:themeColor="text1"/>
          <w:sz w:val="24"/>
          <w:szCs w:val="24"/>
        </w:rPr>
        <w:t xml:space="preserve">In case </w:t>
      </w:r>
      <w:r w:rsidR="001628A9" w:rsidRPr="00977227">
        <w:rPr>
          <w:rFonts w:ascii="Times New Roman" w:hAnsi="Times New Roman" w:cs="Times New Roman"/>
          <w:color w:val="000000" w:themeColor="text1"/>
          <w:sz w:val="24"/>
          <w:szCs w:val="24"/>
        </w:rPr>
        <w:t xml:space="preserve">the liquidator has any concerns, this scenario could be referred to as a transaction at a lower value in terms of section 238 of the Insolvency Act 1986, as long as Ayesha </w:t>
      </w:r>
      <w:r w:rsidR="000D2775" w:rsidRPr="00977227">
        <w:rPr>
          <w:rFonts w:ascii="Times New Roman" w:hAnsi="Times New Roman" w:cs="Times New Roman"/>
          <w:color w:val="000000" w:themeColor="text1"/>
          <w:sz w:val="24"/>
          <w:szCs w:val="24"/>
        </w:rPr>
        <w:t>gave</w:t>
      </w:r>
      <w:r w:rsidR="001628A9" w:rsidRPr="00977227">
        <w:rPr>
          <w:rFonts w:ascii="Times New Roman" w:hAnsi="Times New Roman" w:cs="Times New Roman"/>
          <w:color w:val="000000" w:themeColor="text1"/>
          <w:sz w:val="24"/>
          <w:szCs w:val="24"/>
        </w:rPr>
        <w:t xml:space="preserve"> the equipment to him</w:t>
      </w:r>
      <w:r w:rsidR="003A6714" w:rsidRPr="00977227">
        <w:rPr>
          <w:rFonts w:ascii="Times New Roman" w:hAnsi="Times New Roman" w:cs="Times New Roman"/>
          <w:color w:val="000000" w:themeColor="text1"/>
          <w:sz w:val="24"/>
          <w:szCs w:val="24"/>
        </w:rPr>
        <w:t xml:space="preserve"> at </w:t>
      </w:r>
      <w:r w:rsidR="000D2775" w:rsidRPr="00977227">
        <w:rPr>
          <w:rFonts w:ascii="Times New Roman" w:hAnsi="Times New Roman" w:cs="Times New Roman"/>
          <w:color w:val="000000" w:themeColor="text1"/>
          <w:sz w:val="24"/>
          <w:szCs w:val="24"/>
        </w:rPr>
        <w:t xml:space="preserve">which was worth </w:t>
      </w:r>
      <w:r w:rsidR="003A6714" w:rsidRPr="00977227">
        <w:rPr>
          <w:rFonts w:ascii="Times New Roman" w:hAnsi="Times New Roman" w:cs="Times New Roman"/>
          <w:color w:val="000000" w:themeColor="text1"/>
          <w:sz w:val="24"/>
          <w:szCs w:val="24"/>
        </w:rPr>
        <w:t xml:space="preserve">£10,000 for a consideration of </w:t>
      </w:r>
      <w:r w:rsidR="000D2775" w:rsidRPr="00977227">
        <w:rPr>
          <w:rFonts w:ascii="Times New Roman" w:hAnsi="Times New Roman" w:cs="Times New Roman"/>
          <w:color w:val="000000" w:themeColor="text1"/>
          <w:sz w:val="24"/>
          <w:szCs w:val="24"/>
        </w:rPr>
        <w:t>half the price</w:t>
      </w:r>
      <w:r w:rsidR="003A6714" w:rsidRPr="00977227">
        <w:rPr>
          <w:rFonts w:ascii="Times New Roman" w:hAnsi="Times New Roman" w:cs="Times New Roman"/>
          <w:color w:val="000000" w:themeColor="text1"/>
          <w:sz w:val="24"/>
          <w:szCs w:val="24"/>
        </w:rPr>
        <w:t>.</w:t>
      </w:r>
      <w:r>
        <w:rPr>
          <w:rStyle w:val="FootnoteReference"/>
          <w:rFonts w:ascii="Times New Roman" w:hAnsi="Times New Roman" w:cs="Times New Roman"/>
          <w:color w:val="000000" w:themeColor="text1"/>
          <w:sz w:val="24"/>
          <w:szCs w:val="24"/>
        </w:rPr>
        <w:footnoteReference w:id="6"/>
      </w:r>
      <w:r w:rsidR="00682574" w:rsidRPr="00977227">
        <w:rPr>
          <w:rFonts w:ascii="Times New Roman" w:hAnsi="Times New Roman" w:cs="Times New Roman"/>
          <w:color w:val="000000" w:themeColor="text1"/>
          <w:sz w:val="24"/>
          <w:szCs w:val="24"/>
        </w:rPr>
        <w:t xml:space="preserve"> </w:t>
      </w:r>
      <w:r w:rsidR="006F6C84" w:rsidRPr="00977227">
        <w:rPr>
          <w:rFonts w:ascii="Times New Roman" w:hAnsi="Times New Roman" w:cs="Times New Roman"/>
          <w:color w:val="000000" w:themeColor="text1"/>
          <w:sz w:val="24"/>
          <w:szCs w:val="24"/>
        </w:rPr>
        <w:t xml:space="preserve">Additionally, sales of assets </w:t>
      </w:r>
      <w:r w:rsidR="000D2775" w:rsidRPr="00977227">
        <w:rPr>
          <w:rFonts w:ascii="Times New Roman" w:hAnsi="Times New Roman" w:cs="Times New Roman"/>
          <w:color w:val="000000" w:themeColor="text1"/>
          <w:sz w:val="24"/>
          <w:szCs w:val="24"/>
        </w:rPr>
        <w:t xml:space="preserve">involve getting rid of liabilities and assets at a very cheap cost compared to the current market prices, which are important and play a crucial role to creditors. Additionally, the section gives Lucy the mandate to visit the court and have the court work towards getting her back the money since all the transactions made were from assets owned by the company. To this dimension, the court is responsible for </w:t>
      </w:r>
      <w:r w:rsidR="00977227" w:rsidRPr="00977227">
        <w:rPr>
          <w:rFonts w:ascii="Times New Roman" w:hAnsi="Times New Roman" w:cs="Times New Roman"/>
          <w:color w:val="000000" w:themeColor="text1"/>
          <w:sz w:val="24"/>
          <w:szCs w:val="24"/>
        </w:rPr>
        <w:t>investigat</w:t>
      </w:r>
      <w:r w:rsidR="000D2775" w:rsidRPr="00977227">
        <w:rPr>
          <w:rFonts w:ascii="Times New Roman" w:hAnsi="Times New Roman" w:cs="Times New Roman"/>
          <w:color w:val="000000" w:themeColor="text1"/>
          <w:sz w:val="24"/>
          <w:szCs w:val="24"/>
        </w:rPr>
        <w:t xml:space="preserve">ing and retrieving key information about whether the transaction happened </w:t>
      </w:r>
      <w:r w:rsidR="00977227" w:rsidRPr="00977227">
        <w:rPr>
          <w:rFonts w:ascii="Times New Roman" w:hAnsi="Times New Roman" w:cs="Times New Roman"/>
          <w:color w:val="000000" w:themeColor="text1"/>
          <w:sz w:val="24"/>
          <w:szCs w:val="24"/>
        </w:rPr>
        <w:t>before the insolvency or took off as set by other creditors.</w:t>
      </w:r>
      <w:r w:rsidR="00977227">
        <w:rPr>
          <w:rFonts w:ascii="Times New Roman" w:hAnsi="Times New Roman" w:cs="Times New Roman"/>
          <w:color w:val="000000" w:themeColor="text1"/>
          <w:sz w:val="24"/>
          <w:szCs w:val="24"/>
        </w:rPr>
        <w:t xml:space="preserve"> </w:t>
      </w:r>
    </w:p>
    <w:p w14:paraId="2BC1A92E" w14:textId="0F994A0F" w:rsidR="00620616" w:rsidRPr="004D36D1" w:rsidRDefault="00000000" w:rsidP="0081270E">
      <w:pPr>
        <w:spacing w:line="480" w:lineRule="auto"/>
        <w:ind w:firstLine="720"/>
        <w:contextualSpacing/>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It has been made clear in the study that Usman used a large sum of money which belonged to Tolu with the intention of buying books that he could not afford since he was not aware of the source that was easily available to find the books. According to</w:t>
      </w:r>
      <w:r w:rsidR="00115E74">
        <w:rPr>
          <w:rFonts w:ascii="Times New Roman" w:hAnsi="Times New Roman" w:cs="Times New Roman"/>
          <w:color w:val="000000" w:themeColor="text1"/>
          <w:sz w:val="24"/>
          <w:szCs w:val="24"/>
        </w:rPr>
        <w:t xml:space="preserve"> the notes under </w:t>
      </w:r>
      <w:r w:rsidR="00115E74">
        <w:rPr>
          <w:rFonts w:ascii="Times New Roman" w:hAnsi="Times New Roman" w:cs="Times New Roman"/>
          <w:color w:val="000000" w:themeColor="text1"/>
          <w:sz w:val="24"/>
          <w:szCs w:val="24"/>
        </w:rPr>
        <w:lastRenderedPageBreak/>
        <w:t>t</w:t>
      </w:r>
      <w:r w:rsidR="00115E74" w:rsidRPr="00115E74">
        <w:rPr>
          <w:rFonts w:ascii="Times New Roman" w:hAnsi="Times New Roman" w:cs="Times New Roman"/>
          <w:color w:val="000000" w:themeColor="text1"/>
          <w:sz w:val="24"/>
          <w:szCs w:val="24"/>
        </w:rPr>
        <w:t>opic 5</w:t>
      </w:r>
      <w:r w:rsidR="00115E74">
        <w:rPr>
          <w:rFonts w:ascii="Times New Roman" w:hAnsi="Times New Roman" w:cs="Times New Roman"/>
          <w:color w:val="000000" w:themeColor="text1"/>
          <w:sz w:val="24"/>
          <w:szCs w:val="24"/>
        </w:rPr>
        <w:t>-</w:t>
      </w:r>
      <w:r w:rsidR="00115E74" w:rsidRPr="00115E74">
        <w:rPr>
          <w:rFonts w:ascii="Times New Roman" w:hAnsi="Times New Roman" w:cs="Times New Roman"/>
          <w:color w:val="000000" w:themeColor="text1"/>
          <w:sz w:val="24"/>
          <w:szCs w:val="24"/>
        </w:rPr>
        <w:t>Corporate Insolvency I</w:t>
      </w:r>
      <w:r w:rsidR="00115E74">
        <w:rPr>
          <w:rFonts w:ascii="Times New Roman" w:hAnsi="Times New Roman" w:cs="Times New Roman"/>
          <w:color w:val="000000" w:themeColor="text1"/>
          <w:sz w:val="24"/>
          <w:szCs w:val="24"/>
        </w:rPr>
        <w:t xml:space="preserve">, </w:t>
      </w:r>
      <w:r w:rsidRPr="004D36D1">
        <w:rPr>
          <w:rFonts w:ascii="Times New Roman" w:hAnsi="Times New Roman" w:cs="Times New Roman"/>
          <w:color w:val="000000" w:themeColor="text1"/>
          <w:sz w:val="24"/>
          <w:szCs w:val="24"/>
        </w:rPr>
        <w:t xml:space="preserve">the Insolvency Act of 1986 Section 213, this is an unlawful way of participating in trading. This case indicates all the lost opportunities in the sense of reputational cost, fines, and even being possibly banned from being a director to some aspects of ethical business actions in its pursuit of profits then a liquidator is maybe a compliment to which the directors can be held for the repercussions as well as recoup the funds. </w:t>
      </w:r>
    </w:p>
    <w:p w14:paraId="3E563633" w14:textId="45CFD2C6" w:rsidR="0081270E" w:rsidRPr="004D36D1" w:rsidRDefault="00000000" w:rsidP="00C56EBF">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w:t>
      </w:r>
      <w:r w:rsidRPr="00C56EBF">
        <w:rPr>
          <w:rFonts w:ascii="Times New Roman" w:hAnsi="Times New Roman" w:cs="Times New Roman"/>
          <w:color w:val="000000" w:themeColor="text1"/>
          <w:sz w:val="24"/>
          <w:szCs w:val="24"/>
        </w:rPr>
        <w:t>opic 1</w:t>
      </w:r>
      <w:r>
        <w:rPr>
          <w:rFonts w:ascii="Times New Roman" w:hAnsi="Times New Roman" w:cs="Times New Roman"/>
          <w:color w:val="000000" w:themeColor="text1"/>
          <w:sz w:val="24"/>
          <w:szCs w:val="24"/>
        </w:rPr>
        <w:t xml:space="preserve"> of </w:t>
      </w:r>
      <w:r w:rsidRPr="00C56EBF">
        <w:rPr>
          <w:rFonts w:ascii="Times New Roman" w:hAnsi="Times New Roman" w:cs="Times New Roman"/>
          <w:color w:val="000000" w:themeColor="text1"/>
          <w:sz w:val="24"/>
          <w:szCs w:val="24"/>
        </w:rPr>
        <w:t xml:space="preserve">business </w:t>
      </w:r>
      <w:proofErr w:type="spellStart"/>
      <w:r w:rsidRPr="00C56EBF">
        <w:rPr>
          <w:rFonts w:ascii="Times New Roman" w:hAnsi="Times New Roman" w:cs="Times New Roman"/>
          <w:color w:val="000000" w:themeColor="text1"/>
          <w:sz w:val="24"/>
          <w:szCs w:val="24"/>
        </w:rPr>
        <w:t>organi</w:t>
      </w:r>
      <w:r w:rsidR="00D20A68">
        <w:rPr>
          <w:rFonts w:ascii="Times New Roman" w:hAnsi="Times New Roman" w:cs="Times New Roman"/>
          <w:color w:val="000000" w:themeColor="text1"/>
          <w:sz w:val="24"/>
          <w:szCs w:val="24"/>
        </w:rPr>
        <w:t>s</w:t>
      </w:r>
      <w:r w:rsidRPr="00C56EBF">
        <w:rPr>
          <w:rFonts w:ascii="Times New Roman" w:hAnsi="Times New Roman" w:cs="Times New Roman"/>
          <w:color w:val="000000" w:themeColor="text1"/>
          <w:sz w:val="24"/>
          <w:szCs w:val="24"/>
        </w:rPr>
        <w:t>ations</w:t>
      </w:r>
      <w:proofErr w:type="spellEnd"/>
      <w:r>
        <w:rPr>
          <w:rFonts w:ascii="Times New Roman" w:hAnsi="Times New Roman" w:cs="Times New Roman"/>
          <w:color w:val="000000" w:themeColor="text1"/>
          <w:sz w:val="24"/>
          <w:szCs w:val="24"/>
        </w:rPr>
        <w:t xml:space="preserve"> under the </w:t>
      </w:r>
      <w:r w:rsidRPr="00C56EBF">
        <w:rPr>
          <w:rFonts w:ascii="Times New Roman" w:hAnsi="Times New Roman" w:cs="Times New Roman"/>
          <w:color w:val="000000" w:themeColor="text1"/>
          <w:sz w:val="24"/>
          <w:szCs w:val="24"/>
        </w:rPr>
        <w:t>Limited Liability Partnerships</w:t>
      </w:r>
      <w:r>
        <w:rPr>
          <w:rFonts w:ascii="Times New Roman" w:hAnsi="Times New Roman" w:cs="Times New Roman"/>
          <w:color w:val="000000" w:themeColor="text1"/>
          <w:sz w:val="24"/>
          <w:szCs w:val="24"/>
        </w:rPr>
        <w:t xml:space="preserve"> chapter, </w:t>
      </w:r>
      <w:r w:rsidRPr="004D36D1">
        <w:rPr>
          <w:rFonts w:ascii="Times New Roman" w:hAnsi="Times New Roman" w:cs="Times New Roman"/>
          <w:color w:val="000000" w:themeColor="text1"/>
          <w:sz w:val="24"/>
          <w:szCs w:val="24"/>
        </w:rPr>
        <w:t xml:space="preserve">Companies Act 2006 </w:t>
      </w:r>
      <w:r>
        <w:rPr>
          <w:rFonts w:ascii="Times New Roman" w:hAnsi="Times New Roman" w:cs="Times New Roman"/>
          <w:color w:val="000000" w:themeColor="text1"/>
          <w:sz w:val="24"/>
          <w:szCs w:val="24"/>
        </w:rPr>
        <w:t xml:space="preserve">under </w:t>
      </w:r>
      <w:r w:rsidRPr="004D36D1">
        <w:rPr>
          <w:rFonts w:ascii="Times New Roman" w:hAnsi="Times New Roman" w:cs="Times New Roman"/>
          <w:color w:val="000000" w:themeColor="text1"/>
          <w:sz w:val="24"/>
          <w:szCs w:val="24"/>
        </w:rPr>
        <w:t>Section 386</w:t>
      </w:r>
      <w:r>
        <w:rPr>
          <w:rFonts w:ascii="Times New Roman" w:hAnsi="Times New Roman" w:cs="Times New Roman"/>
          <w:color w:val="000000" w:themeColor="text1"/>
          <w:sz w:val="24"/>
          <w:szCs w:val="24"/>
        </w:rPr>
        <w:t xml:space="preserve">, </w:t>
      </w:r>
      <w:r w:rsidRPr="004D36D1">
        <w:rPr>
          <w:rFonts w:ascii="Times New Roman" w:hAnsi="Times New Roman" w:cs="Times New Roman"/>
          <w:color w:val="000000" w:themeColor="text1"/>
          <w:sz w:val="24"/>
          <w:szCs w:val="24"/>
        </w:rPr>
        <w:t xml:space="preserve">allowing directors to make arrangements for efficient management of account data in </w:t>
      </w:r>
      <w:proofErr w:type="spellStart"/>
      <w:r w:rsidRPr="004D36D1">
        <w:rPr>
          <w:rFonts w:ascii="Times New Roman" w:hAnsi="Times New Roman" w:cs="Times New Roman"/>
          <w:color w:val="000000" w:themeColor="text1"/>
          <w:sz w:val="24"/>
          <w:szCs w:val="24"/>
        </w:rPr>
        <w:t>organi</w:t>
      </w:r>
      <w:r w:rsidR="00D20A68">
        <w:rPr>
          <w:rFonts w:ascii="Times New Roman" w:hAnsi="Times New Roman" w:cs="Times New Roman"/>
          <w:color w:val="000000" w:themeColor="text1"/>
          <w:sz w:val="24"/>
          <w:szCs w:val="24"/>
        </w:rPr>
        <w:t>s</w:t>
      </w:r>
      <w:r w:rsidRPr="004D36D1">
        <w:rPr>
          <w:rFonts w:ascii="Times New Roman" w:hAnsi="Times New Roman" w:cs="Times New Roman"/>
          <w:color w:val="000000" w:themeColor="text1"/>
          <w:sz w:val="24"/>
          <w:szCs w:val="24"/>
        </w:rPr>
        <w:t>ations</w:t>
      </w:r>
      <w:proofErr w:type="spellEnd"/>
      <w:r w:rsidRPr="004D36D1">
        <w:rPr>
          <w:rFonts w:ascii="Times New Roman" w:hAnsi="Times New Roman" w:cs="Times New Roman"/>
          <w:color w:val="000000" w:themeColor="text1"/>
          <w:sz w:val="24"/>
          <w:szCs w:val="24"/>
        </w:rPr>
        <w:t>.</w:t>
      </w:r>
      <w:r>
        <w:rPr>
          <w:rStyle w:val="FootnoteReference"/>
          <w:rFonts w:ascii="Times New Roman" w:hAnsi="Times New Roman" w:cs="Times New Roman"/>
          <w:color w:val="000000" w:themeColor="text1"/>
          <w:sz w:val="24"/>
          <w:szCs w:val="24"/>
        </w:rPr>
        <w:footnoteReference w:id="7"/>
      </w:r>
      <w:r w:rsidR="0025319B" w:rsidRPr="004D36D1">
        <w:rPr>
          <w:rFonts w:ascii="Times New Roman" w:hAnsi="Times New Roman" w:cs="Times New Roman"/>
          <w:color w:val="000000" w:themeColor="text1"/>
          <w:sz w:val="24"/>
          <w:szCs w:val="24"/>
        </w:rPr>
        <w:t xml:space="preserve"> </w:t>
      </w:r>
      <w:r w:rsidRPr="004D36D1">
        <w:rPr>
          <w:rFonts w:ascii="Times New Roman" w:hAnsi="Times New Roman" w:cs="Times New Roman"/>
          <w:color w:val="000000" w:themeColor="text1"/>
          <w:sz w:val="24"/>
          <w:szCs w:val="24"/>
        </w:rPr>
        <w:t>This has supplemented the decoding of Usman's liabilities at the two phases of liquidation and has exhibited rather poor managerial performance. In preparing Lucy's statement of affairs, the liquidator may state that no documents would have helped the creditor's case or concerning accounting on insolvency. Failing to keep such records exposes one to penalties, director's exclusion or personal legal responsibility where they were involved in the mismanagement, which led to the company's demise. One can overcome such failures in the future if one establishes and maintains a sound accounting system as well as financial records and conducts regular audits whenever they are in the formation of a business entity.</w:t>
      </w:r>
    </w:p>
    <w:p w14:paraId="2E850E85" w14:textId="38118D66" w:rsidR="00C62916" w:rsidRDefault="00000000" w:rsidP="00865876">
      <w:pPr>
        <w:spacing w:line="480" w:lineRule="auto"/>
        <w:ind w:firstLine="720"/>
        <w:contextualSpacing/>
        <w:rPr>
          <w:rFonts w:ascii="Times New Roman" w:hAnsi="Times New Roman" w:cs="Times New Roman"/>
          <w:b/>
          <w:bCs/>
          <w:color w:val="000000" w:themeColor="text1"/>
          <w:sz w:val="24"/>
          <w:szCs w:val="24"/>
        </w:rPr>
      </w:pPr>
      <w:r w:rsidRPr="004D36D1">
        <w:rPr>
          <w:rFonts w:ascii="Times New Roman" w:hAnsi="Times New Roman" w:cs="Times New Roman"/>
          <w:color w:val="000000" w:themeColor="text1"/>
          <w:sz w:val="24"/>
          <w:szCs w:val="24"/>
        </w:rPr>
        <w:t xml:space="preserve">Installing effective financial-related controls and developing an acute approach to threats is obligatory to smoothen its course and avoid getting involved in insolvency troubles, as Usman did. It is useful to consider professional opinions from insolvency practitioners or lawyers where high-risk trading partners are involved or to help the business understand legal compliance. Also, planning to undertake through thin financial periods and where to source emergency funding can go a long way in protecting business. Ethical decision-making and </w:t>
      </w:r>
      <w:r w:rsidRPr="004D36D1">
        <w:rPr>
          <w:rFonts w:ascii="Times New Roman" w:hAnsi="Times New Roman" w:cs="Times New Roman"/>
          <w:color w:val="000000" w:themeColor="text1"/>
          <w:sz w:val="24"/>
          <w:szCs w:val="24"/>
        </w:rPr>
        <w:lastRenderedPageBreak/>
        <w:t xml:space="preserve">transparency will continue strengthening the </w:t>
      </w:r>
      <w:proofErr w:type="spellStart"/>
      <w:r w:rsidRPr="004D36D1">
        <w:rPr>
          <w:rFonts w:ascii="Times New Roman" w:hAnsi="Times New Roman" w:cs="Times New Roman"/>
          <w:color w:val="000000" w:themeColor="text1"/>
          <w:sz w:val="24"/>
          <w:szCs w:val="24"/>
        </w:rPr>
        <w:t>organi</w:t>
      </w:r>
      <w:r w:rsidR="00D20A68">
        <w:rPr>
          <w:rFonts w:ascii="Times New Roman" w:hAnsi="Times New Roman" w:cs="Times New Roman"/>
          <w:color w:val="000000" w:themeColor="text1"/>
          <w:sz w:val="24"/>
          <w:szCs w:val="24"/>
        </w:rPr>
        <w:t>s</w:t>
      </w:r>
      <w:r w:rsidRPr="004D36D1">
        <w:rPr>
          <w:rFonts w:ascii="Times New Roman" w:hAnsi="Times New Roman" w:cs="Times New Roman"/>
          <w:color w:val="000000" w:themeColor="text1"/>
          <w:sz w:val="24"/>
          <w:szCs w:val="24"/>
        </w:rPr>
        <w:t>ation's</w:t>
      </w:r>
      <w:proofErr w:type="spellEnd"/>
      <w:r w:rsidRPr="004D36D1">
        <w:rPr>
          <w:rFonts w:ascii="Times New Roman" w:hAnsi="Times New Roman" w:cs="Times New Roman"/>
          <w:color w:val="000000" w:themeColor="text1"/>
          <w:sz w:val="24"/>
          <w:szCs w:val="24"/>
        </w:rPr>
        <w:t xml:space="preserve"> relationship with creditors and everyone with a stake in the business. </w:t>
      </w:r>
    </w:p>
    <w:p w14:paraId="519C00CA" w14:textId="70134683" w:rsidR="00DB350D" w:rsidRPr="004D36D1" w:rsidRDefault="00000000" w:rsidP="0081270E">
      <w:pPr>
        <w:spacing w:line="480" w:lineRule="auto"/>
        <w:contextualSpacing/>
        <w:rPr>
          <w:rFonts w:ascii="Times New Roman" w:hAnsi="Times New Roman" w:cs="Times New Roman"/>
          <w:b/>
          <w:bCs/>
          <w:color w:val="000000" w:themeColor="text1"/>
          <w:sz w:val="24"/>
          <w:szCs w:val="24"/>
        </w:rPr>
      </w:pPr>
      <w:r w:rsidRPr="004D36D1">
        <w:rPr>
          <w:rFonts w:ascii="Times New Roman" w:hAnsi="Times New Roman" w:cs="Times New Roman"/>
          <w:b/>
          <w:bCs/>
          <w:color w:val="000000" w:themeColor="text1"/>
          <w:sz w:val="24"/>
          <w:szCs w:val="24"/>
        </w:rPr>
        <w:t xml:space="preserve">Recommendations </w:t>
      </w:r>
    </w:p>
    <w:p w14:paraId="2D097757" w14:textId="55983A77" w:rsidR="0081270E" w:rsidRPr="004D36D1" w:rsidRDefault="00000000" w:rsidP="0081270E">
      <w:pPr>
        <w:spacing w:line="480" w:lineRule="auto"/>
        <w:ind w:firstLine="720"/>
        <w:contextualSpacing/>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 xml:space="preserve">To eliminate all the possible risks that could have been retrieved from the “Colombian Boost,” Usman should first include an insurance clause against Grace’s estate. </w:t>
      </w:r>
      <w:r w:rsidR="00C26131" w:rsidRPr="004D36D1">
        <w:rPr>
          <w:rFonts w:ascii="Times New Roman" w:hAnsi="Times New Roman" w:cs="Times New Roman"/>
          <w:color w:val="000000" w:themeColor="text1"/>
          <w:sz w:val="24"/>
          <w:szCs w:val="24"/>
        </w:rPr>
        <w:t>In relation to the case, i</w:t>
      </w:r>
      <w:r w:rsidRPr="004D36D1">
        <w:rPr>
          <w:rFonts w:ascii="Times New Roman" w:hAnsi="Times New Roman" w:cs="Times New Roman"/>
          <w:color w:val="000000" w:themeColor="text1"/>
          <w:sz w:val="24"/>
          <w:szCs w:val="24"/>
        </w:rPr>
        <w:t xml:space="preserve">nvolving the professional lawyer to file claims against Grace’s asset if it is recoverable may at least add muscle to the stand. </w:t>
      </w:r>
      <w:r w:rsidR="00C26131" w:rsidRPr="004D36D1">
        <w:rPr>
          <w:rFonts w:ascii="Times New Roman" w:hAnsi="Times New Roman" w:cs="Times New Roman"/>
          <w:color w:val="000000" w:themeColor="text1"/>
          <w:sz w:val="24"/>
          <w:szCs w:val="24"/>
        </w:rPr>
        <w:t>Additionally, c</w:t>
      </w:r>
      <w:r w:rsidRPr="004D36D1">
        <w:rPr>
          <w:rFonts w:ascii="Times New Roman" w:hAnsi="Times New Roman" w:cs="Times New Roman"/>
          <w:color w:val="000000" w:themeColor="text1"/>
          <w:sz w:val="24"/>
          <w:szCs w:val="24"/>
        </w:rPr>
        <w:t xml:space="preserve">omplying with the creditor's agreement through mediation is also among the best methods for dealing with negotiations in a way that will make the price for disputing high while the probability of repaying the debts is higher than going through a lengthy legal procedure. </w:t>
      </w:r>
      <w:r w:rsidR="00C26131" w:rsidRPr="004D36D1">
        <w:rPr>
          <w:rFonts w:ascii="Times New Roman" w:hAnsi="Times New Roman" w:cs="Times New Roman"/>
          <w:color w:val="000000" w:themeColor="text1"/>
          <w:sz w:val="24"/>
          <w:szCs w:val="24"/>
        </w:rPr>
        <w:t xml:space="preserve">On top of that, </w:t>
      </w:r>
      <w:r w:rsidRPr="004D36D1">
        <w:rPr>
          <w:rFonts w:ascii="Times New Roman" w:hAnsi="Times New Roman" w:cs="Times New Roman"/>
          <w:color w:val="000000" w:themeColor="text1"/>
          <w:sz w:val="24"/>
          <w:szCs w:val="24"/>
        </w:rPr>
        <w:t xml:space="preserve">arranging risk management procedures such as insurance standards that will cater to a partner's miscreant Act or the liabilities of the company will help off Usman's accounts. It will be of great importance in the future settlement of outstanding plans. </w:t>
      </w:r>
    </w:p>
    <w:p w14:paraId="7C0E34BC" w14:textId="4F850FAA" w:rsidR="0081270E" w:rsidRPr="004D36D1" w:rsidRDefault="00000000" w:rsidP="0081270E">
      <w:pPr>
        <w:spacing w:line="480" w:lineRule="auto"/>
        <w:ind w:firstLine="720"/>
        <w:contextualSpacing/>
        <w:rPr>
          <w:rFonts w:ascii="Times New Roman" w:hAnsi="Times New Roman" w:cs="Times New Roman"/>
          <w:color w:val="000000" w:themeColor="text1"/>
          <w:sz w:val="24"/>
          <w:szCs w:val="24"/>
        </w:rPr>
      </w:pPr>
      <w:r w:rsidRPr="004D36D1">
        <w:rPr>
          <w:rFonts w:ascii="Times New Roman" w:hAnsi="Times New Roman" w:cs="Times New Roman"/>
          <w:color w:val="000000" w:themeColor="text1"/>
          <w:sz w:val="24"/>
          <w:szCs w:val="24"/>
        </w:rPr>
        <w:t xml:space="preserve">Usman </w:t>
      </w:r>
      <w:r w:rsidR="00BD147E" w:rsidRPr="004D36D1">
        <w:rPr>
          <w:rFonts w:ascii="Times New Roman" w:hAnsi="Times New Roman" w:cs="Times New Roman"/>
          <w:color w:val="000000" w:themeColor="text1"/>
          <w:sz w:val="24"/>
          <w:szCs w:val="24"/>
        </w:rPr>
        <w:t>is obligated to adopt clear and simple written contracts with a goal of agreement that is proficiently</w:t>
      </w:r>
      <w:r w:rsidR="00C26131" w:rsidRPr="004D36D1">
        <w:rPr>
          <w:rFonts w:ascii="Times New Roman" w:hAnsi="Times New Roman" w:cs="Times New Roman"/>
          <w:color w:val="000000" w:themeColor="text1"/>
          <w:sz w:val="24"/>
          <w:szCs w:val="24"/>
        </w:rPr>
        <w:t xml:space="preserve"> outlined with the request from the agent's authority and also involves third parties. Moreover, with legal supervision and constant assessment, these actions will showcase a more robust framework to assist in navigating through </w:t>
      </w:r>
      <w:proofErr w:type="spellStart"/>
      <w:r w:rsidR="00C26131" w:rsidRPr="004D36D1">
        <w:rPr>
          <w:rFonts w:ascii="Times New Roman" w:hAnsi="Times New Roman" w:cs="Times New Roman"/>
          <w:color w:val="000000" w:themeColor="text1"/>
          <w:sz w:val="24"/>
          <w:szCs w:val="24"/>
        </w:rPr>
        <w:t>minimi</w:t>
      </w:r>
      <w:r w:rsidR="00D20A68">
        <w:rPr>
          <w:rFonts w:ascii="Times New Roman" w:hAnsi="Times New Roman" w:cs="Times New Roman"/>
          <w:color w:val="000000" w:themeColor="text1"/>
          <w:sz w:val="24"/>
          <w:szCs w:val="24"/>
        </w:rPr>
        <w:t>s</w:t>
      </w:r>
      <w:r w:rsidR="00C26131" w:rsidRPr="004D36D1">
        <w:rPr>
          <w:rFonts w:ascii="Times New Roman" w:hAnsi="Times New Roman" w:cs="Times New Roman"/>
          <w:color w:val="000000" w:themeColor="text1"/>
          <w:sz w:val="24"/>
          <w:szCs w:val="24"/>
        </w:rPr>
        <w:t>ing</w:t>
      </w:r>
      <w:proofErr w:type="spellEnd"/>
      <w:r w:rsidR="00C26131" w:rsidRPr="004D36D1">
        <w:rPr>
          <w:rFonts w:ascii="Times New Roman" w:hAnsi="Times New Roman" w:cs="Times New Roman"/>
          <w:color w:val="000000" w:themeColor="text1"/>
          <w:sz w:val="24"/>
          <w:szCs w:val="24"/>
        </w:rPr>
        <w:t xml:space="preserve"> certain risks linked to agency relations. In addition, frequently</w:t>
      </w:r>
      <w:r w:rsidRPr="004D36D1">
        <w:rPr>
          <w:rFonts w:ascii="Times New Roman" w:hAnsi="Times New Roman" w:cs="Times New Roman"/>
          <w:color w:val="000000" w:themeColor="text1"/>
          <w:sz w:val="24"/>
          <w:szCs w:val="24"/>
        </w:rPr>
        <w:t xml:space="preserve"> reminding agents of the legal and professional expectations is important to ensure compliance with ethical standards. </w:t>
      </w:r>
      <w:r w:rsidR="006F6C84" w:rsidRPr="004D36D1">
        <w:rPr>
          <w:rFonts w:ascii="Times New Roman" w:hAnsi="Times New Roman" w:cs="Times New Roman"/>
          <w:color w:val="000000" w:themeColor="text1"/>
          <w:sz w:val="24"/>
          <w:szCs w:val="24"/>
        </w:rPr>
        <w:t xml:space="preserve">In relation, it </w:t>
      </w:r>
      <w:r w:rsidRPr="004D36D1">
        <w:rPr>
          <w:rFonts w:ascii="Times New Roman" w:hAnsi="Times New Roman" w:cs="Times New Roman"/>
          <w:color w:val="000000" w:themeColor="text1"/>
          <w:sz w:val="24"/>
          <w:szCs w:val="24"/>
        </w:rPr>
        <w:t>enhanc</w:t>
      </w:r>
      <w:r w:rsidR="006F6C84" w:rsidRPr="004D36D1">
        <w:rPr>
          <w:rFonts w:ascii="Times New Roman" w:hAnsi="Times New Roman" w:cs="Times New Roman"/>
          <w:color w:val="000000" w:themeColor="text1"/>
          <w:sz w:val="24"/>
          <w:szCs w:val="24"/>
        </w:rPr>
        <w:t>es</w:t>
      </w:r>
      <w:r w:rsidRPr="004D36D1">
        <w:rPr>
          <w:rFonts w:ascii="Times New Roman" w:hAnsi="Times New Roman" w:cs="Times New Roman"/>
          <w:color w:val="000000" w:themeColor="text1"/>
          <w:sz w:val="24"/>
          <w:szCs w:val="24"/>
        </w:rPr>
        <w:t xml:space="preserve"> trust and productivity in business relations.</w:t>
      </w:r>
    </w:p>
    <w:p w14:paraId="7CD7ADA7" w14:textId="05DC4286" w:rsidR="0008146B" w:rsidRDefault="00000000" w:rsidP="0081270E">
      <w:pPr>
        <w:spacing w:line="480" w:lineRule="auto"/>
        <w:ind w:firstLine="720"/>
        <w:contextualSpacing/>
        <w:rPr>
          <w:rFonts w:ascii="Times New Roman" w:hAnsi="Times New Roman" w:cs="Times New Roman"/>
          <w:color w:val="000000" w:themeColor="text1"/>
          <w:sz w:val="24"/>
          <w:szCs w:val="24"/>
        </w:rPr>
      </w:pPr>
      <w:r w:rsidRPr="0008146B">
        <w:rPr>
          <w:rFonts w:ascii="Times New Roman" w:hAnsi="Times New Roman" w:cs="Times New Roman"/>
          <w:color w:val="000000" w:themeColor="text1"/>
          <w:sz w:val="24"/>
          <w:szCs w:val="24"/>
        </w:rPr>
        <w:t>Usman is eligible to develop all the contexts about the upcoming application with all the regulations incorporated due to the brilliant observance of the Insurance Act 2015.</w:t>
      </w:r>
      <w:r>
        <w:rPr>
          <w:rStyle w:val="FootnoteReference"/>
          <w:rFonts w:ascii="Times New Roman" w:hAnsi="Times New Roman" w:cs="Times New Roman"/>
          <w:color w:val="000000" w:themeColor="text1"/>
          <w:sz w:val="24"/>
          <w:szCs w:val="24"/>
        </w:rPr>
        <w:footnoteReference w:id="8"/>
      </w:r>
      <w:r w:rsidRPr="0008146B">
        <w:rPr>
          <w:rFonts w:ascii="Times New Roman" w:hAnsi="Times New Roman" w:cs="Times New Roman"/>
          <w:color w:val="000000" w:themeColor="text1"/>
          <w:sz w:val="24"/>
          <w:szCs w:val="24"/>
        </w:rPr>
        <w:t xml:space="preserve"> This means that policyholders should not lose any policy validity and should compensate for any loss likely due to the existing policies formulated across the </w:t>
      </w:r>
      <w:proofErr w:type="spellStart"/>
      <w:r w:rsidRPr="0008146B">
        <w:rPr>
          <w:rFonts w:ascii="Times New Roman" w:hAnsi="Times New Roman" w:cs="Times New Roman"/>
          <w:color w:val="000000" w:themeColor="text1"/>
          <w:sz w:val="24"/>
          <w:szCs w:val="24"/>
        </w:rPr>
        <w:t>organi</w:t>
      </w:r>
      <w:r w:rsidR="00D20A68">
        <w:rPr>
          <w:rFonts w:ascii="Times New Roman" w:hAnsi="Times New Roman" w:cs="Times New Roman"/>
          <w:color w:val="000000" w:themeColor="text1"/>
          <w:sz w:val="24"/>
          <w:szCs w:val="24"/>
        </w:rPr>
        <w:t>s</w:t>
      </w:r>
      <w:r w:rsidRPr="0008146B">
        <w:rPr>
          <w:rFonts w:ascii="Times New Roman" w:hAnsi="Times New Roman" w:cs="Times New Roman"/>
          <w:color w:val="000000" w:themeColor="text1"/>
          <w:sz w:val="24"/>
          <w:szCs w:val="24"/>
        </w:rPr>
        <w:t>ation</w:t>
      </w:r>
      <w:proofErr w:type="spellEnd"/>
      <w:r w:rsidRPr="0008146B">
        <w:rPr>
          <w:rFonts w:ascii="Times New Roman" w:hAnsi="Times New Roman" w:cs="Times New Roman"/>
          <w:color w:val="000000" w:themeColor="text1"/>
          <w:sz w:val="24"/>
          <w:szCs w:val="24"/>
        </w:rPr>
        <w:t xml:space="preserve">. Legal advice can be </w:t>
      </w:r>
      <w:r w:rsidRPr="0008146B">
        <w:rPr>
          <w:rFonts w:ascii="Times New Roman" w:hAnsi="Times New Roman" w:cs="Times New Roman"/>
          <w:color w:val="000000" w:themeColor="text1"/>
          <w:sz w:val="24"/>
          <w:szCs w:val="24"/>
        </w:rPr>
        <w:lastRenderedPageBreak/>
        <w:t xml:space="preserve">uncovered by seeking the application and all papers, which can offer huge liability reductions and compliance with the pursuant acts. Therefore, existing insurance policies should be subjected to periodic examination insofar as evaluating disparities is concerned. Furthermore, conducting employee training to cover aspects of compliance regularly and formulating a program covering record keeping systematically will enhance accountability regularly. Also, Usman can take a step ahead and sort the problem in a professional way to regain the insurers' confidence and continue receiving reasonable insurance to cover his business adequately. </w:t>
      </w:r>
    </w:p>
    <w:p w14:paraId="703282E0" w14:textId="776BC7AA" w:rsidR="007E10DD" w:rsidRDefault="00000000" w:rsidP="0081270E">
      <w:pPr>
        <w:spacing w:line="480" w:lineRule="auto"/>
        <w:ind w:firstLine="720"/>
        <w:contextualSpacing/>
        <w:rPr>
          <w:rFonts w:ascii="Times New Roman" w:hAnsi="Times New Roman" w:cs="Times New Roman"/>
          <w:color w:val="000000" w:themeColor="text1"/>
          <w:sz w:val="24"/>
          <w:szCs w:val="24"/>
        </w:rPr>
      </w:pPr>
      <w:r w:rsidRPr="007E10DD">
        <w:rPr>
          <w:rFonts w:ascii="Times New Roman" w:hAnsi="Times New Roman" w:cs="Times New Roman"/>
          <w:color w:val="000000" w:themeColor="text1"/>
          <w:sz w:val="24"/>
          <w:szCs w:val="24"/>
        </w:rPr>
        <w:t>In the case of further enhancing the company's insolvency risk resistance, Usman requires improving the company's financial control and documentation of the performed works. Some of the legal consultants needed when engaging in complex financial matters or undertaking high-risk operations are among the most vital consultants. This means that Usman should pay much attention to the ideal plan in the development, which is necessary to indicate the list of actions in case of possible financial emergencies, including the availability of additional amounts of money and further actions in managing cash flows. Regarding the last three measures, which are ethical action, communication with creditors, and communication with other stakeholders</w:t>
      </w:r>
      <w:r w:rsidR="0008146B">
        <w:rPr>
          <w:rFonts w:ascii="Times New Roman" w:hAnsi="Times New Roman" w:cs="Times New Roman"/>
          <w:color w:val="000000" w:themeColor="text1"/>
          <w:sz w:val="24"/>
          <w:szCs w:val="24"/>
        </w:rPr>
        <w:t xml:space="preserve">, </w:t>
      </w:r>
      <w:r w:rsidRPr="007E10DD">
        <w:rPr>
          <w:rFonts w:ascii="Times New Roman" w:hAnsi="Times New Roman" w:cs="Times New Roman"/>
          <w:color w:val="000000" w:themeColor="text1"/>
          <w:sz w:val="24"/>
          <w:szCs w:val="24"/>
        </w:rPr>
        <w:t>Usman can ensure the future of the company by implementing all of the above aspects.</w:t>
      </w:r>
    </w:p>
    <w:p w14:paraId="741E3DD8" w14:textId="25B76E07" w:rsidR="009C4CCE" w:rsidRPr="004D36D1" w:rsidRDefault="00000000" w:rsidP="00115E74">
      <w:pPr>
        <w:spacing w:line="480" w:lineRule="auto"/>
        <w:ind w:firstLine="720"/>
        <w:contextualSpacing/>
        <w:rPr>
          <w:rFonts w:ascii="Times New Roman" w:hAnsi="Times New Roman" w:cs="Times New Roman"/>
          <w:b/>
          <w:bCs/>
          <w:color w:val="000000" w:themeColor="text1"/>
          <w:sz w:val="24"/>
          <w:szCs w:val="24"/>
        </w:rPr>
      </w:pPr>
      <w:r w:rsidRPr="00D666D6">
        <w:rPr>
          <w:rFonts w:ascii="Times New Roman" w:hAnsi="Times New Roman" w:cs="Times New Roman"/>
          <w:color w:val="000000" w:themeColor="text1"/>
          <w:sz w:val="24"/>
          <w:szCs w:val="24"/>
        </w:rPr>
        <w:t>Usman's problem reflects the key aspects of business law, ranging from agency and partnership to sharing responsibilities and insurance matters concerning insolvency control</w:t>
      </w:r>
      <w:r>
        <w:rPr>
          <w:rFonts w:ascii="Times New Roman" w:hAnsi="Times New Roman" w:cs="Times New Roman"/>
          <w:color w:val="000000" w:themeColor="text1"/>
          <w:sz w:val="24"/>
          <w:szCs w:val="24"/>
        </w:rPr>
        <w:t xml:space="preserve">. </w:t>
      </w:r>
      <w:r w:rsidR="0095091F" w:rsidRPr="0095091F">
        <w:rPr>
          <w:rFonts w:ascii="Times New Roman" w:hAnsi="Times New Roman" w:cs="Times New Roman"/>
          <w:color w:val="000000" w:themeColor="text1"/>
          <w:sz w:val="24"/>
          <w:szCs w:val="24"/>
        </w:rPr>
        <w:t>Practising proactive action, he can comfortably handle legal issues and control the legal structure of all business processes.</w:t>
      </w:r>
      <w:r w:rsidR="0095091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Additionally, it imposes the role of common law and statutory principles to shield business needs and establish a strong relationship and trust in stakeholders. </w:t>
      </w:r>
      <w:r w:rsidR="0095091F" w:rsidRPr="0095091F">
        <w:rPr>
          <w:rFonts w:ascii="Times New Roman" w:hAnsi="Times New Roman" w:cs="Times New Roman"/>
          <w:color w:val="000000" w:themeColor="text1"/>
          <w:sz w:val="24"/>
          <w:szCs w:val="24"/>
        </w:rPr>
        <w:t xml:space="preserve">Ethical standards alongside compliance and governance kits will </w:t>
      </w:r>
      <w:r w:rsidR="0095091F">
        <w:rPr>
          <w:rFonts w:ascii="Times New Roman" w:hAnsi="Times New Roman" w:cs="Times New Roman"/>
          <w:color w:val="000000" w:themeColor="text1"/>
          <w:sz w:val="24"/>
          <w:szCs w:val="24"/>
        </w:rPr>
        <w:t>give a positive drive towards</w:t>
      </w:r>
      <w:r w:rsidR="0095091F" w:rsidRPr="0095091F">
        <w:rPr>
          <w:rFonts w:ascii="Times New Roman" w:hAnsi="Times New Roman" w:cs="Times New Roman"/>
          <w:color w:val="000000" w:themeColor="text1"/>
          <w:sz w:val="24"/>
          <w:szCs w:val="24"/>
        </w:rPr>
        <w:t xml:space="preserve"> Usman's future business ventures </w:t>
      </w:r>
      <w:r w:rsidR="0095091F">
        <w:rPr>
          <w:rFonts w:ascii="Times New Roman" w:hAnsi="Times New Roman" w:cs="Times New Roman"/>
          <w:color w:val="000000" w:themeColor="text1"/>
          <w:sz w:val="24"/>
          <w:szCs w:val="24"/>
        </w:rPr>
        <w:t xml:space="preserve">that </w:t>
      </w:r>
      <w:r w:rsidR="0095091F" w:rsidRPr="0095091F">
        <w:rPr>
          <w:rFonts w:ascii="Times New Roman" w:hAnsi="Times New Roman" w:cs="Times New Roman"/>
          <w:color w:val="000000" w:themeColor="text1"/>
          <w:sz w:val="24"/>
          <w:szCs w:val="24"/>
        </w:rPr>
        <w:t xml:space="preserve">are legal and in a better position to </w:t>
      </w:r>
      <w:r w:rsidR="0095091F" w:rsidRPr="0095091F">
        <w:rPr>
          <w:rFonts w:ascii="Times New Roman" w:hAnsi="Times New Roman" w:cs="Times New Roman"/>
          <w:color w:val="000000" w:themeColor="text1"/>
          <w:sz w:val="24"/>
          <w:szCs w:val="24"/>
        </w:rPr>
        <w:lastRenderedPageBreak/>
        <w:t xml:space="preserve">respond to </w:t>
      </w:r>
      <w:r w:rsidR="0095091F">
        <w:rPr>
          <w:rFonts w:ascii="Times New Roman" w:hAnsi="Times New Roman" w:cs="Times New Roman"/>
          <w:color w:val="000000" w:themeColor="text1"/>
          <w:sz w:val="24"/>
          <w:szCs w:val="24"/>
        </w:rPr>
        <w:t>upcoming</w:t>
      </w:r>
      <w:r w:rsidR="0095091F" w:rsidRPr="0095091F">
        <w:rPr>
          <w:rFonts w:ascii="Times New Roman" w:hAnsi="Times New Roman" w:cs="Times New Roman"/>
          <w:color w:val="000000" w:themeColor="text1"/>
          <w:sz w:val="24"/>
          <w:szCs w:val="24"/>
        </w:rPr>
        <w:t xml:space="preserve"> issues.</w:t>
      </w:r>
      <w:r w:rsidR="0095091F">
        <w:rPr>
          <w:rFonts w:ascii="Times New Roman" w:hAnsi="Times New Roman" w:cs="Times New Roman"/>
          <w:color w:val="000000" w:themeColor="text1"/>
          <w:sz w:val="24"/>
          <w:szCs w:val="24"/>
        </w:rPr>
        <w:t xml:space="preserve"> Moreover, appropriate strategies will make Usman adopt effective measures to eliminate possible challenges while simultaneously building a healthy setting that is free from risks. </w:t>
      </w:r>
      <w:r w:rsidRPr="004D36D1">
        <w:rPr>
          <w:rFonts w:ascii="Times New Roman" w:hAnsi="Times New Roman" w:cs="Times New Roman"/>
          <w:b/>
          <w:bCs/>
          <w:color w:val="000000" w:themeColor="text1"/>
          <w:sz w:val="24"/>
          <w:szCs w:val="24"/>
        </w:rPr>
        <w:br w:type="page"/>
      </w:r>
    </w:p>
    <w:p w14:paraId="25B71844" w14:textId="6BD56205" w:rsidR="00DB350D" w:rsidRPr="004D36D1" w:rsidRDefault="00000000" w:rsidP="0081270E">
      <w:pPr>
        <w:spacing w:line="480" w:lineRule="auto"/>
        <w:contextualSpacing/>
        <w:jc w:val="center"/>
        <w:rPr>
          <w:rFonts w:ascii="Times New Roman" w:hAnsi="Times New Roman" w:cs="Times New Roman"/>
          <w:color w:val="000000" w:themeColor="text1"/>
          <w:sz w:val="24"/>
          <w:szCs w:val="24"/>
        </w:rPr>
      </w:pPr>
      <w:r w:rsidRPr="004D36D1">
        <w:rPr>
          <w:rFonts w:ascii="Times New Roman" w:hAnsi="Times New Roman" w:cs="Times New Roman"/>
          <w:b/>
          <w:bCs/>
          <w:color w:val="000000" w:themeColor="text1"/>
          <w:sz w:val="24"/>
          <w:szCs w:val="24"/>
        </w:rPr>
        <w:lastRenderedPageBreak/>
        <w:t>Bibliography</w:t>
      </w:r>
    </w:p>
    <w:p w14:paraId="297F2FCF" w14:textId="77777777" w:rsidR="004F7915" w:rsidRDefault="00000000" w:rsidP="00D20A68">
      <w:pPr>
        <w:spacing w:after="0" w:line="480" w:lineRule="auto"/>
        <w:ind w:left="720" w:hanging="720"/>
        <w:contextualSpacing/>
        <w:rPr>
          <w:rFonts w:ascii="Times New Roman" w:hAnsi="Times New Roman" w:cs="Times New Roman"/>
          <w:color w:val="000000" w:themeColor="text1"/>
          <w:sz w:val="24"/>
          <w:szCs w:val="24"/>
        </w:rPr>
      </w:pPr>
      <w:r w:rsidRPr="00C71958">
        <w:rPr>
          <w:rFonts w:ascii="Times New Roman" w:hAnsi="Times New Roman" w:cs="Times New Roman"/>
          <w:color w:val="000000" w:themeColor="text1"/>
          <w:sz w:val="24"/>
          <w:szCs w:val="24"/>
        </w:rPr>
        <w:t>Derek French, Blackstone’s Statutes on Company Law 2023-2024, vol Blackstone’s Statutes</w:t>
      </w:r>
      <w:r>
        <w:rPr>
          <w:rFonts w:ascii="Times New Roman" w:hAnsi="Times New Roman" w:cs="Times New Roman"/>
          <w:color w:val="000000" w:themeColor="text1"/>
          <w:sz w:val="24"/>
          <w:szCs w:val="24"/>
        </w:rPr>
        <w:t xml:space="preserve"> </w:t>
      </w:r>
      <w:r w:rsidRPr="00C71958">
        <w:rPr>
          <w:rFonts w:ascii="Times New Roman" w:hAnsi="Times New Roman" w:cs="Times New Roman"/>
          <w:color w:val="000000" w:themeColor="text1"/>
          <w:sz w:val="24"/>
          <w:szCs w:val="24"/>
        </w:rPr>
        <w:t>Series (Oxford University Press 2023).</w:t>
      </w:r>
    </w:p>
    <w:p w14:paraId="0F59D079" w14:textId="77D9E7A6" w:rsidR="004F7915" w:rsidRDefault="00000000" w:rsidP="00D20A68">
      <w:pPr>
        <w:spacing w:after="0" w:line="480" w:lineRule="auto"/>
        <w:ind w:left="720" w:hanging="720"/>
        <w:contextualSpacing/>
        <w:rPr>
          <w:rFonts w:ascii="Times New Roman" w:hAnsi="Times New Roman" w:cs="Times New Roman"/>
          <w:color w:val="000000" w:themeColor="text1"/>
          <w:sz w:val="24"/>
          <w:szCs w:val="24"/>
        </w:rPr>
      </w:pPr>
      <w:r w:rsidRPr="00C71958">
        <w:rPr>
          <w:rFonts w:ascii="Times New Roman" w:hAnsi="Times New Roman" w:cs="Times New Roman"/>
          <w:color w:val="000000" w:themeColor="text1"/>
          <w:sz w:val="24"/>
          <w:szCs w:val="24"/>
        </w:rPr>
        <w:t>Dignam A and Lowry J, Company Law</w:t>
      </w:r>
      <w:r>
        <w:rPr>
          <w:rFonts w:ascii="Times New Roman" w:hAnsi="Times New Roman" w:cs="Times New Roman"/>
          <w:color w:val="000000" w:themeColor="text1"/>
          <w:sz w:val="24"/>
          <w:szCs w:val="24"/>
        </w:rPr>
        <w:t>.</w:t>
      </w:r>
      <w:r w:rsidR="008C0B79">
        <w:rPr>
          <w:rFonts w:ascii="Times New Roman" w:hAnsi="Times New Roman" w:cs="Times New Roman"/>
          <w:color w:val="000000" w:themeColor="text1"/>
          <w:sz w:val="24"/>
          <w:szCs w:val="24"/>
        </w:rPr>
        <w:t xml:space="preserve"> Chapter 17</w:t>
      </w:r>
    </w:p>
    <w:p w14:paraId="039F753F" w14:textId="77777777" w:rsidR="004F7915" w:rsidRDefault="00000000" w:rsidP="00D20A68">
      <w:pPr>
        <w:spacing w:after="0" w:line="480" w:lineRule="auto"/>
        <w:ind w:left="720" w:hanging="720"/>
        <w:contextualSpacing/>
        <w:rPr>
          <w:rFonts w:ascii="Times New Roman" w:hAnsi="Times New Roman" w:cs="Times New Roman"/>
          <w:color w:val="000000" w:themeColor="text1"/>
          <w:sz w:val="24"/>
          <w:szCs w:val="24"/>
        </w:rPr>
      </w:pPr>
      <w:r w:rsidRPr="00865876">
        <w:rPr>
          <w:rFonts w:ascii="Times New Roman" w:hAnsi="Times New Roman" w:cs="Times New Roman"/>
          <w:color w:val="000000" w:themeColor="text1"/>
          <w:sz w:val="24"/>
          <w:szCs w:val="24"/>
        </w:rPr>
        <w:t>Fox D, Munday R, Soyer B, Tettenborn A, and Turner P, ‘Insurance’ in Oxford University Press eBooks</w:t>
      </w:r>
      <w:r>
        <w:rPr>
          <w:rFonts w:ascii="Times New Roman" w:hAnsi="Times New Roman" w:cs="Times New Roman"/>
          <w:color w:val="000000" w:themeColor="text1"/>
          <w:sz w:val="24"/>
          <w:szCs w:val="24"/>
        </w:rPr>
        <w:t xml:space="preserve">. </w:t>
      </w:r>
      <w:hyperlink r:id="rId7" w:history="1">
        <w:r w:rsidR="004F7915" w:rsidRPr="008342D1">
          <w:rPr>
            <w:rStyle w:val="Hyperlink"/>
            <w:rFonts w:ascii="Times New Roman" w:hAnsi="Times New Roman" w:cs="Times New Roman"/>
            <w:sz w:val="24"/>
            <w:szCs w:val="24"/>
          </w:rPr>
          <w:t>https://doi.org/10.1093/he/9780198842149.003.0027</w:t>
        </w:r>
      </w:hyperlink>
    </w:p>
    <w:p w14:paraId="1761A9B6" w14:textId="77777777" w:rsidR="004F7915" w:rsidRDefault="00000000" w:rsidP="00D20A68">
      <w:pPr>
        <w:spacing w:after="0" w:line="480" w:lineRule="auto"/>
        <w:ind w:left="720" w:hanging="720"/>
        <w:contextualSpacing/>
        <w:rPr>
          <w:rFonts w:ascii="Times New Roman" w:hAnsi="Times New Roman" w:cs="Times New Roman"/>
          <w:color w:val="000000" w:themeColor="text1"/>
          <w:sz w:val="24"/>
          <w:szCs w:val="24"/>
        </w:rPr>
      </w:pPr>
      <w:r w:rsidRPr="004F7915">
        <w:rPr>
          <w:rFonts w:ascii="Times New Roman" w:hAnsi="Times New Roman" w:cs="Times New Roman"/>
          <w:color w:val="000000" w:themeColor="text1"/>
          <w:sz w:val="24"/>
          <w:szCs w:val="24"/>
        </w:rPr>
        <w:t>Insurance Act 2015</w:t>
      </w:r>
    </w:p>
    <w:sectPr w:rsidR="004F791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C1C03" w14:textId="77777777" w:rsidR="00B61B8F" w:rsidRDefault="00B61B8F">
      <w:pPr>
        <w:spacing w:after="0" w:line="240" w:lineRule="auto"/>
      </w:pPr>
      <w:r>
        <w:separator/>
      </w:r>
    </w:p>
  </w:endnote>
  <w:endnote w:type="continuationSeparator" w:id="0">
    <w:p w14:paraId="04229BC9" w14:textId="77777777" w:rsidR="00B61B8F" w:rsidRDefault="00B6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C39E6" w14:textId="77777777" w:rsidR="00B61B8F" w:rsidRDefault="00B61B8F" w:rsidP="007313E6">
      <w:pPr>
        <w:spacing w:after="0" w:line="240" w:lineRule="auto"/>
      </w:pPr>
      <w:r>
        <w:separator/>
      </w:r>
    </w:p>
  </w:footnote>
  <w:footnote w:type="continuationSeparator" w:id="0">
    <w:p w14:paraId="457B7042" w14:textId="77777777" w:rsidR="00B61B8F" w:rsidRDefault="00B61B8F" w:rsidP="007313E6">
      <w:pPr>
        <w:spacing w:after="0" w:line="240" w:lineRule="auto"/>
      </w:pPr>
      <w:r>
        <w:continuationSeparator/>
      </w:r>
    </w:p>
  </w:footnote>
  <w:footnote w:id="1">
    <w:p w14:paraId="78F272E9" w14:textId="65CADFA0" w:rsidR="00C71958" w:rsidRPr="004F7915" w:rsidRDefault="00000000">
      <w:pPr>
        <w:pStyle w:val="FootnoteText"/>
        <w:rPr>
          <w:rFonts w:ascii="Times New Roman" w:hAnsi="Times New Roman" w:cs="Times New Roman"/>
          <w:sz w:val="24"/>
          <w:szCs w:val="24"/>
        </w:rPr>
      </w:pPr>
      <w:r w:rsidRPr="004F7915">
        <w:rPr>
          <w:rStyle w:val="FootnoteReference"/>
          <w:rFonts w:ascii="Times New Roman" w:hAnsi="Times New Roman" w:cs="Times New Roman"/>
          <w:sz w:val="24"/>
          <w:szCs w:val="24"/>
        </w:rPr>
        <w:footnoteRef/>
      </w:r>
      <w:r w:rsidRPr="004F7915">
        <w:rPr>
          <w:rFonts w:ascii="Times New Roman" w:hAnsi="Times New Roman" w:cs="Times New Roman"/>
          <w:sz w:val="24"/>
          <w:szCs w:val="24"/>
        </w:rPr>
        <w:t xml:space="preserve"> French Derek (ed), Blackstone's Statutes on Company Law 2023-2024 (Oxford University Press 2023)</w:t>
      </w:r>
    </w:p>
  </w:footnote>
  <w:footnote w:id="2">
    <w:p w14:paraId="4E5F42EF" w14:textId="674D49B4" w:rsidR="007313E6" w:rsidRPr="004F7915" w:rsidRDefault="00000000" w:rsidP="0081270E">
      <w:pPr>
        <w:pStyle w:val="FootnoteText"/>
        <w:spacing w:line="480" w:lineRule="auto"/>
        <w:contextualSpacing/>
        <w:rPr>
          <w:rFonts w:ascii="Times New Roman" w:hAnsi="Times New Roman" w:cs="Times New Roman"/>
          <w:sz w:val="24"/>
          <w:szCs w:val="24"/>
        </w:rPr>
      </w:pPr>
      <w:r w:rsidRPr="004F7915">
        <w:rPr>
          <w:rStyle w:val="FootnoteReference"/>
          <w:rFonts w:ascii="Times New Roman" w:hAnsi="Times New Roman" w:cs="Times New Roman"/>
          <w:sz w:val="24"/>
          <w:szCs w:val="24"/>
        </w:rPr>
        <w:footnoteRef/>
      </w:r>
      <w:r w:rsidRPr="004F7915">
        <w:rPr>
          <w:rFonts w:ascii="Times New Roman" w:hAnsi="Times New Roman" w:cs="Times New Roman"/>
          <w:sz w:val="24"/>
          <w:szCs w:val="24"/>
        </w:rPr>
        <w:t xml:space="preserve"> </w:t>
      </w:r>
      <w:r w:rsidR="002C6681" w:rsidRPr="004F7915">
        <w:rPr>
          <w:rFonts w:ascii="Times New Roman" w:hAnsi="Times New Roman" w:cs="Times New Roman"/>
          <w:sz w:val="24"/>
          <w:szCs w:val="24"/>
        </w:rPr>
        <w:t>French Derek (ed), Blackstone's Statutes on Company Law 2023-2024 (Oxford University Press 2023)</w:t>
      </w:r>
    </w:p>
  </w:footnote>
  <w:footnote w:id="3">
    <w:p w14:paraId="766431A2" w14:textId="72E54A89" w:rsidR="007313E6" w:rsidRPr="004F7915" w:rsidRDefault="00000000" w:rsidP="0081270E">
      <w:pPr>
        <w:pStyle w:val="FootnoteText"/>
        <w:spacing w:line="480" w:lineRule="auto"/>
        <w:contextualSpacing/>
        <w:rPr>
          <w:rFonts w:ascii="Times New Roman" w:hAnsi="Times New Roman" w:cs="Times New Roman"/>
          <w:sz w:val="24"/>
          <w:szCs w:val="24"/>
        </w:rPr>
      </w:pPr>
      <w:r w:rsidRPr="004F7915">
        <w:rPr>
          <w:rStyle w:val="FootnoteReference"/>
          <w:rFonts w:ascii="Times New Roman" w:hAnsi="Times New Roman" w:cs="Times New Roman"/>
          <w:sz w:val="24"/>
          <w:szCs w:val="24"/>
        </w:rPr>
        <w:footnoteRef/>
      </w:r>
      <w:r w:rsidRPr="004F7915">
        <w:rPr>
          <w:rFonts w:ascii="Times New Roman" w:hAnsi="Times New Roman" w:cs="Times New Roman"/>
          <w:sz w:val="24"/>
          <w:szCs w:val="24"/>
        </w:rPr>
        <w:t xml:space="preserve"> Hely-Hutchinson v Brayhead Ltd [1968] 1 QB 549</w:t>
      </w:r>
    </w:p>
  </w:footnote>
  <w:footnote w:id="4">
    <w:p w14:paraId="5EE61C1B" w14:textId="15667DD7" w:rsidR="007313E6" w:rsidRPr="004F7915" w:rsidRDefault="00000000" w:rsidP="004575F4">
      <w:pPr>
        <w:pStyle w:val="FootnoteText"/>
        <w:spacing w:line="480" w:lineRule="auto"/>
        <w:contextualSpacing/>
        <w:rPr>
          <w:rFonts w:ascii="Times New Roman" w:hAnsi="Times New Roman" w:cs="Times New Roman"/>
          <w:sz w:val="24"/>
          <w:szCs w:val="24"/>
        </w:rPr>
      </w:pPr>
      <w:r w:rsidRPr="004F7915">
        <w:rPr>
          <w:rStyle w:val="FootnoteReference"/>
          <w:rFonts w:ascii="Times New Roman" w:hAnsi="Times New Roman" w:cs="Times New Roman"/>
          <w:sz w:val="24"/>
          <w:szCs w:val="24"/>
        </w:rPr>
        <w:footnoteRef/>
      </w:r>
      <w:r w:rsidRPr="004F7915">
        <w:rPr>
          <w:rFonts w:ascii="Times New Roman" w:hAnsi="Times New Roman" w:cs="Times New Roman"/>
          <w:sz w:val="24"/>
          <w:szCs w:val="24"/>
        </w:rPr>
        <w:t xml:space="preserve"> </w:t>
      </w:r>
      <w:r w:rsidR="00865876" w:rsidRPr="004F7915">
        <w:rPr>
          <w:rFonts w:ascii="Times New Roman" w:hAnsi="Times New Roman" w:cs="Times New Roman"/>
          <w:sz w:val="24"/>
          <w:szCs w:val="24"/>
        </w:rPr>
        <w:t>D Fox, R Munday, B Soyer, A Tettenborn, and P Turner, ‘Insurance’ in Oxford University Press eBooks.</w:t>
      </w:r>
    </w:p>
  </w:footnote>
  <w:footnote w:id="5">
    <w:p w14:paraId="7C91CF58" w14:textId="7912C8E3" w:rsidR="007313E6" w:rsidRPr="004F7915" w:rsidRDefault="00000000" w:rsidP="0081270E">
      <w:pPr>
        <w:pStyle w:val="FootnoteText"/>
        <w:spacing w:line="480" w:lineRule="auto"/>
        <w:contextualSpacing/>
        <w:rPr>
          <w:rFonts w:ascii="Times New Roman" w:hAnsi="Times New Roman" w:cs="Times New Roman"/>
          <w:sz w:val="24"/>
          <w:szCs w:val="24"/>
        </w:rPr>
      </w:pPr>
      <w:r w:rsidRPr="004F7915">
        <w:rPr>
          <w:rStyle w:val="FootnoteReference"/>
          <w:rFonts w:ascii="Times New Roman" w:hAnsi="Times New Roman" w:cs="Times New Roman"/>
          <w:sz w:val="24"/>
          <w:szCs w:val="24"/>
        </w:rPr>
        <w:footnoteRef/>
      </w:r>
      <w:r w:rsidRPr="004F7915">
        <w:rPr>
          <w:rFonts w:ascii="Times New Roman" w:hAnsi="Times New Roman" w:cs="Times New Roman"/>
          <w:sz w:val="24"/>
          <w:szCs w:val="24"/>
        </w:rPr>
        <w:t xml:space="preserve"> </w:t>
      </w:r>
      <w:r w:rsidR="002C6681" w:rsidRPr="004F7915">
        <w:rPr>
          <w:rFonts w:ascii="Times New Roman" w:hAnsi="Times New Roman" w:cs="Times New Roman"/>
          <w:sz w:val="24"/>
          <w:szCs w:val="24"/>
        </w:rPr>
        <w:t xml:space="preserve">D Fox, R Munday, B Soyer, A </w:t>
      </w:r>
      <w:proofErr w:type="spellStart"/>
      <w:r w:rsidR="002C6681" w:rsidRPr="004F7915">
        <w:rPr>
          <w:rFonts w:ascii="Times New Roman" w:hAnsi="Times New Roman" w:cs="Times New Roman"/>
          <w:sz w:val="24"/>
          <w:szCs w:val="24"/>
        </w:rPr>
        <w:t>Tettenborn</w:t>
      </w:r>
      <w:proofErr w:type="spellEnd"/>
      <w:r w:rsidR="002C6681" w:rsidRPr="004F7915">
        <w:rPr>
          <w:rFonts w:ascii="Times New Roman" w:hAnsi="Times New Roman" w:cs="Times New Roman"/>
          <w:sz w:val="24"/>
          <w:szCs w:val="24"/>
        </w:rPr>
        <w:t>, and P Turner, ‘Insurance’ in Oxford University Press eBooks.</w:t>
      </w:r>
    </w:p>
  </w:footnote>
  <w:footnote w:id="6">
    <w:p w14:paraId="16900A06" w14:textId="675B6DF2" w:rsidR="007313E6" w:rsidRPr="004F7915" w:rsidRDefault="00000000" w:rsidP="0081270E">
      <w:pPr>
        <w:pStyle w:val="FootnoteText"/>
        <w:spacing w:line="480" w:lineRule="auto"/>
        <w:contextualSpacing/>
        <w:rPr>
          <w:rFonts w:ascii="Times New Roman" w:hAnsi="Times New Roman" w:cs="Times New Roman"/>
          <w:sz w:val="24"/>
          <w:szCs w:val="24"/>
        </w:rPr>
      </w:pPr>
      <w:r w:rsidRPr="004F7915">
        <w:rPr>
          <w:rStyle w:val="FootnoteReference"/>
          <w:rFonts w:ascii="Times New Roman" w:hAnsi="Times New Roman" w:cs="Times New Roman"/>
          <w:sz w:val="24"/>
          <w:szCs w:val="24"/>
        </w:rPr>
        <w:footnoteRef/>
      </w:r>
      <w:r w:rsidRPr="004F7915">
        <w:rPr>
          <w:rFonts w:ascii="Times New Roman" w:hAnsi="Times New Roman" w:cs="Times New Roman"/>
          <w:sz w:val="24"/>
          <w:szCs w:val="24"/>
        </w:rPr>
        <w:t xml:space="preserve"> </w:t>
      </w:r>
      <w:r w:rsidR="00DB7EDC" w:rsidRPr="004F7915">
        <w:rPr>
          <w:rFonts w:ascii="Times New Roman" w:hAnsi="Times New Roman" w:cs="Times New Roman"/>
          <w:sz w:val="24"/>
          <w:szCs w:val="24"/>
        </w:rPr>
        <w:t>Alan Dignam and John Lowry, Company Law, 12th edition, Chapter 17</w:t>
      </w:r>
    </w:p>
  </w:footnote>
  <w:footnote w:id="7">
    <w:p w14:paraId="3CEF17A1" w14:textId="159F8F52" w:rsidR="007313E6" w:rsidRPr="004F7915" w:rsidRDefault="00000000" w:rsidP="0081270E">
      <w:pPr>
        <w:pStyle w:val="FootnoteText"/>
        <w:spacing w:line="480" w:lineRule="auto"/>
        <w:contextualSpacing/>
        <w:rPr>
          <w:rFonts w:ascii="Times New Roman" w:hAnsi="Times New Roman" w:cs="Times New Roman"/>
          <w:sz w:val="24"/>
          <w:szCs w:val="24"/>
        </w:rPr>
      </w:pPr>
      <w:r w:rsidRPr="004F7915">
        <w:rPr>
          <w:rStyle w:val="FootnoteReference"/>
          <w:rFonts w:ascii="Times New Roman" w:hAnsi="Times New Roman" w:cs="Times New Roman"/>
          <w:sz w:val="24"/>
          <w:szCs w:val="24"/>
        </w:rPr>
        <w:footnoteRef/>
      </w:r>
      <w:r w:rsidRPr="004F7915">
        <w:rPr>
          <w:rFonts w:ascii="Times New Roman" w:hAnsi="Times New Roman" w:cs="Times New Roman"/>
          <w:sz w:val="24"/>
          <w:szCs w:val="24"/>
        </w:rPr>
        <w:t xml:space="preserve"> </w:t>
      </w:r>
      <w:r w:rsidR="004F7915" w:rsidRPr="004F7915">
        <w:rPr>
          <w:rFonts w:ascii="Times New Roman" w:hAnsi="Times New Roman" w:cs="Times New Roman"/>
          <w:sz w:val="24"/>
          <w:szCs w:val="24"/>
        </w:rPr>
        <w:t>French Derek (ed), Blackstone's Statutes on Company Law 2023-2024 (Oxford University Press 2023)</w:t>
      </w:r>
    </w:p>
  </w:footnote>
  <w:footnote w:id="8">
    <w:p w14:paraId="442093CE" w14:textId="20409970" w:rsidR="004F7915" w:rsidRPr="004F7915" w:rsidRDefault="00000000">
      <w:pPr>
        <w:pStyle w:val="FootnoteText"/>
        <w:rPr>
          <w:rFonts w:ascii="Times New Roman" w:hAnsi="Times New Roman" w:cs="Times New Roman"/>
          <w:sz w:val="24"/>
          <w:szCs w:val="24"/>
        </w:rPr>
      </w:pPr>
      <w:r w:rsidRPr="004F7915">
        <w:rPr>
          <w:rStyle w:val="FootnoteReference"/>
          <w:rFonts w:ascii="Times New Roman" w:hAnsi="Times New Roman" w:cs="Times New Roman"/>
          <w:sz w:val="24"/>
          <w:szCs w:val="24"/>
        </w:rPr>
        <w:footnoteRef/>
      </w:r>
      <w:r w:rsidRPr="004F7915">
        <w:rPr>
          <w:rFonts w:ascii="Times New Roman" w:hAnsi="Times New Roman" w:cs="Times New Roman"/>
          <w:sz w:val="24"/>
          <w:szCs w:val="24"/>
        </w:rPr>
        <w:t xml:space="preserve"> Insurance Act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685447931"/>
      <w:docPartObj>
        <w:docPartGallery w:val="Page Numbers (Top of Page)"/>
        <w:docPartUnique/>
      </w:docPartObj>
    </w:sdtPr>
    <w:sdtEndPr>
      <w:rPr>
        <w:noProof/>
      </w:rPr>
    </w:sdtEndPr>
    <w:sdtContent>
      <w:p w14:paraId="6CFB52E4" w14:textId="064924CF" w:rsidR="002269A8" w:rsidRPr="002269A8" w:rsidRDefault="00000000">
        <w:pPr>
          <w:pStyle w:val="Header"/>
          <w:jc w:val="right"/>
          <w:rPr>
            <w:rFonts w:ascii="Times New Roman" w:hAnsi="Times New Roman" w:cs="Times New Roman"/>
            <w:sz w:val="24"/>
            <w:szCs w:val="24"/>
          </w:rPr>
        </w:pPr>
        <w:r w:rsidRPr="002269A8">
          <w:rPr>
            <w:rFonts w:ascii="Times New Roman" w:hAnsi="Times New Roman" w:cs="Times New Roman"/>
            <w:sz w:val="24"/>
            <w:szCs w:val="24"/>
          </w:rPr>
          <w:t xml:space="preserve">Legal Analysis of Usman’s Case </w:t>
        </w:r>
        <w:r w:rsidRPr="002269A8">
          <w:rPr>
            <w:rFonts w:ascii="Times New Roman" w:hAnsi="Times New Roman" w:cs="Times New Roman"/>
            <w:sz w:val="24"/>
            <w:szCs w:val="24"/>
          </w:rPr>
          <w:fldChar w:fldCharType="begin"/>
        </w:r>
        <w:r w:rsidRPr="002269A8">
          <w:rPr>
            <w:rFonts w:ascii="Times New Roman" w:hAnsi="Times New Roman" w:cs="Times New Roman"/>
            <w:sz w:val="24"/>
            <w:szCs w:val="24"/>
          </w:rPr>
          <w:instrText xml:space="preserve"> PAGE   \* MERGEFORMAT </w:instrText>
        </w:r>
        <w:r w:rsidRPr="002269A8">
          <w:rPr>
            <w:rFonts w:ascii="Times New Roman" w:hAnsi="Times New Roman" w:cs="Times New Roman"/>
            <w:sz w:val="24"/>
            <w:szCs w:val="24"/>
          </w:rPr>
          <w:fldChar w:fldCharType="separate"/>
        </w:r>
        <w:r>
          <w:rPr>
            <w:rFonts w:ascii="Times New Roman" w:hAnsi="Times New Roman" w:cs="Times New Roman"/>
            <w:noProof/>
            <w:sz w:val="24"/>
            <w:szCs w:val="24"/>
          </w:rPr>
          <w:t>1</w:t>
        </w:r>
        <w:r w:rsidRPr="002269A8">
          <w:rPr>
            <w:rFonts w:ascii="Times New Roman" w:hAnsi="Times New Roman" w:cs="Times New Roman"/>
            <w:noProof/>
            <w:sz w:val="24"/>
            <w:szCs w:val="24"/>
          </w:rPr>
          <w:fldChar w:fldCharType="end"/>
        </w:r>
      </w:p>
    </w:sdtContent>
  </w:sdt>
  <w:p w14:paraId="41C8F8D2" w14:textId="77777777" w:rsidR="002269A8" w:rsidRDefault="002269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50D"/>
    <w:rsid w:val="00012E2F"/>
    <w:rsid w:val="000176DE"/>
    <w:rsid w:val="000317A2"/>
    <w:rsid w:val="00080872"/>
    <w:rsid w:val="0008146B"/>
    <w:rsid w:val="00086CB2"/>
    <w:rsid w:val="000D2775"/>
    <w:rsid w:val="00102DDB"/>
    <w:rsid w:val="00106A1D"/>
    <w:rsid w:val="00113278"/>
    <w:rsid w:val="00115E74"/>
    <w:rsid w:val="00117FAA"/>
    <w:rsid w:val="00136BE9"/>
    <w:rsid w:val="001555D6"/>
    <w:rsid w:val="001628A9"/>
    <w:rsid w:val="001F1D0D"/>
    <w:rsid w:val="00200425"/>
    <w:rsid w:val="00216EF6"/>
    <w:rsid w:val="00220D94"/>
    <w:rsid w:val="00221F08"/>
    <w:rsid w:val="002269A8"/>
    <w:rsid w:val="0025319B"/>
    <w:rsid w:val="00293F3B"/>
    <w:rsid w:val="002A53AD"/>
    <w:rsid w:val="002C6681"/>
    <w:rsid w:val="00317D4F"/>
    <w:rsid w:val="00397B8D"/>
    <w:rsid w:val="003A6714"/>
    <w:rsid w:val="003F5F34"/>
    <w:rsid w:val="00444744"/>
    <w:rsid w:val="00451CFC"/>
    <w:rsid w:val="004575F4"/>
    <w:rsid w:val="0046223B"/>
    <w:rsid w:val="004A326C"/>
    <w:rsid w:val="004B102B"/>
    <w:rsid w:val="004D2DA0"/>
    <w:rsid w:val="004D36D1"/>
    <w:rsid w:val="004E5E4E"/>
    <w:rsid w:val="004E7939"/>
    <w:rsid w:val="004F6C04"/>
    <w:rsid w:val="004F7915"/>
    <w:rsid w:val="00511BE3"/>
    <w:rsid w:val="00517022"/>
    <w:rsid w:val="005914E1"/>
    <w:rsid w:val="005D5831"/>
    <w:rsid w:val="005F21BE"/>
    <w:rsid w:val="00620616"/>
    <w:rsid w:val="00637FC6"/>
    <w:rsid w:val="00667BC0"/>
    <w:rsid w:val="00681668"/>
    <w:rsid w:val="006816B7"/>
    <w:rsid w:val="00682574"/>
    <w:rsid w:val="00691154"/>
    <w:rsid w:val="00691B49"/>
    <w:rsid w:val="006B6CD0"/>
    <w:rsid w:val="006C37D3"/>
    <w:rsid w:val="006C6327"/>
    <w:rsid w:val="006E691D"/>
    <w:rsid w:val="006F6C84"/>
    <w:rsid w:val="007313E6"/>
    <w:rsid w:val="0074729E"/>
    <w:rsid w:val="00764E1C"/>
    <w:rsid w:val="00767807"/>
    <w:rsid w:val="00774CED"/>
    <w:rsid w:val="007757D7"/>
    <w:rsid w:val="007B5636"/>
    <w:rsid w:val="007C25F1"/>
    <w:rsid w:val="007C2BF9"/>
    <w:rsid w:val="007C5B0F"/>
    <w:rsid w:val="007E10DD"/>
    <w:rsid w:val="007F3502"/>
    <w:rsid w:val="00805F36"/>
    <w:rsid w:val="0081270E"/>
    <w:rsid w:val="00813C32"/>
    <w:rsid w:val="008205F3"/>
    <w:rsid w:val="00822A25"/>
    <w:rsid w:val="008342D1"/>
    <w:rsid w:val="008553EB"/>
    <w:rsid w:val="00865876"/>
    <w:rsid w:val="008A245A"/>
    <w:rsid w:val="008C0B79"/>
    <w:rsid w:val="008E273D"/>
    <w:rsid w:val="00904566"/>
    <w:rsid w:val="00920BA4"/>
    <w:rsid w:val="00931FDE"/>
    <w:rsid w:val="0095091F"/>
    <w:rsid w:val="00955F69"/>
    <w:rsid w:val="0096553E"/>
    <w:rsid w:val="00977227"/>
    <w:rsid w:val="00980DEA"/>
    <w:rsid w:val="00980F4B"/>
    <w:rsid w:val="00985FCA"/>
    <w:rsid w:val="009C2858"/>
    <w:rsid w:val="009C4CCE"/>
    <w:rsid w:val="009F1517"/>
    <w:rsid w:val="00A167F6"/>
    <w:rsid w:val="00AD3BCA"/>
    <w:rsid w:val="00AF50D4"/>
    <w:rsid w:val="00B1681D"/>
    <w:rsid w:val="00B22AB9"/>
    <w:rsid w:val="00B3599D"/>
    <w:rsid w:val="00B52048"/>
    <w:rsid w:val="00B52E8D"/>
    <w:rsid w:val="00B5583A"/>
    <w:rsid w:val="00B61B8F"/>
    <w:rsid w:val="00B70E2A"/>
    <w:rsid w:val="00B7612B"/>
    <w:rsid w:val="00BC68F6"/>
    <w:rsid w:val="00BD147E"/>
    <w:rsid w:val="00C163FD"/>
    <w:rsid w:val="00C1756B"/>
    <w:rsid w:val="00C26131"/>
    <w:rsid w:val="00C446C6"/>
    <w:rsid w:val="00C45C39"/>
    <w:rsid w:val="00C55F38"/>
    <w:rsid w:val="00C56EBF"/>
    <w:rsid w:val="00C62916"/>
    <w:rsid w:val="00C70DEB"/>
    <w:rsid w:val="00C71958"/>
    <w:rsid w:val="00C739FF"/>
    <w:rsid w:val="00C80BC2"/>
    <w:rsid w:val="00C9106A"/>
    <w:rsid w:val="00CB0FD6"/>
    <w:rsid w:val="00CB3C69"/>
    <w:rsid w:val="00CD10D3"/>
    <w:rsid w:val="00CD21A8"/>
    <w:rsid w:val="00D01AC0"/>
    <w:rsid w:val="00D049A1"/>
    <w:rsid w:val="00D12C4C"/>
    <w:rsid w:val="00D20A68"/>
    <w:rsid w:val="00D27417"/>
    <w:rsid w:val="00D3277A"/>
    <w:rsid w:val="00D60398"/>
    <w:rsid w:val="00D666D6"/>
    <w:rsid w:val="00D8166D"/>
    <w:rsid w:val="00DB3019"/>
    <w:rsid w:val="00DB350D"/>
    <w:rsid w:val="00DB7EDC"/>
    <w:rsid w:val="00DC5B0E"/>
    <w:rsid w:val="00E060E9"/>
    <w:rsid w:val="00E11EF0"/>
    <w:rsid w:val="00E17708"/>
    <w:rsid w:val="00E35EA2"/>
    <w:rsid w:val="00E925F8"/>
    <w:rsid w:val="00E9293E"/>
    <w:rsid w:val="00EB03DA"/>
    <w:rsid w:val="00EC163E"/>
    <w:rsid w:val="00ED1794"/>
    <w:rsid w:val="00EE340F"/>
    <w:rsid w:val="00EE4B1A"/>
    <w:rsid w:val="00F35636"/>
    <w:rsid w:val="00F4118E"/>
    <w:rsid w:val="00F66A27"/>
    <w:rsid w:val="00FB1067"/>
    <w:rsid w:val="00FB6224"/>
    <w:rsid w:val="00FC00A3"/>
    <w:rsid w:val="00FC3D8A"/>
    <w:rsid w:val="00FC424D"/>
    <w:rsid w:val="00FD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EC48"/>
  <w15:chartTrackingRefBased/>
  <w15:docId w15:val="{CB5A42BD-5FF3-490F-9118-7E5870E9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13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3E6"/>
    <w:rPr>
      <w:sz w:val="20"/>
      <w:szCs w:val="20"/>
    </w:rPr>
  </w:style>
  <w:style w:type="character" w:styleId="FootnoteReference">
    <w:name w:val="footnote reference"/>
    <w:basedOn w:val="DefaultParagraphFont"/>
    <w:uiPriority w:val="99"/>
    <w:semiHidden/>
    <w:unhideWhenUsed/>
    <w:rsid w:val="007313E6"/>
    <w:rPr>
      <w:vertAlign w:val="superscript"/>
    </w:rPr>
  </w:style>
  <w:style w:type="paragraph" w:styleId="Header">
    <w:name w:val="header"/>
    <w:basedOn w:val="Normal"/>
    <w:link w:val="HeaderChar"/>
    <w:uiPriority w:val="99"/>
    <w:unhideWhenUsed/>
    <w:rsid w:val="00226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9A8"/>
  </w:style>
  <w:style w:type="paragraph" w:styleId="Footer">
    <w:name w:val="footer"/>
    <w:basedOn w:val="Normal"/>
    <w:link w:val="FooterChar"/>
    <w:uiPriority w:val="99"/>
    <w:unhideWhenUsed/>
    <w:rsid w:val="00226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9A8"/>
  </w:style>
  <w:style w:type="character" w:styleId="Hyperlink">
    <w:name w:val="Hyperlink"/>
    <w:basedOn w:val="DefaultParagraphFont"/>
    <w:uiPriority w:val="99"/>
    <w:unhideWhenUsed/>
    <w:rsid w:val="002269A8"/>
    <w:rPr>
      <w:color w:val="0563C1" w:themeColor="hyperlink"/>
      <w:u w:val="single"/>
    </w:rPr>
  </w:style>
  <w:style w:type="character" w:customStyle="1" w:styleId="UnresolvedMention1">
    <w:name w:val="Unresolved Mention1"/>
    <w:basedOn w:val="DefaultParagraphFont"/>
    <w:uiPriority w:val="99"/>
    <w:semiHidden/>
    <w:unhideWhenUsed/>
    <w:rsid w:val="002269A8"/>
    <w:rPr>
      <w:color w:val="605E5C"/>
      <w:shd w:val="clear" w:color="auto" w:fill="E1DFDD"/>
    </w:rPr>
  </w:style>
  <w:style w:type="character" w:styleId="UnresolvedMention">
    <w:name w:val="Unresolved Mention"/>
    <w:basedOn w:val="DefaultParagraphFont"/>
    <w:uiPriority w:val="99"/>
    <w:semiHidden/>
    <w:unhideWhenUsed/>
    <w:rsid w:val="00200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93/he/9780198842149.003.002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B7C66-9A3E-4DBE-9196-929A971FE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blessing brael</dc:creator>
  <cp:lastModifiedBy>blessing brael</cp:lastModifiedBy>
  <cp:revision>4</cp:revision>
  <dcterms:created xsi:type="dcterms:W3CDTF">2025-01-13T16:15:00Z</dcterms:created>
  <dcterms:modified xsi:type="dcterms:W3CDTF">2025-01-13T16:29:00Z</dcterms:modified>
</cp:coreProperties>
</file>