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BD7FE" w14:textId="77777777" w:rsidR="001F53AF" w:rsidRPr="0078125B" w:rsidRDefault="00000000" w:rsidP="0078125B">
      <w:pPr>
        <w:pStyle w:val="Heading1"/>
        <w:spacing w:before="0"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Globalisation’s Stress Test: Geopolitics Is Breaking Liberal Theory, Not Global Trade</w:t>
      </w:r>
    </w:p>
    <w:p w14:paraId="640FBD81" w14:textId="0481118C" w:rsidR="00F02ED8" w:rsidRPr="0078125B" w:rsidRDefault="003573A3" w:rsidP="00BF2AED">
      <w:pPr>
        <w:spacing w:after="0" w:line="360" w:lineRule="auto"/>
        <w:ind w:firstLine="720"/>
        <w:contextualSpacing/>
        <w:rPr>
          <w:rFonts w:ascii="Times New Roman" w:hAnsi="Times New Roman" w:cs="Times New Roman"/>
          <w:sz w:val="24"/>
          <w:szCs w:val="24"/>
        </w:rPr>
      </w:pPr>
      <w:r>
        <w:rPr>
          <w:rFonts w:ascii="Times New Roman" w:hAnsi="Times New Roman" w:cs="Times New Roman"/>
          <w:sz w:val="24"/>
          <w:szCs w:val="24"/>
        </w:rPr>
        <w:t>Despite the occurrence of the war that took place in the Middle East shaking the economy of the markets, on 8</w:t>
      </w:r>
      <w:r w:rsidRPr="003573A3">
        <w:rPr>
          <w:rFonts w:ascii="Times New Roman" w:hAnsi="Times New Roman" w:cs="Times New Roman"/>
          <w:sz w:val="24"/>
          <w:szCs w:val="24"/>
          <w:vertAlign w:val="superscript"/>
        </w:rPr>
        <w:t>th</w:t>
      </w:r>
      <w:r>
        <w:rPr>
          <w:rFonts w:ascii="Times New Roman" w:hAnsi="Times New Roman" w:cs="Times New Roman"/>
          <w:sz w:val="24"/>
          <w:szCs w:val="24"/>
        </w:rPr>
        <w:t xml:space="preserve"> October the WTO </w:t>
      </w:r>
      <w:r w:rsidR="00B96F29">
        <w:rPr>
          <w:rFonts w:ascii="Times New Roman" w:hAnsi="Times New Roman" w:cs="Times New Roman"/>
          <w:sz w:val="24"/>
          <w:szCs w:val="24"/>
        </w:rPr>
        <w:t>t</w:t>
      </w:r>
      <w:r>
        <w:rPr>
          <w:rFonts w:ascii="Times New Roman" w:hAnsi="Times New Roman" w:cs="Times New Roman"/>
          <w:sz w:val="24"/>
          <w:szCs w:val="24"/>
        </w:rPr>
        <w:t xml:space="preserve">ook an initiative to double the world merchandise trade yield from 1.9% to 3.9% </w:t>
      </w:r>
      <w:r w:rsidR="0011608C" w:rsidRPr="0011608C">
        <w:rPr>
          <w:rFonts w:ascii="Times New Roman" w:hAnsi="Times New Roman" w:cs="Times New Roman"/>
          <w:sz w:val="24"/>
          <w:szCs w:val="24"/>
        </w:rPr>
        <w:t>(Associated Press 2026).</w:t>
      </w:r>
      <w:r w:rsidR="0011608C">
        <w:rPr>
          <w:rFonts w:ascii="Times New Roman" w:hAnsi="Times New Roman" w:cs="Times New Roman"/>
          <w:sz w:val="24"/>
          <w:szCs w:val="24"/>
        </w:rPr>
        <w:t xml:space="preserve"> </w:t>
      </w:r>
      <w:r>
        <w:rPr>
          <w:rFonts w:ascii="Times New Roman" w:hAnsi="Times New Roman" w:cs="Times New Roman"/>
          <w:sz w:val="24"/>
          <w:szCs w:val="24"/>
        </w:rPr>
        <w:t xml:space="preserve">People tend to speculate that </w:t>
      </w:r>
      <w:proofErr w:type="spellStart"/>
      <w:r>
        <w:rPr>
          <w:rFonts w:ascii="Times New Roman" w:hAnsi="Times New Roman" w:cs="Times New Roman"/>
          <w:sz w:val="24"/>
          <w:szCs w:val="24"/>
        </w:rPr>
        <w:t>globali</w:t>
      </w:r>
      <w:r w:rsidR="00B96F29">
        <w:rPr>
          <w:rFonts w:ascii="Times New Roman" w:hAnsi="Times New Roman" w:cs="Times New Roman"/>
          <w:sz w:val="24"/>
          <w:szCs w:val="24"/>
        </w:rPr>
        <w:t>s</w:t>
      </w:r>
      <w:r>
        <w:rPr>
          <w:rFonts w:ascii="Times New Roman" w:hAnsi="Times New Roman" w:cs="Times New Roman"/>
          <w:sz w:val="24"/>
          <w:szCs w:val="24"/>
        </w:rPr>
        <w:t>ation</w:t>
      </w:r>
      <w:proofErr w:type="spellEnd"/>
      <w:r>
        <w:rPr>
          <w:rFonts w:ascii="Times New Roman" w:hAnsi="Times New Roman" w:cs="Times New Roman"/>
          <w:sz w:val="24"/>
          <w:szCs w:val="24"/>
        </w:rPr>
        <w:t xml:space="preserve"> is sinking while on the other side the world trade is gradually growing</w:t>
      </w:r>
      <w:r w:rsidR="00F02ED8" w:rsidRPr="0078125B">
        <w:rPr>
          <w:rFonts w:ascii="Times New Roman" w:hAnsi="Times New Roman" w:cs="Times New Roman"/>
          <w:sz w:val="24"/>
          <w:szCs w:val="24"/>
        </w:rPr>
        <w:t xml:space="preserve">. </w:t>
      </w:r>
      <w:r w:rsidR="00B75DFF" w:rsidRPr="00B75DFF">
        <w:rPr>
          <w:rFonts w:ascii="Times New Roman" w:hAnsi="Times New Roman" w:cs="Times New Roman"/>
          <w:sz w:val="24"/>
          <w:szCs w:val="24"/>
        </w:rPr>
        <w:t>But China's temporary halt of the export restrictions on rare earths lapses on 10</w:t>
      </w:r>
      <w:r w:rsidR="00015FDE" w:rsidRPr="00015FDE">
        <w:rPr>
          <w:rFonts w:ascii="Times New Roman" w:hAnsi="Times New Roman" w:cs="Times New Roman"/>
          <w:sz w:val="24"/>
          <w:szCs w:val="24"/>
          <w:vertAlign w:val="superscript"/>
        </w:rPr>
        <w:t>th</w:t>
      </w:r>
      <w:r w:rsidR="00015FDE">
        <w:rPr>
          <w:rFonts w:ascii="Times New Roman" w:hAnsi="Times New Roman" w:cs="Times New Roman"/>
          <w:sz w:val="24"/>
          <w:szCs w:val="24"/>
        </w:rPr>
        <w:t xml:space="preserve"> </w:t>
      </w:r>
      <w:r w:rsidR="00B75DFF" w:rsidRPr="00B75DFF">
        <w:rPr>
          <w:rFonts w:ascii="Times New Roman" w:hAnsi="Times New Roman" w:cs="Times New Roman"/>
          <w:sz w:val="24"/>
          <w:szCs w:val="24"/>
        </w:rPr>
        <w:t>November 2026 and the broader US-China truce, just recently extended, ends 10</w:t>
      </w:r>
      <w:r w:rsidR="00015FDE" w:rsidRPr="00015FDE">
        <w:rPr>
          <w:rFonts w:ascii="Times New Roman" w:hAnsi="Times New Roman" w:cs="Times New Roman"/>
          <w:sz w:val="24"/>
          <w:szCs w:val="24"/>
          <w:vertAlign w:val="superscript"/>
        </w:rPr>
        <w:t>th</w:t>
      </w:r>
      <w:r w:rsidR="00015FDE">
        <w:rPr>
          <w:rFonts w:ascii="Times New Roman" w:hAnsi="Times New Roman" w:cs="Times New Roman"/>
          <w:sz w:val="24"/>
          <w:szCs w:val="24"/>
        </w:rPr>
        <w:t xml:space="preserve"> </w:t>
      </w:r>
      <w:r w:rsidR="00B75DFF" w:rsidRPr="00B75DFF">
        <w:rPr>
          <w:rFonts w:ascii="Times New Roman" w:hAnsi="Times New Roman" w:cs="Times New Roman"/>
          <w:sz w:val="24"/>
          <w:szCs w:val="24"/>
        </w:rPr>
        <w:t>January 2027 (Al Jazeera 2026).</w:t>
      </w:r>
      <w:r w:rsidR="00F02ED8" w:rsidRPr="0078125B">
        <w:rPr>
          <w:rFonts w:ascii="Times New Roman" w:hAnsi="Times New Roman" w:cs="Times New Roman"/>
          <w:sz w:val="24"/>
          <w:szCs w:val="24"/>
        </w:rPr>
        <w:t xml:space="preserve"> </w:t>
      </w:r>
    </w:p>
    <w:p w14:paraId="55B51C68" w14:textId="4BC7E818" w:rsidR="001F53AF" w:rsidRPr="0078125B" w:rsidRDefault="00B96F29" w:rsidP="00BF2AED">
      <w:pPr>
        <w:spacing w:after="0" w:line="360" w:lineRule="auto"/>
        <w:ind w:firstLine="720"/>
        <w:contextualSpacing/>
        <w:rPr>
          <w:rFonts w:ascii="Times New Roman" w:hAnsi="Times New Roman" w:cs="Times New Roman"/>
          <w:sz w:val="24"/>
          <w:szCs w:val="24"/>
          <w:highlight w:val="yellow"/>
        </w:rPr>
      </w:pPr>
      <w:r w:rsidRPr="00B96F29">
        <w:rPr>
          <w:rFonts w:ascii="Times New Roman" w:hAnsi="Times New Roman" w:cs="Times New Roman"/>
          <w:sz w:val="24"/>
          <w:szCs w:val="24"/>
        </w:rPr>
        <w:t xml:space="preserve">Both narratives are true on each end, and such tension puts more emphasis on the question. Is current geopolitics challenging liberal theories of </w:t>
      </w:r>
      <w:proofErr w:type="spellStart"/>
      <w:r w:rsidRPr="00B96F29">
        <w:rPr>
          <w:rFonts w:ascii="Times New Roman" w:hAnsi="Times New Roman" w:cs="Times New Roman"/>
          <w:sz w:val="24"/>
          <w:szCs w:val="24"/>
        </w:rPr>
        <w:t>globalisation</w:t>
      </w:r>
      <w:proofErr w:type="spellEnd"/>
      <w:r w:rsidRPr="00B96F29">
        <w:rPr>
          <w:rFonts w:ascii="Times New Roman" w:hAnsi="Times New Roman" w:cs="Times New Roman"/>
          <w:sz w:val="24"/>
          <w:szCs w:val="24"/>
        </w:rPr>
        <w:t xml:space="preserve">? Well, but not where the majority of commentators look. </w:t>
      </w:r>
      <w:proofErr w:type="spellStart"/>
      <w:r w:rsidRPr="00B96F29">
        <w:rPr>
          <w:rFonts w:ascii="Times New Roman" w:hAnsi="Times New Roman" w:cs="Times New Roman"/>
          <w:sz w:val="24"/>
          <w:szCs w:val="24"/>
        </w:rPr>
        <w:t>Globalisation</w:t>
      </w:r>
      <w:proofErr w:type="spellEnd"/>
      <w:r w:rsidRPr="00B96F29">
        <w:rPr>
          <w:rFonts w:ascii="Times New Roman" w:hAnsi="Times New Roman" w:cs="Times New Roman"/>
          <w:sz w:val="24"/>
          <w:szCs w:val="24"/>
        </w:rPr>
        <w:t xml:space="preserve"> is a fact; the liberal narrative of it is breaking. This is proven by using two indicators: global supply chains and world powers and hegemony.</w:t>
      </w:r>
    </w:p>
    <w:p w14:paraId="200FAE0E" w14:textId="3C4D9F40" w:rsidR="001F53AF" w:rsidRPr="0078125B" w:rsidRDefault="00000000" w:rsidP="0078125B">
      <w:pPr>
        <w:pStyle w:val="Heading2"/>
        <w:spacing w:before="0"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 xml:space="preserve">What </w:t>
      </w:r>
      <w:r w:rsidR="00B473C3" w:rsidRPr="0078125B">
        <w:rPr>
          <w:rFonts w:ascii="Times New Roman" w:hAnsi="Times New Roman" w:cs="Times New Roman"/>
          <w:sz w:val="24"/>
          <w:szCs w:val="24"/>
        </w:rPr>
        <w:t>Liberal Theory Promises</w:t>
      </w:r>
    </w:p>
    <w:p w14:paraId="0BD875CA" w14:textId="4E611335" w:rsidR="00F02ED8" w:rsidRPr="0078125B" w:rsidRDefault="00F02ED8" w:rsidP="00BF2AED">
      <w:pPr>
        <w:spacing w:after="0" w:line="360" w:lineRule="auto"/>
        <w:ind w:firstLine="720"/>
        <w:contextualSpacing/>
        <w:rPr>
          <w:rFonts w:ascii="Times New Roman" w:hAnsi="Times New Roman" w:cs="Times New Roman"/>
          <w:sz w:val="24"/>
          <w:szCs w:val="24"/>
        </w:rPr>
      </w:pPr>
      <w:r w:rsidRPr="0078125B">
        <w:rPr>
          <w:rFonts w:ascii="Times New Roman" w:hAnsi="Times New Roman" w:cs="Times New Roman"/>
          <w:sz w:val="24"/>
          <w:szCs w:val="24"/>
        </w:rPr>
        <w:t xml:space="preserve">Hyperglobalists perceive an integrated market undermining the nation-state, and the neoliberal strand is founded on Ricardian comparative advantage: trade, </w:t>
      </w:r>
      <w:proofErr w:type="spellStart"/>
      <w:r w:rsidRPr="0078125B">
        <w:rPr>
          <w:rFonts w:ascii="Times New Roman" w:hAnsi="Times New Roman" w:cs="Times New Roman"/>
          <w:sz w:val="24"/>
          <w:szCs w:val="24"/>
        </w:rPr>
        <w:t>specialise</w:t>
      </w:r>
      <w:proofErr w:type="spellEnd"/>
      <w:r w:rsidRPr="0078125B">
        <w:rPr>
          <w:rFonts w:ascii="Times New Roman" w:hAnsi="Times New Roman" w:cs="Times New Roman"/>
          <w:sz w:val="24"/>
          <w:szCs w:val="24"/>
        </w:rPr>
        <w:t xml:space="preserve"> and everyone wins. The “flat world” and the “borderless world” visions that ensued made the numbers look justified. Since 2022, </w:t>
      </w:r>
      <w:proofErr w:type="spellStart"/>
      <w:r w:rsidRPr="0078125B">
        <w:rPr>
          <w:rFonts w:ascii="Times New Roman" w:hAnsi="Times New Roman" w:cs="Times New Roman"/>
          <w:sz w:val="24"/>
          <w:szCs w:val="24"/>
        </w:rPr>
        <w:t>globalisation</w:t>
      </w:r>
      <w:proofErr w:type="spellEnd"/>
      <w:r w:rsidRPr="0078125B">
        <w:rPr>
          <w:rFonts w:ascii="Times New Roman" w:hAnsi="Times New Roman" w:cs="Times New Roman"/>
          <w:sz w:val="24"/>
          <w:szCs w:val="24"/>
        </w:rPr>
        <w:t xml:space="preserve"> has stood at a historic point of connectedness and only 4-6% of trade and investment flows in the world have not moved out of the geopolitical opponents in the last ten years (Altman and Bastian, 2026). WTO has recently increased its projections for goods trade </w:t>
      </w:r>
      <w:r w:rsidR="00AE340C">
        <w:rPr>
          <w:rFonts w:ascii="Times New Roman" w:hAnsi="Times New Roman" w:cs="Times New Roman"/>
          <w:sz w:val="24"/>
          <w:szCs w:val="24"/>
        </w:rPr>
        <w:t>made in 20</w:t>
      </w:r>
      <w:r w:rsidRPr="0078125B">
        <w:rPr>
          <w:rFonts w:ascii="Times New Roman" w:hAnsi="Times New Roman" w:cs="Times New Roman"/>
          <w:sz w:val="24"/>
          <w:szCs w:val="24"/>
        </w:rPr>
        <w:t xml:space="preserve">26, from 1.9% to 3.9% (Associated Press, 2026).  However, </w:t>
      </w:r>
      <w:proofErr w:type="spellStart"/>
      <w:r w:rsidRPr="0078125B">
        <w:rPr>
          <w:rFonts w:ascii="Times New Roman" w:hAnsi="Times New Roman" w:cs="Times New Roman"/>
          <w:sz w:val="24"/>
          <w:szCs w:val="24"/>
        </w:rPr>
        <w:t>globalisation</w:t>
      </w:r>
      <w:proofErr w:type="spellEnd"/>
      <w:r w:rsidRPr="0078125B">
        <w:rPr>
          <w:rFonts w:ascii="Times New Roman" w:hAnsi="Times New Roman" w:cs="Times New Roman"/>
          <w:sz w:val="24"/>
          <w:szCs w:val="24"/>
        </w:rPr>
        <w:t xml:space="preserve"> is not neoliberalism: the first is an empirical fact, the second an ideological initiative. It is the project that </w:t>
      </w:r>
      <w:r w:rsidR="00AE340C">
        <w:rPr>
          <w:rFonts w:ascii="Times New Roman" w:hAnsi="Times New Roman" w:cs="Times New Roman"/>
          <w:sz w:val="24"/>
          <w:szCs w:val="24"/>
        </w:rPr>
        <w:t xml:space="preserve">faces </w:t>
      </w:r>
      <w:r w:rsidR="00B473C3">
        <w:rPr>
          <w:rFonts w:ascii="Times New Roman" w:hAnsi="Times New Roman" w:cs="Times New Roman"/>
          <w:sz w:val="24"/>
          <w:szCs w:val="24"/>
        </w:rPr>
        <w:t>imitations</w:t>
      </w:r>
      <w:r w:rsidRPr="0078125B">
        <w:rPr>
          <w:rFonts w:ascii="Times New Roman" w:hAnsi="Times New Roman" w:cs="Times New Roman"/>
          <w:sz w:val="24"/>
          <w:szCs w:val="24"/>
        </w:rPr>
        <w:t xml:space="preserve"> and not the connections.</w:t>
      </w:r>
    </w:p>
    <w:p w14:paraId="3644E0D1" w14:textId="08A7BC15" w:rsidR="001F53AF" w:rsidRPr="0078125B" w:rsidRDefault="00F02ED8" w:rsidP="00BF2AED">
      <w:pPr>
        <w:spacing w:after="0" w:line="360" w:lineRule="auto"/>
        <w:ind w:firstLine="720"/>
        <w:contextualSpacing/>
        <w:rPr>
          <w:rFonts w:ascii="Times New Roman" w:hAnsi="Times New Roman" w:cs="Times New Roman"/>
          <w:sz w:val="24"/>
          <w:szCs w:val="24"/>
          <w:highlight w:val="yellow"/>
        </w:rPr>
      </w:pPr>
      <w:r w:rsidRPr="0078125B">
        <w:rPr>
          <w:rFonts w:ascii="Times New Roman" w:hAnsi="Times New Roman" w:cs="Times New Roman"/>
          <w:sz w:val="24"/>
          <w:szCs w:val="24"/>
        </w:rPr>
        <w:t xml:space="preserve">Two assumptions which were latent were made heavy-duty, however. To begin with, the trade is a positive-sum exchange that is free of security rivalry, with firms focused on efficiency rather than risk (Neos, 2025). Second, the system is underwritten by a hegemon. Hegemonic stability theory </w:t>
      </w:r>
      <w:r w:rsidR="00AE340C">
        <w:rPr>
          <w:rFonts w:ascii="Times New Roman" w:hAnsi="Times New Roman" w:cs="Times New Roman"/>
          <w:sz w:val="24"/>
          <w:szCs w:val="24"/>
        </w:rPr>
        <w:t xml:space="preserve">illustrates that </w:t>
      </w:r>
      <w:r w:rsidR="00B473C3" w:rsidRPr="00B473C3">
        <w:rPr>
          <w:rFonts w:ascii="Times New Roman" w:hAnsi="Times New Roman" w:cs="Times New Roman"/>
          <w:sz w:val="24"/>
          <w:szCs w:val="24"/>
        </w:rPr>
        <w:t>preponderant power</w:t>
      </w:r>
      <w:r w:rsidR="00B473C3">
        <w:rPr>
          <w:rFonts w:ascii="Times New Roman" w:hAnsi="Times New Roman" w:cs="Times New Roman"/>
          <w:sz w:val="24"/>
          <w:szCs w:val="24"/>
        </w:rPr>
        <w:t xml:space="preserve"> </w:t>
      </w:r>
      <w:r w:rsidR="00AE340C">
        <w:rPr>
          <w:rFonts w:ascii="Times New Roman" w:hAnsi="Times New Roman" w:cs="Times New Roman"/>
          <w:sz w:val="24"/>
          <w:szCs w:val="24"/>
        </w:rPr>
        <w:t xml:space="preserve">provides capitals, open markets and institutions; </w:t>
      </w:r>
      <w:r w:rsidRPr="0078125B">
        <w:rPr>
          <w:rFonts w:ascii="Times New Roman" w:hAnsi="Times New Roman" w:cs="Times New Roman"/>
          <w:sz w:val="24"/>
          <w:szCs w:val="24"/>
        </w:rPr>
        <w:t xml:space="preserve">others agree out of </w:t>
      </w:r>
      <w:r w:rsidR="00F97367">
        <w:rPr>
          <w:rFonts w:ascii="Times New Roman" w:hAnsi="Times New Roman" w:cs="Times New Roman"/>
          <w:sz w:val="24"/>
          <w:szCs w:val="24"/>
        </w:rPr>
        <w:t xml:space="preserve">their benefit from it </w:t>
      </w:r>
      <w:r w:rsidRPr="0078125B">
        <w:rPr>
          <w:rFonts w:ascii="Times New Roman" w:hAnsi="Times New Roman" w:cs="Times New Roman"/>
          <w:sz w:val="24"/>
          <w:szCs w:val="24"/>
        </w:rPr>
        <w:t xml:space="preserve">(Liang et al., 2025). </w:t>
      </w:r>
      <w:r w:rsidR="00AE340C">
        <w:rPr>
          <w:rFonts w:ascii="Times New Roman" w:hAnsi="Times New Roman" w:cs="Times New Roman"/>
          <w:sz w:val="24"/>
          <w:szCs w:val="24"/>
        </w:rPr>
        <w:t>The drawn</w:t>
      </w:r>
      <w:r w:rsidRPr="0078125B">
        <w:rPr>
          <w:rFonts w:ascii="Times New Roman" w:hAnsi="Times New Roman" w:cs="Times New Roman"/>
          <w:sz w:val="24"/>
          <w:szCs w:val="24"/>
        </w:rPr>
        <w:t xml:space="preserve"> assumptions </w:t>
      </w:r>
      <w:r w:rsidR="00AE340C">
        <w:rPr>
          <w:rFonts w:ascii="Times New Roman" w:hAnsi="Times New Roman" w:cs="Times New Roman"/>
          <w:sz w:val="24"/>
          <w:szCs w:val="24"/>
        </w:rPr>
        <w:t>undergo</w:t>
      </w:r>
      <w:r w:rsidR="00F97367">
        <w:rPr>
          <w:rFonts w:ascii="Times New Roman" w:hAnsi="Times New Roman" w:cs="Times New Roman"/>
          <w:sz w:val="24"/>
          <w:szCs w:val="24"/>
        </w:rPr>
        <w:t xml:space="preserve"> </w:t>
      </w:r>
      <w:r w:rsidRPr="0078125B">
        <w:rPr>
          <w:rFonts w:ascii="Times New Roman" w:hAnsi="Times New Roman" w:cs="Times New Roman"/>
          <w:sz w:val="24"/>
          <w:szCs w:val="24"/>
        </w:rPr>
        <w:t xml:space="preserve">stress-tested by geopolitics, as trade and investment </w:t>
      </w:r>
      <w:r w:rsidR="00AE340C">
        <w:rPr>
          <w:rFonts w:ascii="Times New Roman" w:hAnsi="Times New Roman" w:cs="Times New Roman"/>
          <w:sz w:val="24"/>
          <w:szCs w:val="24"/>
        </w:rPr>
        <w:t xml:space="preserve">rapidly take </w:t>
      </w:r>
      <w:r w:rsidRPr="0078125B">
        <w:rPr>
          <w:rFonts w:ascii="Times New Roman" w:hAnsi="Times New Roman" w:cs="Times New Roman"/>
          <w:sz w:val="24"/>
          <w:szCs w:val="24"/>
        </w:rPr>
        <w:t xml:space="preserve">geopolitical </w:t>
      </w:r>
      <w:r w:rsidR="00AE340C">
        <w:rPr>
          <w:rFonts w:ascii="Times New Roman" w:hAnsi="Times New Roman" w:cs="Times New Roman"/>
          <w:sz w:val="24"/>
          <w:szCs w:val="24"/>
        </w:rPr>
        <w:t>directions</w:t>
      </w:r>
      <w:r w:rsidRPr="0078125B">
        <w:rPr>
          <w:rFonts w:ascii="Times New Roman" w:hAnsi="Times New Roman" w:cs="Times New Roman"/>
          <w:sz w:val="24"/>
          <w:szCs w:val="24"/>
        </w:rPr>
        <w:t xml:space="preserve"> and not necessarily economic </w:t>
      </w:r>
      <w:r w:rsidR="00AE340C">
        <w:rPr>
          <w:rFonts w:ascii="Times New Roman" w:hAnsi="Times New Roman" w:cs="Times New Roman"/>
          <w:sz w:val="24"/>
          <w:szCs w:val="24"/>
        </w:rPr>
        <w:t>routes</w:t>
      </w:r>
      <w:r w:rsidRPr="0078125B">
        <w:rPr>
          <w:rFonts w:ascii="Times New Roman" w:hAnsi="Times New Roman" w:cs="Times New Roman"/>
          <w:sz w:val="24"/>
          <w:szCs w:val="24"/>
        </w:rPr>
        <w:t>.</w:t>
      </w:r>
    </w:p>
    <w:p w14:paraId="0B718F97" w14:textId="45DE7282" w:rsidR="001F53AF" w:rsidRPr="0078125B" w:rsidRDefault="00000000" w:rsidP="0078125B">
      <w:pPr>
        <w:pStyle w:val="Heading2"/>
        <w:spacing w:before="0"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 xml:space="preserve">Supply </w:t>
      </w:r>
      <w:r w:rsidR="00F97367" w:rsidRPr="0078125B">
        <w:rPr>
          <w:rFonts w:ascii="Times New Roman" w:hAnsi="Times New Roman" w:cs="Times New Roman"/>
          <w:sz w:val="24"/>
          <w:szCs w:val="24"/>
        </w:rPr>
        <w:t xml:space="preserve">Chains: </w:t>
      </w:r>
      <w:r w:rsidR="00F97367">
        <w:rPr>
          <w:rFonts w:ascii="Times New Roman" w:hAnsi="Times New Roman" w:cs="Times New Roman"/>
          <w:sz w:val="24"/>
          <w:szCs w:val="24"/>
        </w:rPr>
        <w:t>f</w:t>
      </w:r>
      <w:r w:rsidR="00F97367" w:rsidRPr="0078125B">
        <w:rPr>
          <w:rFonts w:ascii="Times New Roman" w:hAnsi="Times New Roman" w:cs="Times New Roman"/>
          <w:sz w:val="24"/>
          <w:szCs w:val="24"/>
        </w:rPr>
        <w:t xml:space="preserve">rom Efficiency </w:t>
      </w:r>
      <w:r w:rsidR="00F97367">
        <w:rPr>
          <w:rFonts w:ascii="Times New Roman" w:hAnsi="Times New Roman" w:cs="Times New Roman"/>
          <w:sz w:val="24"/>
          <w:szCs w:val="24"/>
        </w:rPr>
        <w:t>t</w:t>
      </w:r>
      <w:r w:rsidR="00F97367" w:rsidRPr="0078125B">
        <w:rPr>
          <w:rFonts w:ascii="Times New Roman" w:hAnsi="Times New Roman" w:cs="Times New Roman"/>
          <w:sz w:val="24"/>
          <w:szCs w:val="24"/>
        </w:rPr>
        <w:t>o Chokepoints</w:t>
      </w:r>
    </w:p>
    <w:p w14:paraId="1C95F10B" w14:textId="6819264B" w:rsidR="00D5016A" w:rsidRPr="0078125B" w:rsidRDefault="00D5016A" w:rsidP="007C5AA7">
      <w:pPr>
        <w:spacing w:after="0" w:line="360" w:lineRule="auto"/>
        <w:ind w:firstLine="720"/>
        <w:contextualSpacing/>
        <w:rPr>
          <w:rFonts w:ascii="Times New Roman" w:hAnsi="Times New Roman" w:cs="Times New Roman"/>
          <w:sz w:val="24"/>
          <w:szCs w:val="24"/>
        </w:rPr>
      </w:pPr>
      <w:r w:rsidRPr="0078125B">
        <w:rPr>
          <w:rFonts w:ascii="Times New Roman" w:hAnsi="Times New Roman" w:cs="Times New Roman"/>
          <w:sz w:val="24"/>
          <w:szCs w:val="24"/>
        </w:rPr>
        <w:t xml:space="preserve">Global value chains turned trade into </w:t>
      </w:r>
      <w:proofErr w:type="spellStart"/>
      <w:r w:rsidRPr="0078125B">
        <w:rPr>
          <w:rFonts w:ascii="Times New Roman" w:hAnsi="Times New Roman" w:cs="Times New Roman"/>
          <w:sz w:val="24"/>
          <w:szCs w:val="24"/>
        </w:rPr>
        <w:t>standardised</w:t>
      </w:r>
      <w:proofErr w:type="spellEnd"/>
      <w:r w:rsidRPr="0078125B">
        <w:rPr>
          <w:rFonts w:ascii="Times New Roman" w:hAnsi="Times New Roman" w:cs="Times New Roman"/>
          <w:sz w:val="24"/>
          <w:szCs w:val="24"/>
        </w:rPr>
        <w:t xml:space="preserve"> quality: the exchange at a distance was replaced with deep integration, and GVC-related trade takes up nearly half of all trade in the </w:t>
      </w:r>
      <w:r w:rsidRPr="0078125B">
        <w:rPr>
          <w:rFonts w:ascii="Times New Roman" w:hAnsi="Times New Roman" w:cs="Times New Roman"/>
          <w:sz w:val="24"/>
          <w:szCs w:val="24"/>
        </w:rPr>
        <w:lastRenderedPageBreak/>
        <w:t xml:space="preserve">world (World Bank 2020). The bicycle and iPod examples presented in the module demonstrate the logic, where the design, the parts and assembly processes are distributed among numerous countries. For the Liberals, this is effective </w:t>
      </w:r>
      <w:proofErr w:type="spellStart"/>
      <w:r w:rsidRPr="0078125B">
        <w:rPr>
          <w:rFonts w:ascii="Times New Roman" w:hAnsi="Times New Roman" w:cs="Times New Roman"/>
          <w:sz w:val="24"/>
          <w:szCs w:val="24"/>
        </w:rPr>
        <w:t>specialisation</w:t>
      </w:r>
      <w:proofErr w:type="spellEnd"/>
      <w:r w:rsidRPr="0078125B">
        <w:rPr>
          <w:rFonts w:ascii="Times New Roman" w:hAnsi="Times New Roman" w:cs="Times New Roman"/>
          <w:sz w:val="24"/>
          <w:szCs w:val="24"/>
        </w:rPr>
        <w:t xml:space="preserve">; for the neo-Marxists, working in the world-systems tradition, it is the core capturing surplus value on the smile curve. In any case, companies </w:t>
      </w:r>
      <w:r w:rsidR="00F97367">
        <w:rPr>
          <w:rFonts w:ascii="Times New Roman" w:hAnsi="Times New Roman" w:cs="Times New Roman"/>
          <w:sz w:val="24"/>
          <w:szCs w:val="24"/>
        </w:rPr>
        <w:t>are</w:t>
      </w:r>
      <w:r w:rsidRPr="0078125B">
        <w:rPr>
          <w:rFonts w:ascii="Times New Roman" w:hAnsi="Times New Roman" w:cs="Times New Roman"/>
          <w:sz w:val="24"/>
          <w:szCs w:val="24"/>
        </w:rPr>
        <w:t xml:space="preserve"> now </w:t>
      </w:r>
      <w:proofErr w:type="spellStart"/>
      <w:r w:rsidRPr="0078125B">
        <w:rPr>
          <w:rFonts w:ascii="Times New Roman" w:hAnsi="Times New Roman" w:cs="Times New Roman"/>
          <w:sz w:val="24"/>
          <w:szCs w:val="24"/>
        </w:rPr>
        <w:t>optimised</w:t>
      </w:r>
      <w:proofErr w:type="spellEnd"/>
      <w:r w:rsidRPr="0078125B">
        <w:rPr>
          <w:rFonts w:ascii="Times New Roman" w:hAnsi="Times New Roman" w:cs="Times New Roman"/>
          <w:sz w:val="24"/>
          <w:szCs w:val="24"/>
        </w:rPr>
        <w:t xml:space="preserve"> towards cost</w:t>
      </w:r>
      <w:r w:rsidR="00F97367">
        <w:rPr>
          <w:rFonts w:ascii="Times New Roman" w:hAnsi="Times New Roman" w:cs="Times New Roman"/>
          <w:sz w:val="24"/>
          <w:szCs w:val="24"/>
        </w:rPr>
        <w:t xml:space="preserve">, </w:t>
      </w:r>
      <w:r w:rsidRPr="0078125B">
        <w:rPr>
          <w:rFonts w:ascii="Times New Roman" w:hAnsi="Times New Roman" w:cs="Times New Roman"/>
          <w:sz w:val="24"/>
          <w:szCs w:val="24"/>
        </w:rPr>
        <w:t>speed and value chains had become economics, not geopolitics.</w:t>
      </w:r>
    </w:p>
    <w:p w14:paraId="3F4CFA54" w14:textId="4A430ACF" w:rsidR="00D5016A" w:rsidRDefault="00D5016A" w:rsidP="007C5AA7">
      <w:pPr>
        <w:spacing w:after="0" w:line="360" w:lineRule="auto"/>
        <w:ind w:firstLine="720"/>
        <w:contextualSpacing/>
        <w:rPr>
          <w:rFonts w:ascii="Times New Roman" w:hAnsi="Times New Roman" w:cs="Times New Roman"/>
          <w:sz w:val="24"/>
          <w:szCs w:val="24"/>
        </w:rPr>
      </w:pPr>
      <w:r w:rsidRPr="0078125B">
        <w:rPr>
          <w:rFonts w:ascii="Times New Roman" w:hAnsi="Times New Roman" w:cs="Times New Roman"/>
          <w:sz w:val="24"/>
          <w:szCs w:val="24"/>
        </w:rPr>
        <w:t>Rare earths put an end to that innocence. China polishes almost 90% of the world's supply (Coface, 2025). Beijing announced in October 2025 that it would no longer export foreign-made products containing Chinese rare earths valued at 0.1% or more of the product before it is approved by China (Coface, 2025). A supplier having control to that extent can leverage it accordingly. The measures were indefinitely suspended after the Busan summit, but in fact, only until 10</w:t>
      </w:r>
      <w:r w:rsidR="009F305E" w:rsidRPr="009F305E">
        <w:rPr>
          <w:rFonts w:ascii="Times New Roman" w:hAnsi="Times New Roman" w:cs="Times New Roman"/>
          <w:sz w:val="24"/>
          <w:szCs w:val="24"/>
          <w:vertAlign w:val="superscript"/>
        </w:rPr>
        <w:t>th</w:t>
      </w:r>
      <w:r w:rsidR="009F305E">
        <w:rPr>
          <w:rFonts w:ascii="Times New Roman" w:hAnsi="Times New Roman" w:cs="Times New Roman"/>
          <w:sz w:val="24"/>
          <w:szCs w:val="24"/>
        </w:rPr>
        <w:t xml:space="preserve"> </w:t>
      </w:r>
      <w:r w:rsidRPr="0078125B">
        <w:rPr>
          <w:rFonts w:ascii="Times New Roman" w:hAnsi="Times New Roman" w:cs="Times New Roman"/>
          <w:sz w:val="24"/>
          <w:szCs w:val="24"/>
        </w:rPr>
        <w:t xml:space="preserve">November 2026; Beijing </w:t>
      </w:r>
      <w:r w:rsidR="00F546F8" w:rsidRPr="0078125B">
        <w:rPr>
          <w:rFonts w:ascii="Times New Roman" w:hAnsi="Times New Roman" w:cs="Times New Roman"/>
          <w:sz w:val="24"/>
          <w:szCs w:val="24"/>
        </w:rPr>
        <w:t>issued</w:t>
      </w:r>
      <w:r w:rsidRPr="0078125B">
        <w:rPr>
          <w:rFonts w:ascii="Times New Roman" w:hAnsi="Times New Roman" w:cs="Times New Roman"/>
          <w:sz w:val="24"/>
          <w:szCs w:val="24"/>
        </w:rPr>
        <w:t xml:space="preserve"> no extension by mid-October, and European companies continue to grumble about no </w:t>
      </w:r>
      <w:proofErr w:type="spellStart"/>
      <w:r w:rsidRPr="0078125B">
        <w:rPr>
          <w:rFonts w:ascii="Times New Roman" w:hAnsi="Times New Roman" w:cs="Times New Roman"/>
          <w:sz w:val="24"/>
          <w:szCs w:val="24"/>
        </w:rPr>
        <w:t>standardised</w:t>
      </w:r>
      <w:proofErr w:type="spellEnd"/>
      <w:r w:rsidRPr="0078125B">
        <w:rPr>
          <w:rFonts w:ascii="Times New Roman" w:hAnsi="Times New Roman" w:cs="Times New Roman"/>
          <w:sz w:val="24"/>
          <w:szCs w:val="24"/>
        </w:rPr>
        <w:t xml:space="preserve"> licensing procedure (Noreika, 2026). Comparative advantage would imply that there is no problem with </w:t>
      </w:r>
      <w:proofErr w:type="spellStart"/>
      <w:r w:rsidRPr="0078125B">
        <w:rPr>
          <w:rFonts w:ascii="Times New Roman" w:hAnsi="Times New Roman" w:cs="Times New Roman"/>
          <w:sz w:val="24"/>
          <w:szCs w:val="24"/>
        </w:rPr>
        <w:t>specialising</w:t>
      </w:r>
      <w:proofErr w:type="spellEnd"/>
      <w:r w:rsidRPr="0078125B">
        <w:rPr>
          <w:rFonts w:ascii="Times New Roman" w:hAnsi="Times New Roman" w:cs="Times New Roman"/>
          <w:sz w:val="24"/>
          <w:szCs w:val="24"/>
        </w:rPr>
        <w:t xml:space="preserve">. In this case, </w:t>
      </w:r>
      <w:proofErr w:type="spellStart"/>
      <w:r w:rsidRPr="0078125B">
        <w:rPr>
          <w:rFonts w:ascii="Times New Roman" w:hAnsi="Times New Roman" w:cs="Times New Roman"/>
          <w:sz w:val="24"/>
          <w:szCs w:val="24"/>
        </w:rPr>
        <w:t>specialisation</w:t>
      </w:r>
      <w:proofErr w:type="spellEnd"/>
      <w:r w:rsidRPr="0078125B">
        <w:rPr>
          <w:rFonts w:ascii="Times New Roman" w:hAnsi="Times New Roman" w:cs="Times New Roman"/>
          <w:sz w:val="24"/>
          <w:szCs w:val="24"/>
        </w:rPr>
        <w:t xml:space="preserve"> was leveraged. It has a neo-Marxist twist as well. The reward for joining value chains was to climb the smile curve, but the core also controls who can climb: Washington's 50% subsidiary rule on export controls is one </w:t>
      </w:r>
      <w:r w:rsidR="00F546F8" w:rsidRPr="0078125B">
        <w:rPr>
          <w:rFonts w:ascii="Times New Roman" w:hAnsi="Times New Roman" w:cs="Times New Roman"/>
          <w:sz w:val="24"/>
          <w:szCs w:val="24"/>
        </w:rPr>
        <w:t>instance and</w:t>
      </w:r>
      <w:r w:rsidRPr="0078125B">
        <w:rPr>
          <w:rFonts w:ascii="Times New Roman" w:hAnsi="Times New Roman" w:cs="Times New Roman"/>
          <w:sz w:val="24"/>
          <w:szCs w:val="24"/>
        </w:rPr>
        <w:t xml:space="preserve"> </w:t>
      </w:r>
      <w:r w:rsidR="009F305E">
        <w:rPr>
          <w:rFonts w:ascii="Times New Roman" w:hAnsi="Times New Roman" w:cs="Times New Roman"/>
          <w:sz w:val="24"/>
          <w:szCs w:val="24"/>
        </w:rPr>
        <w:t>was</w:t>
      </w:r>
      <w:r w:rsidRPr="0078125B">
        <w:rPr>
          <w:rFonts w:ascii="Times New Roman" w:hAnsi="Times New Roman" w:cs="Times New Roman"/>
          <w:sz w:val="24"/>
          <w:szCs w:val="24"/>
        </w:rPr>
        <w:t xml:space="preserve"> also suspended for the duration of the truce (Coface, 2025). The broader lesson is that companies valued efficiencies, rather than risk.</w:t>
      </w:r>
    </w:p>
    <w:p w14:paraId="700B9BE5" w14:textId="77777777" w:rsidR="00C70645" w:rsidRDefault="007C5AA7" w:rsidP="00C70645">
      <w:pPr>
        <w:keepNext/>
        <w:spacing w:after="0" w:line="360" w:lineRule="auto"/>
        <w:contextualSpacing/>
      </w:pPr>
      <w:r>
        <w:rPr>
          <w:noProof/>
        </w:rPr>
        <w:lastRenderedPageBreak/>
        <w:drawing>
          <wp:inline distT="0" distB="0" distL="0" distR="0" wp14:anchorId="680F4EF1" wp14:editId="6E46E59B">
            <wp:extent cx="5943600" cy="3423920"/>
            <wp:effectExtent l="0" t="0" r="0" b="0"/>
            <wp:docPr id="2005874405" name="Picture 2" descr="Global rare earth production estimates USGS Mineral Commodity Summaries p. 143 (USGS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lobal rare earth production estimates USGS Mineral Commodity Summaries p. 143 (USGS 20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423920"/>
                    </a:xfrm>
                    <a:prstGeom prst="rect">
                      <a:avLst/>
                    </a:prstGeom>
                    <a:noFill/>
                    <a:ln>
                      <a:noFill/>
                    </a:ln>
                  </pic:spPr>
                </pic:pic>
              </a:graphicData>
            </a:graphic>
          </wp:inline>
        </w:drawing>
      </w:r>
    </w:p>
    <w:p w14:paraId="617E147E" w14:textId="2BB1D7BE" w:rsidR="007C5AA7" w:rsidRPr="00C70645" w:rsidRDefault="00C70645" w:rsidP="00C70645">
      <w:pPr>
        <w:pStyle w:val="Caption"/>
        <w:jc w:val="center"/>
        <w:rPr>
          <w:rFonts w:ascii="Times New Roman" w:hAnsi="Times New Roman" w:cs="Times New Roman"/>
          <w:sz w:val="24"/>
          <w:szCs w:val="24"/>
        </w:rPr>
      </w:pPr>
      <w:r w:rsidRPr="00C70645">
        <w:rPr>
          <w:sz w:val="24"/>
          <w:szCs w:val="24"/>
        </w:rPr>
        <w:t xml:space="preserve">Figure </w:t>
      </w:r>
      <w:r w:rsidRPr="00C70645">
        <w:rPr>
          <w:sz w:val="24"/>
          <w:szCs w:val="24"/>
        </w:rPr>
        <w:fldChar w:fldCharType="begin"/>
      </w:r>
      <w:r w:rsidRPr="00C70645">
        <w:rPr>
          <w:sz w:val="24"/>
          <w:szCs w:val="24"/>
        </w:rPr>
        <w:instrText xml:space="preserve"> SEQ Figure \* ARABIC </w:instrText>
      </w:r>
      <w:r w:rsidRPr="00C70645">
        <w:rPr>
          <w:sz w:val="24"/>
          <w:szCs w:val="24"/>
        </w:rPr>
        <w:fldChar w:fldCharType="separate"/>
      </w:r>
      <w:r w:rsidRPr="00C70645">
        <w:rPr>
          <w:noProof/>
          <w:sz w:val="24"/>
          <w:szCs w:val="24"/>
        </w:rPr>
        <w:t>1</w:t>
      </w:r>
      <w:r w:rsidRPr="00C70645">
        <w:rPr>
          <w:sz w:val="24"/>
          <w:szCs w:val="24"/>
        </w:rPr>
        <w:fldChar w:fldCharType="end"/>
      </w:r>
      <w:r w:rsidRPr="00C70645">
        <w:rPr>
          <w:sz w:val="24"/>
          <w:szCs w:val="24"/>
        </w:rPr>
        <w:t>: Share of global rare earth mine production by country, 2022 (</w:t>
      </w:r>
      <w:r w:rsidRPr="00C70645">
        <w:rPr>
          <w:rFonts w:ascii="Times New Roman" w:hAnsi="Times New Roman" w:cs="Times New Roman"/>
          <w:sz w:val="24"/>
          <w:szCs w:val="24"/>
        </w:rPr>
        <w:t>Livewire Markets, 2023</w:t>
      </w:r>
      <w:r w:rsidRPr="00C70645">
        <w:rPr>
          <w:sz w:val="24"/>
          <w:szCs w:val="24"/>
        </w:rPr>
        <w:t>)</w:t>
      </w:r>
    </w:p>
    <w:p w14:paraId="072C3F5C" w14:textId="77777777" w:rsidR="00D5016A" w:rsidRPr="0078125B" w:rsidRDefault="00D5016A" w:rsidP="007C5AA7">
      <w:pPr>
        <w:spacing w:after="0" w:line="360" w:lineRule="auto"/>
        <w:ind w:firstLine="720"/>
        <w:contextualSpacing/>
        <w:rPr>
          <w:rFonts w:ascii="Times New Roman" w:hAnsi="Times New Roman" w:cs="Times New Roman"/>
          <w:sz w:val="24"/>
          <w:szCs w:val="24"/>
        </w:rPr>
      </w:pPr>
      <w:r w:rsidRPr="0078125B">
        <w:rPr>
          <w:rFonts w:ascii="Times New Roman" w:hAnsi="Times New Roman" w:cs="Times New Roman"/>
          <w:sz w:val="24"/>
          <w:szCs w:val="24"/>
        </w:rPr>
        <w:t xml:space="preserve">However, the overall picture does not point to a </w:t>
      </w:r>
      <w:proofErr w:type="spellStart"/>
      <w:r w:rsidRPr="0078125B">
        <w:rPr>
          <w:rFonts w:ascii="Times New Roman" w:hAnsi="Times New Roman" w:cs="Times New Roman"/>
          <w:sz w:val="24"/>
          <w:szCs w:val="24"/>
        </w:rPr>
        <w:t>deglobalisation</w:t>
      </w:r>
      <w:proofErr w:type="spellEnd"/>
      <w:r w:rsidRPr="0078125B">
        <w:rPr>
          <w:rFonts w:ascii="Times New Roman" w:hAnsi="Times New Roman" w:cs="Times New Roman"/>
          <w:sz w:val="24"/>
          <w:szCs w:val="24"/>
        </w:rPr>
        <w:t xml:space="preserve"> narrative (Table 1). The US–China trade route dropped to 2.0% of world trade in 2025, from 2.7% in 2024, and only 4- 6% of world goods trade has been diversified away from geopolitical opponents in 10 years, primarily to India and Vietnam (Altman and Bastian, 2026). Chinese exports to the US dropped about 20%, but its total exports increased 5.5% to $3.77 trillion (WTO, 2026). Supply chains are not being laid off, but rather retrenched. </w:t>
      </w:r>
    </w:p>
    <w:p w14:paraId="33CE2D89" w14:textId="327649B3" w:rsidR="001F53AF" w:rsidRPr="0078125B" w:rsidRDefault="00D5016A" w:rsidP="007C5AA7">
      <w:pPr>
        <w:spacing w:after="0" w:line="360" w:lineRule="auto"/>
        <w:ind w:firstLine="720"/>
        <w:contextualSpacing/>
        <w:rPr>
          <w:rFonts w:ascii="Times New Roman" w:hAnsi="Times New Roman" w:cs="Times New Roman"/>
          <w:sz w:val="24"/>
          <w:szCs w:val="24"/>
        </w:rPr>
      </w:pPr>
      <w:r w:rsidRPr="0078125B">
        <w:rPr>
          <w:rFonts w:ascii="Times New Roman" w:hAnsi="Times New Roman" w:cs="Times New Roman"/>
          <w:sz w:val="24"/>
          <w:szCs w:val="24"/>
        </w:rPr>
        <w:t xml:space="preserve">That embarrasses both camps. The sceptics anticipated </w:t>
      </w:r>
      <w:proofErr w:type="spellStart"/>
      <w:r w:rsidRPr="0078125B">
        <w:rPr>
          <w:rFonts w:ascii="Times New Roman" w:hAnsi="Times New Roman" w:cs="Times New Roman"/>
          <w:sz w:val="24"/>
          <w:szCs w:val="24"/>
        </w:rPr>
        <w:t>regionalisation</w:t>
      </w:r>
      <w:proofErr w:type="spellEnd"/>
      <w:r w:rsidRPr="0078125B">
        <w:rPr>
          <w:rFonts w:ascii="Times New Roman" w:hAnsi="Times New Roman" w:cs="Times New Roman"/>
          <w:sz w:val="24"/>
          <w:szCs w:val="24"/>
        </w:rPr>
        <w:t xml:space="preserve"> in North America, Europe and East Asia in the triad; the average distance of goods that are now being made is a record, to the contrary (Altman and Bastian, 2026), and the processes of </w:t>
      </w:r>
      <w:proofErr w:type="spellStart"/>
      <w:r w:rsidRPr="0078125B">
        <w:rPr>
          <w:rFonts w:ascii="Times New Roman" w:hAnsi="Times New Roman" w:cs="Times New Roman"/>
          <w:sz w:val="24"/>
          <w:szCs w:val="24"/>
        </w:rPr>
        <w:t>globalisation</w:t>
      </w:r>
      <w:proofErr w:type="spellEnd"/>
      <w:r w:rsidRPr="0078125B">
        <w:rPr>
          <w:rFonts w:ascii="Times New Roman" w:hAnsi="Times New Roman" w:cs="Times New Roman"/>
          <w:sz w:val="24"/>
          <w:szCs w:val="24"/>
        </w:rPr>
        <w:t xml:space="preserve"> and </w:t>
      </w:r>
      <w:proofErr w:type="spellStart"/>
      <w:r w:rsidRPr="0078125B">
        <w:rPr>
          <w:rFonts w:ascii="Times New Roman" w:hAnsi="Times New Roman" w:cs="Times New Roman"/>
          <w:sz w:val="24"/>
          <w:szCs w:val="24"/>
        </w:rPr>
        <w:t>regionalisation</w:t>
      </w:r>
      <w:proofErr w:type="spellEnd"/>
      <w:r w:rsidRPr="0078125B">
        <w:rPr>
          <w:rFonts w:ascii="Times New Roman" w:hAnsi="Times New Roman" w:cs="Times New Roman"/>
          <w:sz w:val="24"/>
          <w:szCs w:val="24"/>
        </w:rPr>
        <w:t xml:space="preserve"> are concurrently taking place. Hyperglobalists wanted the states to be reduced to small cogs, but they ended up as gatekeepers. A logistics company commissions the report from DHL and the rerouting through Vietnam might conceal any further Chinese content. Trade and investment become more geopolitical. The fragmentation is partial. </w:t>
      </w:r>
      <w:r w:rsidR="007A51A5" w:rsidRPr="0078125B">
        <w:rPr>
          <w:rFonts w:ascii="Times New Roman" w:hAnsi="Times New Roman" w:cs="Times New Roman"/>
          <w:sz w:val="24"/>
          <w:szCs w:val="24"/>
        </w:rPr>
        <w:t xml:space="preserve"> </w:t>
      </w:r>
    </w:p>
    <w:p w14:paraId="5DE9925D" w14:textId="77777777" w:rsidR="00986B80" w:rsidRPr="0078125B" w:rsidRDefault="00986B80" w:rsidP="0078125B">
      <w:pPr>
        <w:keepNext/>
        <w:spacing w:after="0" w:line="360" w:lineRule="auto"/>
        <w:contextualSpacing/>
        <w:jc w:val="center"/>
        <w:rPr>
          <w:rFonts w:ascii="Times New Roman" w:hAnsi="Times New Roman" w:cs="Times New Roman"/>
          <w:sz w:val="24"/>
          <w:szCs w:val="24"/>
        </w:rPr>
      </w:pPr>
      <w:r w:rsidRPr="0078125B">
        <w:rPr>
          <w:rFonts w:ascii="Times New Roman" w:hAnsi="Times New Roman" w:cs="Times New Roman"/>
          <w:noProof/>
          <w:sz w:val="24"/>
          <w:szCs w:val="24"/>
        </w:rPr>
        <w:lastRenderedPageBreak/>
        <w:drawing>
          <wp:inline distT="0" distB="0" distL="0" distR="0" wp14:anchorId="4D7F262E" wp14:editId="34B9FEEF">
            <wp:extent cx="3076575" cy="3076575"/>
            <wp:effectExtent l="0" t="0" r="0" b="0"/>
            <wp:docPr id="1249851602" name="Picture 1" descr="Infographic: WTO: Chinese Exports to U.S. Expected to Drop by 77% | Sta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graphic: WTO: Chinese Exports to U.S. Expected to Drop by 77% | Statist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6575" cy="3076575"/>
                    </a:xfrm>
                    <a:prstGeom prst="rect">
                      <a:avLst/>
                    </a:prstGeom>
                    <a:noFill/>
                    <a:ln>
                      <a:noFill/>
                    </a:ln>
                  </pic:spPr>
                </pic:pic>
              </a:graphicData>
            </a:graphic>
          </wp:inline>
        </w:drawing>
      </w:r>
    </w:p>
    <w:p w14:paraId="0820238C" w14:textId="3CD3666B" w:rsidR="00986B80" w:rsidRPr="0078125B" w:rsidRDefault="00986B80" w:rsidP="0078125B">
      <w:pPr>
        <w:pStyle w:val="Caption"/>
        <w:spacing w:after="0" w:line="360" w:lineRule="auto"/>
        <w:contextualSpacing/>
        <w:jc w:val="center"/>
        <w:rPr>
          <w:rFonts w:ascii="Times New Roman" w:hAnsi="Times New Roman" w:cs="Times New Roman"/>
          <w:sz w:val="24"/>
          <w:szCs w:val="24"/>
          <w:highlight w:val="yellow"/>
        </w:rPr>
      </w:pPr>
      <w:r w:rsidRPr="0078125B">
        <w:rPr>
          <w:rFonts w:ascii="Times New Roman" w:hAnsi="Times New Roman" w:cs="Times New Roman"/>
          <w:sz w:val="24"/>
          <w:szCs w:val="24"/>
        </w:rPr>
        <w:t xml:space="preserve">Figure </w:t>
      </w:r>
      <w:r w:rsidRPr="0078125B">
        <w:rPr>
          <w:rFonts w:ascii="Times New Roman" w:hAnsi="Times New Roman" w:cs="Times New Roman"/>
          <w:sz w:val="24"/>
          <w:szCs w:val="24"/>
        </w:rPr>
        <w:fldChar w:fldCharType="begin"/>
      </w:r>
      <w:r w:rsidRPr="0078125B">
        <w:rPr>
          <w:rFonts w:ascii="Times New Roman" w:hAnsi="Times New Roman" w:cs="Times New Roman"/>
          <w:sz w:val="24"/>
          <w:szCs w:val="24"/>
        </w:rPr>
        <w:instrText xml:space="preserve"> SEQ Figure \* ARABIC </w:instrText>
      </w:r>
      <w:r w:rsidRPr="0078125B">
        <w:rPr>
          <w:rFonts w:ascii="Times New Roman" w:hAnsi="Times New Roman" w:cs="Times New Roman"/>
          <w:sz w:val="24"/>
          <w:szCs w:val="24"/>
        </w:rPr>
        <w:fldChar w:fldCharType="separate"/>
      </w:r>
      <w:r w:rsidR="00C70645">
        <w:rPr>
          <w:rFonts w:ascii="Times New Roman" w:hAnsi="Times New Roman" w:cs="Times New Roman"/>
          <w:noProof/>
          <w:sz w:val="24"/>
          <w:szCs w:val="24"/>
        </w:rPr>
        <w:t>2</w:t>
      </w:r>
      <w:r w:rsidRPr="0078125B">
        <w:rPr>
          <w:rFonts w:ascii="Times New Roman" w:hAnsi="Times New Roman" w:cs="Times New Roman"/>
          <w:sz w:val="24"/>
          <w:szCs w:val="24"/>
        </w:rPr>
        <w:fldChar w:fldCharType="end"/>
      </w:r>
      <w:r w:rsidRPr="0078125B">
        <w:rPr>
          <w:rFonts w:ascii="Times New Roman" w:hAnsi="Times New Roman" w:cs="Times New Roman"/>
          <w:sz w:val="24"/>
          <w:szCs w:val="24"/>
        </w:rPr>
        <w:t>: Projected percentage changes in Chinese merchandise imports and exports across regions in 2025. Source: World Trade Organization (WTO), as cited in Fleck (2025).</w:t>
      </w:r>
    </w:p>
    <w:p w14:paraId="07B59DB1" w14:textId="0E933C8F" w:rsidR="001F53AF" w:rsidRPr="0078125B" w:rsidRDefault="001F53AF" w:rsidP="0078125B">
      <w:pPr>
        <w:spacing w:after="0" w:line="360" w:lineRule="auto"/>
        <w:contextualSpacing/>
        <w:rPr>
          <w:rFonts w:ascii="Times New Roman" w:hAnsi="Times New Roman" w:cs="Times New Roman"/>
          <w:sz w:val="24"/>
          <w:szCs w:val="24"/>
        </w:rPr>
      </w:pPr>
    </w:p>
    <w:p w14:paraId="0E5A3D40" w14:textId="55BCE9F8" w:rsidR="007A51A5" w:rsidRPr="0078125B" w:rsidRDefault="007A51A5" w:rsidP="0078125B">
      <w:pPr>
        <w:pStyle w:val="Caption"/>
        <w:keepNext/>
        <w:spacing w:after="0" w:line="360" w:lineRule="auto"/>
        <w:contextualSpacing/>
        <w:jc w:val="center"/>
        <w:rPr>
          <w:rFonts w:ascii="Times New Roman" w:hAnsi="Times New Roman" w:cs="Times New Roman"/>
          <w:sz w:val="24"/>
          <w:szCs w:val="24"/>
        </w:rPr>
      </w:pPr>
      <w:r w:rsidRPr="0078125B">
        <w:rPr>
          <w:rFonts w:ascii="Times New Roman" w:hAnsi="Times New Roman" w:cs="Times New Roman"/>
          <w:sz w:val="24"/>
          <w:szCs w:val="24"/>
        </w:rPr>
        <w:t xml:space="preserve">Table </w:t>
      </w:r>
      <w:r w:rsidRPr="0078125B">
        <w:rPr>
          <w:rFonts w:ascii="Times New Roman" w:hAnsi="Times New Roman" w:cs="Times New Roman"/>
          <w:sz w:val="24"/>
          <w:szCs w:val="24"/>
        </w:rPr>
        <w:fldChar w:fldCharType="begin"/>
      </w:r>
      <w:r w:rsidRPr="0078125B">
        <w:rPr>
          <w:rFonts w:ascii="Times New Roman" w:hAnsi="Times New Roman" w:cs="Times New Roman"/>
          <w:sz w:val="24"/>
          <w:szCs w:val="24"/>
        </w:rPr>
        <w:instrText xml:space="preserve"> SEQ Table \* ARABIC </w:instrText>
      </w:r>
      <w:r w:rsidRPr="0078125B">
        <w:rPr>
          <w:rFonts w:ascii="Times New Roman" w:hAnsi="Times New Roman" w:cs="Times New Roman"/>
          <w:sz w:val="24"/>
          <w:szCs w:val="24"/>
        </w:rPr>
        <w:fldChar w:fldCharType="separate"/>
      </w:r>
      <w:r w:rsidRPr="0078125B">
        <w:rPr>
          <w:rFonts w:ascii="Times New Roman" w:hAnsi="Times New Roman" w:cs="Times New Roman"/>
          <w:noProof/>
          <w:sz w:val="24"/>
          <w:szCs w:val="24"/>
        </w:rPr>
        <w:t>1</w:t>
      </w:r>
      <w:r w:rsidRPr="0078125B">
        <w:rPr>
          <w:rFonts w:ascii="Times New Roman" w:hAnsi="Times New Roman" w:cs="Times New Roman"/>
          <w:sz w:val="24"/>
          <w:szCs w:val="24"/>
        </w:rPr>
        <w:fldChar w:fldCharType="end"/>
      </w:r>
      <w:r w:rsidRPr="0078125B">
        <w:rPr>
          <w:rFonts w:ascii="Times New Roman" w:hAnsi="Times New Roman" w:cs="Times New Roman"/>
          <w:sz w:val="24"/>
          <w:szCs w:val="24"/>
        </w:rPr>
        <w:t xml:space="preserve">: One year, two readings of </w:t>
      </w:r>
      <w:proofErr w:type="spellStart"/>
      <w:r w:rsidRPr="0078125B">
        <w:rPr>
          <w:rFonts w:ascii="Times New Roman" w:hAnsi="Times New Roman" w:cs="Times New Roman"/>
          <w:sz w:val="24"/>
          <w:szCs w:val="24"/>
        </w:rPr>
        <w:t>globalisation</w:t>
      </w:r>
      <w:proofErr w:type="spellEnd"/>
      <w:r w:rsidRPr="0078125B">
        <w:rPr>
          <w:rFonts w:ascii="Times New Roman" w:hAnsi="Times New Roman" w:cs="Times New Roman"/>
          <w:sz w:val="24"/>
          <w:szCs w:val="24"/>
        </w:rPr>
        <w:t>, 2025–26</w:t>
      </w:r>
    </w:p>
    <w:tbl>
      <w:tblPr>
        <w:tblStyle w:val="TableGrid"/>
        <w:tblW w:w="0" w:type="auto"/>
        <w:tblLayout w:type="fixed"/>
        <w:tblLook w:val="0420" w:firstRow="1" w:lastRow="0" w:firstColumn="0" w:lastColumn="0" w:noHBand="0" w:noVBand="1"/>
      </w:tblPr>
      <w:tblGrid>
        <w:gridCol w:w="1747"/>
        <w:gridCol w:w="3455"/>
        <w:gridCol w:w="1800"/>
        <w:gridCol w:w="2358"/>
      </w:tblGrid>
      <w:tr w:rsidR="001F53AF" w:rsidRPr="0078125B" w14:paraId="3D7B658A" w14:textId="77777777" w:rsidTr="0078125B">
        <w:trPr>
          <w:tblHeader/>
        </w:trPr>
        <w:tc>
          <w:tcPr>
            <w:tcW w:w="1747" w:type="dxa"/>
            <w:shd w:val="clear" w:color="auto" w:fill="156082" w:themeFill="accent1"/>
          </w:tcPr>
          <w:p w14:paraId="5D6F3643" w14:textId="77777777" w:rsidR="001F53AF" w:rsidRPr="0078125B" w:rsidRDefault="00000000" w:rsidP="0078125B">
            <w:pPr>
              <w:spacing w:after="0" w:line="360" w:lineRule="auto"/>
              <w:contextualSpacing/>
              <w:rPr>
                <w:rFonts w:ascii="Times New Roman" w:hAnsi="Times New Roman" w:cs="Times New Roman"/>
                <w:color w:val="FFFFFF" w:themeColor="background1"/>
                <w:sz w:val="24"/>
                <w:szCs w:val="24"/>
              </w:rPr>
            </w:pPr>
            <w:r w:rsidRPr="0078125B">
              <w:rPr>
                <w:rFonts w:ascii="Times New Roman" w:hAnsi="Times New Roman" w:cs="Times New Roman"/>
                <w:color w:val="FFFFFF" w:themeColor="background1"/>
                <w:sz w:val="24"/>
                <w:szCs w:val="24"/>
              </w:rPr>
              <w:t>Reading</w:t>
            </w:r>
          </w:p>
        </w:tc>
        <w:tc>
          <w:tcPr>
            <w:tcW w:w="3455" w:type="dxa"/>
            <w:shd w:val="clear" w:color="auto" w:fill="156082" w:themeFill="accent1"/>
          </w:tcPr>
          <w:p w14:paraId="0E819391" w14:textId="77777777" w:rsidR="001F53AF" w:rsidRPr="0078125B" w:rsidRDefault="00000000" w:rsidP="0078125B">
            <w:pPr>
              <w:spacing w:after="0" w:line="360" w:lineRule="auto"/>
              <w:contextualSpacing/>
              <w:rPr>
                <w:rFonts w:ascii="Times New Roman" w:hAnsi="Times New Roman" w:cs="Times New Roman"/>
                <w:color w:val="FFFFFF" w:themeColor="background1"/>
                <w:sz w:val="24"/>
                <w:szCs w:val="24"/>
              </w:rPr>
            </w:pPr>
            <w:r w:rsidRPr="0078125B">
              <w:rPr>
                <w:rFonts w:ascii="Times New Roman" w:hAnsi="Times New Roman" w:cs="Times New Roman"/>
                <w:color w:val="FFFFFF" w:themeColor="background1"/>
                <w:sz w:val="24"/>
                <w:szCs w:val="24"/>
              </w:rPr>
              <w:t>Indicator</w:t>
            </w:r>
          </w:p>
        </w:tc>
        <w:tc>
          <w:tcPr>
            <w:tcW w:w="1800" w:type="dxa"/>
            <w:shd w:val="clear" w:color="auto" w:fill="156082" w:themeFill="accent1"/>
          </w:tcPr>
          <w:p w14:paraId="1C06D262" w14:textId="77777777" w:rsidR="001F53AF" w:rsidRPr="0078125B" w:rsidRDefault="00000000" w:rsidP="0078125B">
            <w:pPr>
              <w:spacing w:after="0" w:line="360" w:lineRule="auto"/>
              <w:contextualSpacing/>
              <w:rPr>
                <w:rFonts w:ascii="Times New Roman" w:hAnsi="Times New Roman" w:cs="Times New Roman"/>
                <w:color w:val="FFFFFF" w:themeColor="background1"/>
                <w:sz w:val="24"/>
                <w:szCs w:val="24"/>
              </w:rPr>
            </w:pPr>
            <w:r w:rsidRPr="0078125B">
              <w:rPr>
                <w:rFonts w:ascii="Times New Roman" w:hAnsi="Times New Roman" w:cs="Times New Roman"/>
                <w:color w:val="FFFFFF" w:themeColor="background1"/>
                <w:sz w:val="24"/>
                <w:szCs w:val="24"/>
              </w:rPr>
              <w:t>Figure</w:t>
            </w:r>
          </w:p>
        </w:tc>
        <w:tc>
          <w:tcPr>
            <w:tcW w:w="2358" w:type="dxa"/>
            <w:shd w:val="clear" w:color="auto" w:fill="156082" w:themeFill="accent1"/>
          </w:tcPr>
          <w:p w14:paraId="4CC1AFA0" w14:textId="77777777" w:rsidR="001F53AF" w:rsidRPr="0078125B" w:rsidRDefault="00000000" w:rsidP="0078125B">
            <w:pPr>
              <w:spacing w:after="0" w:line="360" w:lineRule="auto"/>
              <w:contextualSpacing/>
              <w:rPr>
                <w:rFonts w:ascii="Times New Roman" w:hAnsi="Times New Roman" w:cs="Times New Roman"/>
                <w:color w:val="FFFFFF" w:themeColor="background1"/>
                <w:sz w:val="24"/>
                <w:szCs w:val="24"/>
              </w:rPr>
            </w:pPr>
            <w:r w:rsidRPr="0078125B">
              <w:rPr>
                <w:rFonts w:ascii="Times New Roman" w:hAnsi="Times New Roman" w:cs="Times New Roman"/>
                <w:color w:val="FFFFFF" w:themeColor="background1"/>
                <w:sz w:val="24"/>
                <w:szCs w:val="24"/>
              </w:rPr>
              <w:t>Source</w:t>
            </w:r>
          </w:p>
        </w:tc>
      </w:tr>
      <w:tr w:rsidR="001F53AF" w:rsidRPr="0078125B" w14:paraId="3B82B473" w14:textId="77777777" w:rsidTr="0078125B">
        <w:tc>
          <w:tcPr>
            <w:tcW w:w="1747" w:type="dxa"/>
            <w:shd w:val="clear" w:color="auto" w:fill="C1E4F5" w:themeFill="accent1" w:themeFillTint="33"/>
          </w:tcPr>
          <w:p w14:paraId="41F345DC" w14:textId="77777777" w:rsidR="001F53AF" w:rsidRPr="0078125B" w:rsidRDefault="00000000" w:rsidP="0078125B">
            <w:pPr>
              <w:spacing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Fragmentation</w:t>
            </w:r>
          </w:p>
        </w:tc>
        <w:tc>
          <w:tcPr>
            <w:tcW w:w="3455" w:type="dxa"/>
            <w:shd w:val="clear" w:color="auto" w:fill="C1E4F5" w:themeFill="accent1" w:themeFillTint="33"/>
          </w:tcPr>
          <w:p w14:paraId="2CCBE3E3" w14:textId="77777777" w:rsidR="001F53AF" w:rsidRPr="0078125B" w:rsidRDefault="00000000" w:rsidP="0078125B">
            <w:pPr>
              <w:spacing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US–China share of world trade</w:t>
            </w:r>
          </w:p>
        </w:tc>
        <w:tc>
          <w:tcPr>
            <w:tcW w:w="1800" w:type="dxa"/>
            <w:shd w:val="clear" w:color="auto" w:fill="C1E4F5" w:themeFill="accent1" w:themeFillTint="33"/>
          </w:tcPr>
          <w:p w14:paraId="24F24293" w14:textId="77777777" w:rsidR="001F53AF" w:rsidRPr="0078125B" w:rsidRDefault="00000000" w:rsidP="0078125B">
            <w:pPr>
              <w:spacing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2.7% (2024) to 2.0% (2025)</w:t>
            </w:r>
          </w:p>
        </w:tc>
        <w:tc>
          <w:tcPr>
            <w:tcW w:w="2358" w:type="dxa"/>
            <w:shd w:val="clear" w:color="auto" w:fill="C1E4F5" w:themeFill="accent1" w:themeFillTint="33"/>
          </w:tcPr>
          <w:p w14:paraId="7CF0C356" w14:textId="2EE65510" w:rsidR="001F53AF" w:rsidRPr="0078125B" w:rsidRDefault="00B2707E" w:rsidP="0078125B">
            <w:pPr>
              <w:spacing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DHL (2026)</w:t>
            </w:r>
          </w:p>
        </w:tc>
      </w:tr>
      <w:tr w:rsidR="001F53AF" w:rsidRPr="0078125B" w14:paraId="08791746" w14:textId="77777777" w:rsidTr="0078125B">
        <w:tc>
          <w:tcPr>
            <w:tcW w:w="1747" w:type="dxa"/>
            <w:shd w:val="clear" w:color="auto" w:fill="C1E4F5" w:themeFill="accent1" w:themeFillTint="33"/>
          </w:tcPr>
          <w:p w14:paraId="20518382" w14:textId="77777777" w:rsidR="001F53AF" w:rsidRPr="0078125B" w:rsidRDefault="00000000" w:rsidP="0078125B">
            <w:pPr>
              <w:spacing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Fragmentation</w:t>
            </w:r>
          </w:p>
        </w:tc>
        <w:tc>
          <w:tcPr>
            <w:tcW w:w="3455" w:type="dxa"/>
            <w:shd w:val="clear" w:color="auto" w:fill="C1E4F5" w:themeFill="accent1" w:themeFillTint="33"/>
          </w:tcPr>
          <w:p w14:paraId="722EE2FF" w14:textId="77777777" w:rsidR="001F53AF" w:rsidRPr="0078125B" w:rsidRDefault="00000000" w:rsidP="0078125B">
            <w:pPr>
              <w:spacing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China’s exports to the US, 2025</w:t>
            </w:r>
          </w:p>
        </w:tc>
        <w:tc>
          <w:tcPr>
            <w:tcW w:w="1800" w:type="dxa"/>
            <w:shd w:val="clear" w:color="auto" w:fill="C1E4F5" w:themeFill="accent1" w:themeFillTint="33"/>
          </w:tcPr>
          <w:p w14:paraId="0BC74980" w14:textId="77777777" w:rsidR="001F53AF" w:rsidRPr="0078125B" w:rsidRDefault="00000000" w:rsidP="0078125B">
            <w:pPr>
              <w:spacing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About −20%</w:t>
            </w:r>
          </w:p>
        </w:tc>
        <w:tc>
          <w:tcPr>
            <w:tcW w:w="2358" w:type="dxa"/>
            <w:shd w:val="clear" w:color="auto" w:fill="C1E4F5" w:themeFill="accent1" w:themeFillTint="33"/>
          </w:tcPr>
          <w:p w14:paraId="775B6686" w14:textId="77777777" w:rsidR="001F53AF" w:rsidRPr="0078125B" w:rsidRDefault="00000000" w:rsidP="0078125B">
            <w:pPr>
              <w:spacing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WTO (2026)</w:t>
            </w:r>
          </w:p>
        </w:tc>
      </w:tr>
      <w:tr w:rsidR="001F53AF" w:rsidRPr="0078125B" w14:paraId="6CD0B5BB" w14:textId="77777777" w:rsidTr="0078125B">
        <w:tc>
          <w:tcPr>
            <w:tcW w:w="1747" w:type="dxa"/>
            <w:shd w:val="clear" w:color="auto" w:fill="C1E4F5" w:themeFill="accent1" w:themeFillTint="33"/>
          </w:tcPr>
          <w:p w14:paraId="287E7DD2" w14:textId="77777777" w:rsidR="001F53AF" w:rsidRPr="0078125B" w:rsidRDefault="00000000" w:rsidP="0078125B">
            <w:pPr>
              <w:spacing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Fragmentation</w:t>
            </w:r>
          </w:p>
        </w:tc>
        <w:tc>
          <w:tcPr>
            <w:tcW w:w="3455" w:type="dxa"/>
            <w:shd w:val="clear" w:color="auto" w:fill="C1E4F5" w:themeFill="accent1" w:themeFillTint="33"/>
          </w:tcPr>
          <w:p w14:paraId="17ADAD45" w14:textId="77777777" w:rsidR="001F53AF" w:rsidRPr="0078125B" w:rsidRDefault="00000000" w:rsidP="0078125B">
            <w:pPr>
              <w:spacing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China’s share of rare-earth refining</w:t>
            </w:r>
          </w:p>
        </w:tc>
        <w:tc>
          <w:tcPr>
            <w:tcW w:w="1800" w:type="dxa"/>
            <w:shd w:val="clear" w:color="auto" w:fill="C1E4F5" w:themeFill="accent1" w:themeFillTint="33"/>
          </w:tcPr>
          <w:p w14:paraId="7CDCEA95" w14:textId="77777777" w:rsidR="001F53AF" w:rsidRPr="0078125B" w:rsidRDefault="00000000" w:rsidP="0078125B">
            <w:pPr>
              <w:spacing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Nearly 90%</w:t>
            </w:r>
          </w:p>
        </w:tc>
        <w:tc>
          <w:tcPr>
            <w:tcW w:w="2358" w:type="dxa"/>
            <w:shd w:val="clear" w:color="auto" w:fill="C1E4F5" w:themeFill="accent1" w:themeFillTint="33"/>
          </w:tcPr>
          <w:p w14:paraId="42205103" w14:textId="77777777" w:rsidR="001F53AF" w:rsidRPr="0078125B" w:rsidRDefault="00000000" w:rsidP="0078125B">
            <w:pPr>
              <w:spacing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Coface (2025)</w:t>
            </w:r>
          </w:p>
        </w:tc>
      </w:tr>
      <w:tr w:rsidR="001F53AF" w:rsidRPr="0078125B" w14:paraId="6120DBFC" w14:textId="77777777" w:rsidTr="0078125B">
        <w:tc>
          <w:tcPr>
            <w:tcW w:w="1747" w:type="dxa"/>
            <w:shd w:val="clear" w:color="auto" w:fill="C1E4F5" w:themeFill="accent1" w:themeFillTint="33"/>
          </w:tcPr>
          <w:p w14:paraId="1DD8B861" w14:textId="77777777" w:rsidR="001F53AF" w:rsidRPr="0078125B" w:rsidRDefault="00000000" w:rsidP="0078125B">
            <w:pPr>
              <w:spacing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Resilience</w:t>
            </w:r>
          </w:p>
        </w:tc>
        <w:tc>
          <w:tcPr>
            <w:tcW w:w="3455" w:type="dxa"/>
            <w:shd w:val="clear" w:color="auto" w:fill="C1E4F5" w:themeFill="accent1" w:themeFillTint="33"/>
          </w:tcPr>
          <w:p w14:paraId="1E261504" w14:textId="77777777" w:rsidR="001F53AF" w:rsidRPr="0078125B" w:rsidRDefault="00000000" w:rsidP="0078125B">
            <w:pPr>
              <w:spacing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Flows shifted from rivals, past decade</w:t>
            </w:r>
          </w:p>
        </w:tc>
        <w:tc>
          <w:tcPr>
            <w:tcW w:w="1800" w:type="dxa"/>
            <w:shd w:val="clear" w:color="auto" w:fill="C1E4F5" w:themeFill="accent1" w:themeFillTint="33"/>
          </w:tcPr>
          <w:p w14:paraId="360101A3" w14:textId="77777777" w:rsidR="001F53AF" w:rsidRPr="0078125B" w:rsidRDefault="00000000" w:rsidP="0078125B">
            <w:pPr>
              <w:spacing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4–6%</w:t>
            </w:r>
          </w:p>
        </w:tc>
        <w:tc>
          <w:tcPr>
            <w:tcW w:w="2358" w:type="dxa"/>
            <w:shd w:val="clear" w:color="auto" w:fill="C1E4F5" w:themeFill="accent1" w:themeFillTint="33"/>
          </w:tcPr>
          <w:p w14:paraId="5FA8931E" w14:textId="77777777" w:rsidR="001F53AF" w:rsidRPr="0078125B" w:rsidRDefault="00000000" w:rsidP="0078125B">
            <w:pPr>
              <w:spacing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Altman and Bastian (2026)</w:t>
            </w:r>
          </w:p>
        </w:tc>
      </w:tr>
      <w:tr w:rsidR="001F53AF" w:rsidRPr="0078125B" w14:paraId="438DAA94" w14:textId="77777777" w:rsidTr="0078125B">
        <w:tc>
          <w:tcPr>
            <w:tcW w:w="1747" w:type="dxa"/>
            <w:shd w:val="clear" w:color="auto" w:fill="C1E4F5" w:themeFill="accent1" w:themeFillTint="33"/>
          </w:tcPr>
          <w:p w14:paraId="44A43694" w14:textId="77777777" w:rsidR="001F53AF" w:rsidRPr="0078125B" w:rsidRDefault="00000000" w:rsidP="0078125B">
            <w:pPr>
              <w:spacing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Resilience</w:t>
            </w:r>
          </w:p>
        </w:tc>
        <w:tc>
          <w:tcPr>
            <w:tcW w:w="3455" w:type="dxa"/>
            <w:shd w:val="clear" w:color="auto" w:fill="C1E4F5" w:themeFill="accent1" w:themeFillTint="33"/>
          </w:tcPr>
          <w:p w14:paraId="6ACE920C" w14:textId="77777777" w:rsidR="001F53AF" w:rsidRPr="0078125B" w:rsidRDefault="00000000" w:rsidP="0078125B">
            <w:pPr>
              <w:spacing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2026 goods-trade forecast</w:t>
            </w:r>
          </w:p>
        </w:tc>
        <w:tc>
          <w:tcPr>
            <w:tcW w:w="1800" w:type="dxa"/>
            <w:shd w:val="clear" w:color="auto" w:fill="C1E4F5" w:themeFill="accent1" w:themeFillTint="33"/>
          </w:tcPr>
          <w:p w14:paraId="11C5BEBD" w14:textId="77777777" w:rsidR="001F53AF" w:rsidRPr="0078125B" w:rsidRDefault="00000000" w:rsidP="0078125B">
            <w:pPr>
              <w:spacing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3.9% (March: 1.9%)</w:t>
            </w:r>
          </w:p>
        </w:tc>
        <w:tc>
          <w:tcPr>
            <w:tcW w:w="2358" w:type="dxa"/>
            <w:shd w:val="clear" w:color="auto" w:fill="C1E4F5" w:themeFill="accent1" w:themeFillTint="33"/>
          </w:tcPr>
          <w:p w14:paraId="6A330D2F" w14:textId="77777777" w:rsidR="001F53AF" w:rsidRPr="0078125B" w:rsidRDefault="00000000" w:rsidP="0078125B">
            <w:pPr>
              <w:spacing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Associated Press (2026)</w:t>
            </w:r>
          </w:p>
        </w:tc>
      </w:tr>
    </w:tbl>
    <w:p w14:paraId="175EF062" w14:textId="77777777" w:rsidR="00015FDE" w:rsidRDefault="00015FDE" w:rsidP="0078125B">
      <w:pPr>
        <w:pStyle w:val="Heading2"/>
        <w:spacing w:before="0" w:after="0" w:line="360" w:lineRule="auto"/>
        <w:contextualSpacing/>
        <w:rPr>
          <w:rFonts w:ascii="Times New Roman" w:hAnsi="Times New Roman" w:cs="Times New Roman"/>
          <w:sz w:val="24"/>
          <w:szCs w:val="24"/>
        </w:rPr>
      </w:pPr>
    </w:p>
    <w:p w14:paraId="183A6E34" w14:textId="5A0E5D70" w:rsidR="001F53AF" w:rsidRPr="0078125B" w:rsidRDefault="00000000" w:rsidP="0078125B">
      <w:pPr>
        <w:pStyle w:val="Heading2"/>
        <w:spacing w:before="0"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Hegemony</w:t>
      </w:r>
      <w:r w:rsidR="00D6513A" w:rsidRPr="0078125B">
        <w:rPr>
          <w:rFonts w:ascii="Times New Roman" w:hAnsi="Times New Roman" w:cs="Times New Roman"/>
          <w:sz w:val="24"/>
          <w:szCs w:val="24"/>
        </w:rPr>
        <w:t xml:space="preserve">: Who </w:t>
      </w:r>
      <w:r w:rsidR="00D6513A">
        <w:rPr>
          <w:rFonts w:ascii="Times New Roman" w:hAnsi="Times New Roman" w:cs="Times New Roman"/>
          <w:sz w:val="24"/>
          <w:szCs w:val="24"/>
        </w:rPr>
        <w:t>i</w:t>
      </w:r>
      <w:r w:rsidR="00D6513A" w:rsidRPr="0078125B">
        <w:rPr>
          <w:rFonts w:ascii="Times New Roman" w:hAnsi="Times New Roman" w:cs="Times New Roman"/>
          <w:sz w:val="24"/>
          <w:szCs w:val="24"/>
        </w:rPr>
        <w:t xml:space="preserve">s Holding </w:t>
      </w:r>
      <w:r w:rsidR="00D6513A">
        <w:rPr>
          <w:rFonts w:ascii="Times New Roman" w:hAnsi="Times New Roman" w:cs="Times New Roman"/>
          <w:sz w:val="24"/>
          <w:szCs w:val="24"/>
        </w:rPr>
        <w:t>u</w:t>
      </w:r>
      <w:r w:rsidR="00D6513A" w:rsidRPr="0078125B">
        <w:rPr>
          <w:rFonts w:ascii="Times New Roman" w:hAnsi="Times New Roman" w:cs="Times New Roman"/>
          <w:sz w:val="24"/>
          <w:szCs w:val="24"/>
        </w:rPr>
        <w:t xml:space="preserve">p </w:t>
      </w:r>
      <w:r w:rsidR="00D6513A">
        <w:rPr>
          <w:rFonts w:ascii="Times New Roman" w:hAnsi="Times New Roman" w:cs="Times New Roman"/>
          <w:sz w:val="24"/>
          <w:szCs w:val="24"/>
        </w:rPr>
        <w:t>t</w:t>
      </w:r>
      <w:r w:rsidR="00D6513A" w:rsidRPr="0078125B">
        <w:rPr>
          <w:rFonts w:ascii="Times New Roman" w:hAnsi="Times New Roman" w:cs="Times New Roman"/>
          <w:sz w:val="24"/>
          <w:szCs w:val="24"/>
        </w:rPr>
        <w:t>he Rules</w:t>
      </w:r>
    </w:p>
    <w:p w14:paraId="2A5CC2E8" w14:textId="400C92E5" w:rsidR="00B2707E" w:rsidRPr="0078125B" w:rsidRDefault="008F4CBF" w:rsidP="0078125B">
      <w:pPr>
        <w:spacing w:after="0" w:line="360" w:lineRule="auto"/>
        <w:ind w:firstLine="720"/>
        <w:contextualSpacing/>
        <w:rPr>
          <w:rFonts w:ascii="Times New Roman" w:hAnsi="Times New Roman" w:cs="Times New Roman"/>
          <w:sz w:val="24"/>
          <w:szCs w:val="24"/>
          <w:highlight w:val="yellow"/>
        </w:rPr>
      </w:pPr>
      <w:r w:rsidRPr="0078125B">
        <w:rPr>
          <w:rFonts w:ascii="Times New Roman" w:hAnsi="Times New Roman" w:cs="Times New Roman"/>
          <w:sz w:val="24"/>
          <w:szCs w:val="24"/>
        </w:rPr>
        <w:t xml:space="preserve">Hegemonic power is based on four resources which include control of the markets, capital, raw materials and competitive superiority. The US currently exports approximately $2.18 trillion in goods, which is around $1.6 trillion less than that of China (Statista, 2026), which has </w:t>
      </w:r>
      <w:r w:rsidRPr="0078125B">
        <w:rPr>
          <w:rFonts w:ascii="Times New Roman" w:hAnsi="Times New Roman" w:cs="Times New Roman"/>
          <w:sz w:val="24"/>
          <w:szCs w:val="24"/>
        </w:rPr>
        <w:lastRenderedPageBreak/>
        <w:t xml:space="preserve">been averaging 14.4% of world exports over the last three years (WTO, 2026). The third resource is control of processing provided by China. The battleground is competitive superiority: during the first half of 2026, trade in AI-enabled merchandise like semiconductors and servers increased 67% per annum (Associated Press, 2026), and so now chips, rather than cotton, are the battleground. </w:t>
      </w:r>
      <w:r w:rsidR="00931BFB" w:rsidRPr="0078125B">
        <w:rPr>
          <w:rFonts w:ascii="Times New Roman" w:hAnsi="Times New Roman" w:cs="Times New Roman"/>
          <w:sz w:val="24"/>
          <w:szCs w:val="24"/>
        </w:rPr>
        <w:t xml:space="preserve"> </w:t>
      </w:r>
    </w:p>
    <w:p w14:paraId="342DCE1D" w14:textId="77777777" w:rsidR="003531F4" w:rsidRPr="0078125B" w:rsidRDefault="00FE19E1" w:rsidP="0078125B">
      <w:pPr>
        <w:keepNext/>
        <w:spacing w:after="0" w:line="360" w:lineRule="auto"/>
        <w:contextualSpacing/>
        <w:rPr>
          <w:rFonts w:ascii="Times New Roman" w:hAnsi="Times New Roman" w:cs="Times New Roman"/>
          <w:sz w:val="24"/>
          <w:szCs w:val="24"/>
        </w:rPr>
      </w:pPr>
      <w:r w:rsidRPr="0078125B">
        <w:rPr>
          <w:rFonts w:ascii="Times New Roman" w:hAnsi="Times New Roman" w:cs="Times New Roman"/>
          <w:noProof/>
          <w:sz w:val="24"/>
          <w:szCs w:val="24"/>
        </w:rPr>
        <w:drawing>
          <wp:inline distT="0" distB="0" distL="0" distR="0" wp14:anchorId="6271FA5F" wp14:editId="4512D760">
            <wp:extent cx="5943600" cy="4576445"/>
            <wp:effectExtent l="0" t="0" r="0" b="0"/>
            <wp:docPr id="207012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24376" name="Picture 2070124376"/>
                    <pic:cNvPicPr/>
                  </pic:nvPicPr>
                  <pic:blipFill>
                    <a:blip r:embed="rId9">
                      <a:extLst>
                        <a:ext uri="{28A0092B-C50C-407E-A947-70E740481C1C}">
                          <a14:useLocalDpi xmlns:a14="http://schemas.microsoft.com/office/drawing/2010/main" val="0"/>
                        </a:ext>
                      </a:extLst>
                    </a:blip>
                    <a:stretch>
                      <a:fillRect/>
                    </a:stretch>
                  </pic:blipFill>
                  <pic:spPr>
                    <a:xfrm>
                      <a:off x="0" y="0"/>
                      <a:ext cx="5943600" cy="4576445"/>
                    </a:xfrm>
                    <a:prstGeom prst="rect">
                      <a:avLst/>
                    </a:prstGeom>
                  </pic:spPr>
                </pic:pic>
              </a:graphicData>
            </a:graphic>
          </wp:inline>
        </w:drawing>
      </w:r>
    </w:p>
    <w:p w14:paraId="62932176" w14:textId="3B37A731" w:rsidR="00FE19E1" w:rsidRPr="0078125B" w:rsidRDefault="003531F4" w:rsidP="0078125B">
      <w:pPr>
        <w:pStyle w:val="Caption"/>
        <w:spacing w:after="0" w:line="360" w:lineRule="auto"/>
        <w:contextualSpacing/>
        <w:jc w:val="center"/>
        <w:rPr>
          <w:rFonts w:ascii="Times New Roman" w:hAnsi="Times New Roman" w:cs="Times New Roman"/>
          <w:sz w:val="24"/>
          <w:szCs w:val="24"/>
        </w:rPr>
      </w:pPr>
      <w:r w:rsidRPr="0078125B">
        <w:rPr>
          <w:rFonts w:ascii="Times New Roman" w:hAnsi="Times New Roman" w:cs="Times New Roman"/>
          <w:sz w:val="24"/>
          <w:szCs w:val="24"/>
        </w:rPr>
        <w:t xml:space="preserve">Figure </w:t>
      </w:r>
      <w:r w:rsidRPr="0078125B">
        <w:rPr>
          <w:rFonts w:ascii="Times New Roman" w:hAnsi="Times New Roman" w:cs="Times New Roman"/>
          <w:sz w:val="24"/>
          <w:szCs w:val="24"/>
        </w:rPr>
        <w:fldChar w:fldCharType="begin"/>
      </w:r>
      <w:r w:rsidRPr="0078125B">
        <w:rPr>
          <w:rFonts w:ascii="Times New Roman" w:hAnsi="Times New Roman" w:cs="Times New Roman"/>
          <w:sz w:val="24"/>
          <w:szCs w:val="24"/>
        </w:rPr>
        <w:instrText xml:space="preserve"> SEQ Figure \* ARABIC </w:instrText>
      </w:r>
      <w:r w:rsidRPr="0078125B">
        <w:rPr>
          <w:rFonts w:ascii="Times New Roman" w:hAnsi="Times New Roman" w:cs="Times New Roman"/>
          <w:sz w:val="24"/>
          <w:szCs w:val="24"/>
        </w:rPr>
        <w:fldChar w:fldCharType="separate"/>
      </w:r>
      <w:r w:rsidR="00C70645">
        <w:rPr>
          <w:rFonts w:ascii="Times New Roman" w:hAnsi="Times New Roman" w:cs="Times New Roman"/>
          <w:noProof/>
          <w:sz w:val="24"/>
          <w:szCs w:val="24"/>
        </w:rPr>
        <w:t>3</w:t>
      </w:r>
      <w:r w:rsidRPr="0078125B">
        <w:rPr>
          <w:rFonts w:ascii="Times New Roman" w:hAnsi="Times New Roman" w:cs="Times New Roman"/>
          <w:sz w:val="24"/>
          <w:szCs w:val="24"/>
        </w:rPr>
        <w:fldChar w:fldCharType="end"/>
      </w:r>
      <w:r w:rsidRPr="0078125B">
        <w:rPr>
          <w:rFonts w:ascii="Times New Roman" w:hAnsi="Times New Roman" w:cs="Times New Roman"/>
          <w:sz w:val="24"/>
          <w:szCs w:val="24"/>
        </w:rPr>
        <w:t>: Leading export countries worldwide, 2025 (Statista 2026)</w:t>
      </w:r>
    </w:p>
    <w:p w14:paraId="71216B90" w14:textId="77777777" w:rsidR="007342C3" w:rsidRPr="0078125B" w:rsidRDefault="007342C3" w:rsidP="0078125B">
      <w:pPr>
        <w:spacing w:after="0" w:line="360" w:lineRule="auto"/>
        <w:ind w:firstLine="720"/>
        <w:contextualSpacing/>
        <w:rPr>
          <w:rFonts w:ascii="Times New Roman" w:hAnsi="Times New Roman" w:cs="Times New Roman"/>
          <w:sz w:val="24"/>
          <w:szCs w:val="24"/>
        </w:rPr>
      </w:pPr>
      <w:r w:rsidRPr="0078125B">
        <w:rPr>
          <w:rFonts w:ascii="Times New Roman" w:hAnsi="Times New Roman" w:cs="Times New Roman"/>
          <w:sz w:val="24"/>
          <w:szCs w:val="24"/>
        </w:rPr>
        <w:t xml:space="preserve">Action is more important than ability. Liberal hegemony is based on consent and </w:t>
      </w:r>
      <w:proofErr w:type="spellStart"/>
      <w:r w:rsidRPr="0078125B">
        <w:rPr>
          <w:rFonts w:ascii="Times New Roman" w:hAnsi="Times New Roman" w:cs="Times New Roman"/>
          <w:sz w:val="24"/>
          <w:szCs w:val="24"/>
        </w:rPr>
        <w:t>internalised</w:t>
      </w:r>
      <w:proofErr w:type="spellEnd"/>
      <w:r w:rsidRPr="0078125B">
        <w:rPr>
          <w:rFonts w:ascii="Times New Roman" w:hAnsi="Times New Roman" w:cs="Times New Roman"/>
          <w:sz w:val="24"/>
          <w:szCs w:val="24"/>
        </w:rPr>
        <w:t xml:space="preserve"> norms, and on rules like the most-</w:t>
      </w:r>
      <w:proofErr w:type="spellStart"/>
      <w:r w:rsidRPr="0078125B">
        <w:rPr>
          <w:rFonts w:ascii="Times New Roman" w:hAnsi="Times New Roman" w:cs="Times New Roman"/>
          <w:sz w:val="24"/>
          <w:szCs w:val="24"/>
        </w:rPr>
        <w:t>favoured</w:t>
      </w:r>
      <w:proofErr w:type="spellEnd"/>
      <w:r w:rsidRPr="0078125B">
        <w:rPr>
          <w:rFonts w:ascii="Times New Roman" w:hAnsi="Times New Roman" w:cs="Times New Roman"/>
          <w:sz w:val="24"/>
          <w:szCs w:val="24"/>
        </w:rPr>
        <w:t xml:space="preserve">-nation treatment, which the WTO has acquired through treaties of the nineteenth century. However, the tariffs imposed on Chinese products have reached 36.5%, while China's tariffs on US products are 31% at present (Al Jazeera, 2026).  When the hegemon ceases to issue in its own terms, the hegemonic stability theory forecasts instability and realists would dismiss it and say that the international order is the </w:t>
      </w:r>
      <w:r w:rsidRPr="0078125B">
        <w:rPr>
          <w:rFonts w:ascii="Times New Roman" w:hAnsi="Times New Roman" w:cs="Times New Roman"/>
          <w:sz w:val="24"/>
          <w:szCs w:val="24"/>
        </w:rPr>
        <w:lastRenderedPageBreak/>
        <w:t>language of the powerful. Some believe that the liberal order was doomed to fail as power collapsed; others think its crisis is domestic and that its institutions are flexible.</w:t>
      </w:r>
    </w:p>
    <w:p w14:paraId="1B3C3010" w14:textId="6DE15551" w:rsidR="001F53AF" w:rsidRPr="0078125B" w:rsidRDefault="007342C3" w:rsidP="0078125B">
      <w:pPr>
        <w:spacing w:after="0" w:line="360" w:lineRule="auto"/>
        <w:ind w:firstLine="720"/>
        <w:contextualSpacing/>
        <w:rPr>
          <w:rFonts w:ascii="Times New Roman" w:hAnsi="Times New Roman" w:cs="Times New Roman"/>
          <w:sz w:val="24"/>
          <w:szCs w:val="24"/>
          <w:highlight w:val="yellow"/>
        </w:rPr>
      </w:pPr>
      <w:r w:rsidRPr="0078125B">
        <w:rPr>
          <w:rFonts w:ascii="Times New Roman" w:hAnsi="Times New Roman" w:cs="Times New Roman"/>
          <w:sz w:val="24"/>
          <w:szCs w:val="24"/>
        </w:rPr>
        <w:t xml:space="preserve">These statistics lean in </w:t>
      </w:r>
      <w:proofErr w:type="spellStart"/>
      <w:r w:rsidRPr="0078125B">
        <w:rPr>
          <w:rFonts w:ascii="Times New Roman" w:hAnsi="Times New Roman" w:cs="Times New Roman"/>
          <w:sz w:val="24"/>
          <w:szCs w:val="24"/>
        </w:rPr>
        <w:t>favour</w:t>
      </w:r>
      <w:proofErr w:type="spellEnd"/>
      <w:r w:rsidRPr="0078125B">
        <w:rPr>
          <w:rFonts w:ascii="Times New Roman" w:hAnsi="Times New Roman" w:cs="Times New Roman"/>
          <w:sz w:val="24"/>
          <w:szCs w:val="24"/>
        </w:rPr>
        <w:t xml:space="preserve"> of the institutionalist assertion that institutions long outlive their guarantor: trade by rules continues to provide growth in the absence of an enforcing hegemon. Nor has a Pax Sinica come. The China export success is that of a surplus economy rather than one of last resort: the volumes rose by 9.2% while the values rose by only 5.5% (WTO, 2026), the actions of a surplus economy, not a market of last resort. This is better suited to a multi-order world whereby there are multiple regional powers, as opposed to a hegemon. Resilience is also small-scale: AI-enabled goods grew first-half trade by 47%, and the outlook for any service was reduced (Associated Press, 2026). The massive expansion of chips and servers does not represent a healthy rules-based system.</w:t>
      </w:r>
    </w:p>
    <w:p w14:paraId="6F0C9041" w14:textId="3476D33E" w:rsidR="001F53AF" w:rsidRPr="0078125B" w:rsidRDefault="00000000" w:rsidP="0078125B">
      <w:pPr>
        <w:pStyle w:val="Heading2"/>
        <w:spacing w:before="0" w:after="0" w:line="360" w:lineRule="auto"/>
        <w:contextualSpacing/>
        <w:rPr>
          <w:rFonts w:ascii="Times New Roman" w:hAnsi="Times New Roman" w:cs="Times New Roman"/>
          <w:sz w:val="24"/>
          <w:szCs w:val="24"/>
        </w:rPr>
      </w:pPr>
      <w:r w:rsidRPr="0078125B">
        <w:rPr>
          <w:rFonts w:ascii="Times New Roman" w:hAnsi="Times New Roman" w:cs="Times New Roman"/>
          <w:sz w:val="24"/>
          <w:szCs w:val="24"/>
        </w:rPr>
        <w:t>Verdict</w:t>
      </w:r>
      <w:r w:rsidR="009F305E" w:rsidRPr="0078125B">
        <w:rPr>
          <w:rFonts w:ascii="Times New Roman" w:hAnsi="Times New Roman" w:cs="Times New Roman"/>
          <w:sz w:val="24"/>
          <w:szCs w:val="24"/>
        </w:rPr>
        <w:t xml:space="preserve">: Revise, </w:t>
      </w:r>
      <w:r w:rsidR="00641665" w:rsidRPr="0078125B">
        <w:rPr>
          <w:rFonts w:ascii="Times New Roman" w:hAnsi="Times New Roman" w:cs="Times New Roman"/>
          <w:sz w:val="24"/>
          <w:szCs w:val="24"/>
        </w:rPr>
        <w:t>do</w:t>
      </w:r>
      <w:r w:rsidR="009F305E">
        <w:rPr>
          <w:rFonts w:ascii="Times New Roman" w:hAnsi="Times New Roman" w:cs="Times New Roman"/>
          <w:sz w:val="24"/>
          <w:szCs w:val="24"/>
        </w:rPr>
        <w:t xml:space="preserve"> no</w:t>
      </w:r>
      <w:r w:rsidR="009F305E" w:rsidRPr="0078125B">
        <w:rPr>
          <w:rFonts w:ascii="Times New Roman" w:hAnsi="Times New Roman" w:cs="Times New Roman"/>
          <w:sz w:val="24"/>
          <w:szCs w:val="24"/>
        </w:rPr>
        <w:t>t Discard</w:t>
      </w:r>
    </w:p>
    <w:p w14:paraId="1636C2E5" w14:textId="46514A81" w:rsidR="006D59F6" w:rsidRPr="0078125B" w:rsidRDefault="009F305E" w:rsidP="0078125B">
      <w:pPr>
        <w:spacing w:after="0" w:line="360" w:lineRule="auto"/>
        <w:ind w:firstLine="720"/>
        <w:contextualSpacing/>
        <w:rPr>
          <w:rFonts w:ascii="Times New Roman" w:hAnsi="Times New Roman" w:cs="Times New Roman"/>
          <w:sz w:val="24"/>
          <w:szCs w:val="24"/>
        </w:rPr>
      </w:pPr>
      <w:r w:rsidRPr="0078125B">
        <w:rPr>
          <w:rFonts w:ascii="Times New Roman" w:hAnsi="Times New Roman" w:cs="Times New Roman"/>
          <w:sz w:val="24"/>
          <w:szCs w:val="24"/>
        </w:rPr>
        <w:t>So,</w:t>
      </w:r>
      <w:r w:rsidR="006D59F6" w:rsidRPr="0078125B">
        <w:rPr>
          <w:rFonts w:ascii="Times New Roman" w:hAnsi="Times New Roman" w:cs="Times New Roman"/>
          <w:sz w:val="24"/>
          <w:szCs w:val="24"/>
        </w:rPr>
        <w:t xml:space="preserve"> who</w:t>
      </w:r>
      <w:r>
        <w:rPr>
          <w:rFonts w:ascii="Times New Roman" w:hAnsi="Times New Roman" w:cs="Times New Roman"/>
          <w:sz w:val="24"/>
          <w:szCs w:val="24"/>
        </w:rPr>
        <w:t xml:space="preserve"> was</w:t>
      </w:r>
      <w:r w:rsidR="006D59F6" w:rsidRPr="0078125B">
        <w:rPr>
          <w:rFonts w:ascii="Times New Roman" w:hAnsi="Times New Roman" w:cs="Times New Roman"/>
          <w:sz w:val="24"/>
          <w:szCs w:val="24"/>
        </w:rPr>
        <w:t xml:space="preserve"> right? Hyperglobalists were wrong about the state: the governments did not reduce to small cogs; they adopted the role of gatekeepers. Sceptics were correct in their approach regarding the state and incorrect in regard to </w:t>
      </w:r>
      <w:proofErr w:type="spellStart"/>
      <w:r w:rsidR="006D59F6" w:rsidRPr="0078125B">
        <w:rPr>
          <w:rFonts w:ascii="Times New Roman" w:hAnsi="Times New Roman" w:cs="Times New Roman"/>
          <w:sz w:val="24"/>
          <w:szCs w:val="24"/>
        </w:rPr>
        <w:t>regionalisation</w:t>
      </w:r>
      <w:proofErr w:type="spellEnd"/>
      <w:r w:rsidR="006D59F6" w:rsidRPr="0078125B">
        <w:rPr>
          <w:rFonts w:ascii="Times New Roman" w:hAnsi="Times New Roman" w:cs="Times New Roman"/>
          <w:sz w:val="24"/>
          <w:szCs w:val="24"/>
        </w:rPr>
        <w:t xml:space="preserve">, as goods are travelling further than ever. Transformationalists are best off, since </w:t>
      </w:r>
      <w:proofErr w:type="spellStart"/>
      <w:r w:rsidR="006D59F6" w:rsidRPr="0078125B">
        <w:rPr>
          <w:rFonts w:ascii="Times New Roman" w:hAnsi="Times New Roman" w:cs="Times New Roman"/>
          <w:sz w:val="24"/>
          <w:szCs w:val="24"/>
        </w:rPr>
        <w:t>globalisation</w:t>
      </w:r>
      <w:proofErr w:type="spellEnd"/>
      <w:r w:rsidR="006D59F6" w:rsidRPr="0078125B">
        <w:rPr>
          <w:rFonts w:ascii="Times New Roman" w:hAnsi="Times New Roman" w:cs="Times New Roman"/>
          <w:sz w:val="24"/>
          <w:szCs w:val="24"/>
        </w:rPr>
        <w:t xml:space="preserve"> cannot be killed or remain the same, but rewired. Fragmentation is a reality and is geographical or geopolitical, but weak and non-aligned “connector” countries continue to hold together the two rival blocks. Even the US move of parting with China is largely diversionary rather than a retreat. </w:t>
      </w:r>
    </w:p>
    <w:p w14:paraId="4B880504" w14:textId="4ED09F61" w:rsidR="001F53AF" w:rsidRPr="0078125B" w:rsidRDefault="006D59F6" w:rsidP="0078125B">
      <w:pPr>
        <w:spacing w:after="0" w:line="360" w:lineRule="auto"/>
        <w:ind w:firstLine="720"/>
        <w:contextualSpacing/>
        <w:rPr>
          <w:rFonts w:ascii="Times New Roman" w:hAnsi="Times New Roman" w:cs="Times New Roman"/>
          <w:sz w:val="24"/>
          <w:szCs w:val="24"/>
          <w:highlight w:val="yellow"/>
        </w:rPr>
      </w:pPr>
      <w:r w:rsidRPr="0078125B">
        <w:rPr>
          <w:rFonts w:ascii="Times New Roman" w:hAnsi="Times New Roman" w:cs="Times New Roman"/>
          <w:sz w:val="24"/>
          <w:szCs w:val="24"/>
        </w:rPr>
        <w:t xml:space="preserve">Liberal theory must be fixed and not put to rest. It was not its strength to think of interdependence in a power-neutral manner. The curve is different in the case of rare earths, and it is the same reality applied in the financial and information networks America dominates. </w:t>
      </w:r>
      <w:proofErr w:type="spellStart"/>
      <w:r w:rsidRPr="0078125B">
        <w:rPr>
          <w:rFonts w:ascii="Times New Roman" w:hAnsi="Times New Roman" w:cs="Times New Roman"/>
          <w:sz w:val="24"/>
          <w:szCs w:val="24"/>
        </w:rPr>
        <w:t>Specialisation</w:t>
      </w:r>
      <w:proofErr w:type="spellEnd"/>
      <w:r w:rsidRPr="0078125B">
        <w:rPr>
          <w:rFonts w:ascii="Times New Roman" w:hAnsi="Times New Roman" w:cs="Times New Roman"/>
          <w:sz w:val="24"/>
          <w:szCs w:val="24"/>
        </w:rPr>
        <w:t xml:space="preserve"> </w:t>
      </w:r>
      <w:r w:rsidR="00F546F8">
        <w:rPr>
          <w:rFonts w:ascii="Times New Roman" w:hAnsi="Times New Roman" w:cs="Times New Roman"/>
          <w:sz w:val="24"/>
          <w:szCs w:val="24"/>
        </w:rPr>
        <w:t xml:space="preserve">was designed to leverage everyone to a richer level and most importantly giving more power to the one controlling the </w:t>
      </w:r>
      <w:r w:rsidRPr="0078125B">
        <w:rPr>
          <w:rFonts w:ascii="Times New Roman" w:hAnsi="Times New Roman" w:cs="Times New Roman"/>
          <w:sz w:val="24"/>
          <w:szCs w:val="24"/>
        </w:rPr>
        <w:t>chokepoint. Comparative Advantage must be measured in a security-priced manner, balancing the risk of dependency and the benefit of efficiency.</w:t>
      </w:r>
      <w:r w:rsidR="00F35A48" w:rsidRPr="0078125B">
        <w:rPr>
          <w:rFonts w:ascii="Times New Roman" w:hAnsi="Times New Roman" w:cs="Times New Roman"/>
          <w:sz w:val="24"/>
          <w:szCs w:val="24"/>
        </w:rPr>
        <w:t xml:space="preserve"> </w:t>
      </w:r>
      <w:proofErr w:type="spellStart"/>
      <w:r w:rsidR="003E2167" w:rsidRPr="0078125B">
        <w:rPr>
          <w:rFonts w:ascii="Times New Roman" w:hAnsi="Times New Roman" w:cs="Times New Roman"/>
          <w:sz w:val="24"/>
          <w:szCs w:val="24"/>
        </w:rPr>
        <w:t>Globalisation</w:t>
      </w:r>
      <w:proofErr w:type="spellEnd"/>
      <w:r w:rsidR="003E2167" w:rsidRPr="0078125B">
        <w:rPr>
          <w:rFonts w:ascii="Times New Roman" w:hAnsi="Times New Roman" w:cs="Times New Roman"/>
          <w:sz w:val="24"/>
          <w:szCs w:val="24"/>
        </w:rPr>
        <w:t xml:space="preserve"> is not dying. </w:t>
      </w:r>
      <w:r w:rsidR="00D6513A" w:rsidRPr="00D6513A">
        <w:rPr>
          <w:rFonts w:ascii="Times New Roman" w:hAnsi="Times New Roman" w:cs="Times New Roman"/>
          <w:sz w:val="24"/>
          <w:szCs w:val="24"/>
        </w:rPr>
        <w:t>Its liberal justification is</w:t>
      </w:r>
      <w:r w:rsidR="00D6513A">
        <w:rPr>
          <w:rFonts w:ascii="Times New Roman" w:hAnsi="Times New Roman" w:cs="Times New Roman"/>
          <w:sz w:val="24"/>
          <w:szCs w:val="24"/>
        </w:rPr>
        <w:t>.</w:t>
      </w:r>
    </w:p>
    <w:p w14:paraId="0FA2EEDF" w14:textId="77777777" w:rsidR="006212DC" w:rsidRPr="0078125B" w:rsidRDefault="006212DC" w:rsidP="0078125B">
      <w:pPr>
        <w:spacing w:after="0" w:line="360" w:lineRule="auto"/>
        <w:contextualSpacing/>
        <w:rPr>
          <w:rFonts w:ascii="Times New Roman" w:hAnsi="Times New Roman" w:cs="Times New Roman"/>
          <w:b/>
          <w:sz w:val="24"/>
          <w:szCs w:val="24"/>
        </w:rPr>
      </w:pPr>
      <w:r w:rsidRPr="0078125B">
        <w:rPr>
          <w:rFonts w:ascii="Times New Roman" w:hAnsi="Times New Roman" w:cs="Times New Roman"/>
          <w:sz w:val="24"/>
          <w:szCs w:val="24"/>
        </w:rPr>
        <w:br w:type="page"/>
      </w:r>
    </w:p>
    <w:p w14:paraId="3C353635" w14:textId="1D84EDC9" w:rsidR="001F53AF" w:rsidRPr="0078125B" w:rsidRDefault="00000000" w:rsidP="007C5AA7">
      <w:pPr>
        <w:pStyle w:val="Heading2"/>
        <w:spacing w:before="0" w:after="0" w:line="360" w:lineRule="auto"/>
        <w:contextualSpacing/>
        <w:jc w:val="center"/>
        <w:rPr>
          <w:rFonts w:ascii="Times New Roman" w:hAnsi="Times New Roman" w:cs="Times New Roman"/>
          <w:sz w:val="24"/>
          <w:szCs w:val="24"/>
        </w:rPr>
      </w:pPr>
      <w:r w:rsidRPr="0078125B">
        <w:rPr>
          <w:rFonts w:ascii="Times New Roman" w:hAnsi="Times New Roman" w:cs="Times New Roman"/>
          <w:sz w:val="24"/>
          <w:szCs w:val="24"/>
        </w:rPr>
        <w:lastRenderedPageBreak/>
        <w:t>References</w:t>
      </w:r>
    </w:p>
    <w:p w14:paraId="3F3AC1A0" w14:textId="77777777" w:rsidR="00D34C8F" w:rsidRPr="0078125B" w:rsidRDefault="00D34C8F" w:rsidP="0078125B">
      <w:pPr>
        <w:spacing w:after="0" w:line="360" w:lineRule="auto"/>
        <w:ind w:left="720" w:hanging="720"/>
        <w:contextualSpacing/>
        <w:rPr>
          <w:rFonts w:ascii="Times New Roman" w:hAnsi="Times New Roman" w:cs="Times New Roman"/>
          <w:sz w:val="24"/>
          <w:szCs w:val="24"/>
        </w:rPr>
      </w:pPr>
      <w:r w:rsidRPr="0078125B">
        <w:rPr>
          <w:rFonts w:ascii="Times New Roman" w:hAnsi="Times New Roman" w:cs="Times New Roman"/>
          <w:sz w:val="24"/>
          <w:szCs w:val="24"/>
        </w:rPr>
        <w:t xml:space="preserve">Al Jazeera (2026) ‘“Hostile, but hooked”: what’s behind the US–China trade truce extension?’, </w:t>
      </w:r>
      <w:r w:rsidRPr="0078125B">
        <w:rPr>
          <w:rFonts w:ascii="Times New Roman" w:hAnsi="Times New Roman" w:cs="Times New Roman"/>
          <w:i/>
          <w:sz w:val="24"/>
          <w:szCs w:val="24"/>
        </w:rPr>
        <w:t>Al Jazeera</w:t>
      </w:r>
      <w:r w:rsidRPr="0078125B">
        <w:rPr>
          <w:rFonts w:ascii="Times New Roman" w:hAnsi="Times New Roman" w:cs="Times New Roman"/>
          <w:sz w:val="24"/>
          <w:szCs w:val="24"/>
        </w:rPr>
        <w:t>, 24 September. Available at: https://www.aljazeera.com/economy/2026/9/24/hostile-but-hooked-whats-behind-the-us-china-trade-truce-extension (Accessed: 25 October 2026).</w:t>
      </w:r>
    </w:p>
    <w:p w14:paraId="4C22E101" w14:textId="77777777" w:rsidR="00D34C8F" w:rsidRPr="0078125B" w:rsidRDefault="00D34C8F" w:rsidP="0078125B">
      <w:pPr>
        <w:spacing w:after="0" w:line="360" w:lineRule="auto"/>
        <w:ind w:left="720" w:hanging="720"/>
        <w:contextualSpacing/>
        <w:rPr>
          <w:rFonts w:ascii="Times New Roman" w:hAnsi="Times New Roman" w:cs="Times New Roman"/>
          <w:sz w:val="24"/>
          <w:szCs w:val="24"/>
        </w:rPr>
      </w:pPr>
      <w:r w:rsidRPr="0078125B">
        <w:rPr>
          <w:rFonts w:ascii="Times New Roman" w:hAnsi="Times New Roman" w:cs="Times New Roman"/>
          <w:sz w:val="24"/>
          <w:szCs w:val="24"/>
        </w:rPr>
        <w:t xml:space="preserve">Altman, S.A. and Bastian, C.R. (2026) </w:t>
      </w:r>
      <w:r w:rsidRPr="0078125B">
        <w:rPr>
          <w:rFonts w:ascii="Times New Roman" w:hAnsi="Times New Roman" w:cs="Times New Roman"/>
          <w:i/>
          <w:sz w:val="24"/>
          <w:szCs w:val="24"/>
        </w:rPr>
        <w:t>DHL Global Connectedness Report 2026</w:t>
      </w:r>
      <w:r w:rsidRPr="0078125B">
        <w:rPr>
          <w:rFonts w:ascii="Times New Roman" w:hAnsi="Times New Roman" w:cs="Times New Roman"/>
          <w:sz w:val="24"/>
          <w:szCs w:val="24"/>
        </w:rPr>
        <w:t>. Bonn: DHL Group and New York University Stern School of Business. Available at: https://www.dhl.com/global-en/microsites/core/global-connectedness/report.html (Accessed: 25 October 2026).</w:t>
      </w:r>
    </w:p>
    <w:p w14:paraId="711EC0F2" w14:textId="77777777" w:rsidR="00D34C8F" w:rsidRDefault="00D34C8F" w:rsidP="0078125B">
      <w:pPr>
        <w:spacing w:after="0" w:line="360" w:lineRule="auto"/>
        <w:ind w:left="720" w:hanging="720"/>
        <w:contextualSpacing/>
        <w:rPr>
          <w:rFonts w:ascii="Times New Roman" w:hAnsi="Times New Roman" w:cs="Times New Roman"/>
          <w:sz w:val="24"/>
          <w:szCs w:val="24"/>
        </w:rPr>
      </w:pPr>
      <w:r w:rsidRPr="0078125B">
        <w:rPr>
          <w:rFonts w:ascii="Times New Roman" w:hAnsi="Times New Roman" w:cs="Times New Roman"/>
          <w:sz w:val="24"/>
          <w:szCs w:val="24"/>
        </w:rPr>
        <w:t xml:space="preserve">Associated Press (2026) ‘WTO raises merchandise trade growth forecast to 3.9% as AI boom offsets hit from Middle East’, </w:t>
      </w:r>
      <w:r w:rsidRPr="0078125B">
        <w:rPr>
          <w:rFonts w:ascii="Times New Roman" w:hAnsi="Times New Roman" w:cs="Times New Roman"/>
          <w:i/>
          <w:sz w:val="24"/>
          <w:szCs w:val="24"/>
        </w:rPr>
        <w:t>U.S. News &amp; World Report</w:t>
      </w:r>
      <w:r w:rsidRPr="0078125B">
        <w:rPr>
          <w:rFonts w:ascii="Times New Roman" w:hAnsi="Times New Roman" w:cs="Times New Roman"/>
          <w:sz w:val="24"/>
          <w:szCs w:val="24"/>
        </w:rPr>
        <w:t>, 8 October. Available at: https://www.usnews.com/news/business/articles/2026-10-08/wto-raises-merchandise-trade-growth-forecast-to-3-9-as-ai-boom-offsets-hit-from-middle-east (Accessed: 25 October 2026).</w:t>
      </w:r>
    </w:p>
    <w:p w14:paraId="43DCFF19" w14:textId="77777777" w:rsidR="00D34C8F" w:rsidRPr="007C5AA7" w:rsidRDefault="00D34C8F" w:rsidP="007C5AA7">
      <w:pPr>
        <w:spacing w:after="0" w:line="360" w:lineRule="auto"/>
        <w:ind w:left="720" w:hanging="720"/>
        <w:contextualSpacing/>
        <w:rPr>
          <w:rFonts w:ascii="Times New Roman" w:hAnsi="Times New Roman" w:cs="Times New Roman"/>
          <w:sz w:val="24"/>
          <w:szCs w:val="24"/>
        </w:rPr>
      </w:pPr>
      <w:r w:rsidRPr="007C5AA7">
        <w:rPr>
          <w:rFonts w:ascii="Times New Roman" w:hAnsi="Times New Roman" w:cs="Times New Roman"/>
          <w:sz w:val="24"/>
          <w:szCs w:val="24"/>
        </w:rPr>
        <w:t xml:space="preserve">Coface (2025) </w:t>
      </w:r>
      <w:r w:rsidRPr="007C5AA7">
        <w:rPr>
          <w:rFonts w:ascii="Times New Roman" w:hAnsi="Times New Roman" w:cs="Times New Roman"/>
          <w:i/>
          <w:iCs/>
          <w:sz w:val="24"/>
          <w:szCs w:val="24"/>
        </w:rPr>
        <w:t>US–China trade agreement: a tactical truce, not a strategic shift</w:t>
      </w:r>
      <w:r w:rsidRPr="007C5AA7">
        <w:rPr>
          <w:rFonts w:ascii="Times New Roman" w:hAnsi="Times New Roman" w:cs="Times New Roman"/>
          <w:sz w:val="24"/>
          <w:szCs w:val="24"/>
        </w:rPr>
        <w:t xml:space="preserve">. Available at: </w:t>
      </w:r>
      <w:hyperlink r:id="rId10" w:history="1">
        <w:r w:rsidRPr="007C5AA7">
          <w:rPr>
            <w:rStyle w:val="Hyperlink"/>
            <w:rFonts w:ascii="Times New Roman" w:hAnsi="Times New Roman" w:cs="Times New Roman"/>
            <w:sz w:val="24"/>
            <w:szCs w:val="24"/>
          </w:rPr>
          <w:t>https://www.coface.com.sg/content/download/87938/file/PR%20-%20Coface%20-%20US-China%20trade%20agreement%20a%20tactical%20truce,%20not%20strategic%20shift%20-%20SG.pdf</w:t>
        </w:r>
      </w:hyperlink>
      <w:r w:rsidRPr="007C5AA7">
        <w:rPr>
          <w:rFonts w:ascii="Times New Roman" w:hAnsi="Times New Roman" w:cs="Times New Roman"/>
          <w:sz w:val="24"/>
          <w:szCs w:val="24"/>
        </w:rPr>
        <w:t xml:space="preserve"> (Accessed: 25 October 2026).</w:t>
      </w:r>
    </w:p>
    <w:p w14:paraId="10332D3D" w14:textId="77777777" w:rsidR="00D34C8F" w:rsidRPr="0078125B" w:rsidRDefault="00D34C8F" w:rsidP="0078125B">
      <w:pPr>
        <w:spacing w:after="0" w:line="360" w:lineRule="auto"/>
        <w:ind w:left="720" w:hanging="720"/>
        <w:contextualSpacing/>
        <w:rPr>
          <w:rFonts w:ascii="Times New Roman" w:hAnsi="Times New Roman" w:cs="Times New Roman"/>
          <w:sz w:val="24"/>
          <w:szCs w:val="24"/>
        </w:rPr>
      </w:pPr>
      <w:r w:rsidRPr="007C5AA7">
        <w:rPr>
          <w:rFonts w:ascii="Times New Roman" w:hAnsi="Times New Roman" w:cs="Times New Roman"/>
          <w:sz w:val="24"/>
          <w:szCs w:val="24"/>
        </w:rPr>
        <w:t>DHL (2026)</w:t>
      </w:r>
      <w:r w:rsidRPr="0078125B">
        <w:rPr>
          <w:rFonts w:ascii="Times New Roman" w:hAnsi="Times New Roman" w:cs="Times New Roman"/>
          <w:sz w:val="24"/>
          <w:szCs w:val="24"/>
        </w:rPr>
        <w:t xml:space="preserve"> </w:t>
      </w:r>
      <w:r w:rsidRPr="0078125B">
        <w:rPr>
          <w:rFonts w:ascii="Times New Roman" w:hAnsi="Times New Roman" w:cs="Times New Roman"/>
          <w:i/>
          <w:iCs/>
          <w:sz w:val="24"/>
          <w:szCs w:val="24"/>
        </w:rPr>
        <w:t>Globalization holds firm at a record level, while the U.S. and China continue to decouple: DHL Global Connectedness Report 2026</w:t>
      </w:r>
      <w:r w:rsidRPr="0078125B">
        <w:rPr>
          <w:rFonts w:ascii="Times New Roman" w:hAnsi="Times New Roman" w:cs="Times New Roman"/>
          <w:sz w:val="24"/>
          <w:szCs w:val="24"/>
        </w:rPr>
        <w:t xml:space="preserve">. Press release, 12 March. Available at: </w:t>
      </w:r>
      <w:hyperlink r:id="rId11" w:history="1">
        <w:r w:rsidRPr="0078125B">
          <w:rPr>
            <w:rStyle w:val="Hyperlink"/>
            <w:rFonts w:ascii="Times New Roman" w:hAnsi="Times New Roman" w:cs="Times New Roman"/>
            <w:sz w:val="24"/>
            <w:szCs w:val="24"/>
          </w:rPr>
          <w:t>https://www.dhl.com/fr-en/home/press/press-archive/2026/global-connectedness-report-2026.html</w:t>
        </w:r>
      </w:hyperlink>
      <w:r w:rsidRPr="0078125B">
        <w:rPr>
          <w:rFonts w:ascii="Times New Roman" w:hAnsi="Times New Roman" w:cs="Times New Roman"/>
          <w:sz w:val="24"/>
          <w:szCs w:val="24"/>
        </w:rPr>
        <w:t xml:space="preserve"> (Accessed: 25 October 2026).</w:t>
      </w:r>
    </w:p>
    <w:p w14:paraId="165B37C2" w14:textId="77777777" w:rsidR="00D34C8F" w:rsidRPr="0078125B" w:rsidRDefault="00D34C8F" w:rsidP="0078125B">
      <w:pPr>
        <w:spacing w:after="0" w:line="360" w:lineRule="auto"/>
        <w:ind w:left="720" w:hanging="720"/>
        <w:contextualSpacing/>
        <w:rPr>
          <w:rFonts w:ascii="Times New Roman" w:hAnsi="Times New Roman" w:cs="Times New Roman"/>
          <w:sz w:val="24"/>
          <w:szCs w:val="24"/>
        </w:rPr>
      </w:pPr>
      <w:r w:rsidRPr="0078125B">
        <w:rPr>
          <w:rFonts w:ascii="Times New Roman" w:hAnsi="Times New Roman" w:cs="Times New Roman"/>
          <w:sz w:val="24"/>
          <w:szCs w:val="24"/>
        </w:rPr>
        <w:t xml:space="preserve">Fleck, A. (2025) ‘WTO: Chinese Exports to U.S. Expected to Drop by 77%’, Statista, 17 April. Available at: </w:t>
      </w:r>
      <w:hyperlink r:id="rId12" w:history="1">
        <w:r w:rsidRPr="0078125B">
          <w:rPr>
            <w:rStyle w:val="Hyperlink"/>
            <w:rFonts w:ascii="Times New Roman" w:hAnsi="Times New Roman" w:cs="Times New Roman"/>
            <w:sz w:val="24"/>
            <w:szCs w:val="24"/>
          </w:rPr>
          <w:t>https://www.statista.com/chart/34324/projected-changes-in-merchandise-exports-to-the-us-and-imports-from-china/</w:t>
        </w:r>
      </w:hyperlink>
      <w:r w:rsidRPr="0078125B">
        <w:rPr>
          <w:rFonts w:ascii="Times New Roman" w:hAnsi="Times New Roman" w:cs="Times New Roman"/>
          <w:sz w:val="24"/>
          <w:szCs w:val="24"/>
        </w:rPr>
        <w:t xml:space="preserve"> (Accessed: 25 October 2026). </w:t>
      </w:r>
    </w:p>
    <w:p w14:paraId="4476C29A" w14:textId="77777777" w:rsidR="00D34C8F" w:rsidRPr="0078125B" w:rsidRDefault="00D34C8F" w:rsidP="0078125B">
      <w:pPr>
        <w:spacing w:after="0" w:line="360" w:lineRule="auto"/>
        <w:ind w:left="720" w:hanging="720"/>
        <w:contextualSpacing/>
        <w:rPr>
          <w:rFonts w:ascii="Times New Roman" w:hAnsi="Times New Roman" w:cs="Times New Roman"/>
          <w:sz w:val="24"/>
          <w:szCs w:val="24"/>
        </w:rPr>
      </w:pPr>
      <w:r w:rsidRPr="0078125B">
        <w:rPr>
          <w:rFonts w:ascii="Times New Roman" w:hAnsi="Times New Roman" w:cs="Times New Roman"/>
          <w:sz w:val="24"/>
          <w:szCs w:val="24"/>
        </w:rPr>
        <w:t xml:space="preserve">Liang, Y., Li, J., Aroles, J., &amp; Granter, E. (2025). Content creation within the algorithmic environment: A systematic review. </w:t>
      </w:r>
      <w:r w:rsidRPr="0078125B">
        <w:rPr>
          <w:rFonts w:ascii="Times New Roman" w:hAnsi="Times New Roman" w:cs="Times New Roman"/>
          <w:i/>
          <w:iCs/>
          <w:sz w:val="24"/>
          <w:szCs w:val="24"/>
        </w:rPr>
        <w:t>Work, Employment and Society</w:t>
      </w:r>
      <w:r w:rsidRPr="0078125B">
        <w:rPr>
          <w:rFonts w:ascii="Times New Roman" w:hAnsi="Times New Roman" w:cs="Times New Roman"/>
          <w:sz w:val="24"/>
          <w:szCs w:val="24"/>
        </w:rPr>
        <w:t xml:space="preserve">, </w:t>
      </w:r>
      <w:r w:rsidRPr="0078125B">
        <w:rPr>
          <w:rFonts w:ascii="Times New Roman" w:hAnsi="Times New Roman" w:cs="Times New Roman"/>
          <w:i/>
          <w:iCs/>
          <w:sz w:val="24"/>
          <w:szCs w:val="24"/>
        </w:rPr>
        <w:t>39</w:t>
      </w:r>
      <w:r w:rsidRPr="0078125B">
        <w:rPr>
          <w:rFonts w:ascii="Times New Roman" w:hAnsi="Times New Roman" w:cs="Times New Roman"/>
          <w:sz w:val="24"/>
          <w:szCs w:val="24"/>
        </w:rPr>
        <w:t xml:space="preserve">(4). </w:t>
      </w:r>
      <w:hyperlink r:id="rId13" w:history="1">
        <w:r w:rsidRPr="0078125B">
          <w:rPr>
            <w:rStyle w:val="Hyperlink"/>
            <w:rFonts w:ascii="Times New Roman" w:hAnsi="Times New Roman" w:cs="Times New Roman"/>
            <w:sz w:val="24"/>
            <w:szCs w:val="24"/>
          </w:rPr>
          <w:t>https://doi.org/10.1177/09500170251325784</w:t>
        </w:r>
      </w:hyperlink>
      <w:r w:rsidRPr="0078125B">
        <w:rPr>
          <w:rFonts w:ascii="Times New Roman" w:hAnsi="Times New Roman" w:cs="Times New Roman"/>
          <w:sz w:val="24"/>
          <w:szCs w:val="24"/>
        </w:rPr>
        <w:t xml:space="preserve"> (Accessed: 25 October 2026).</w:t>
      </w:r>
    </w:p>
    <w:p w14:paraId="1B145F78" w14:textId="77777777" w:rsidR="00D34C8F" w:rsidRPr="007C5AA7" w:rsidRDefault="00D34C8F" w:rsidP="007C5AA7">
      <w:pPr>
        <w:spacing w:after="0" w:line="360" w:lineRule="auto"/>
        <w:ind w:left="720" w:hanging="720"/>
        <w:contextualSpacing/>
        <w:rPr>
          <w:rFonts w:ascii="Times New Roman" w:hAnsi="Times New Roman" w:cs="Times New Roman"/>
          <w:sz w:val="24"/>
          <w:szCs w:val="24"/>
        </w:rPr>
      </w:pPr>
      <w:r w:rsidRPr="007C5AA7">
        <w:rPr>
          <w:rFonts w:ascii="Times New Roman" w:hAnsi="Times New Roman" w:cs="Times New Roman"/>
          <w:sz w:val="24"/>
          <w:szCs w:val="24"/>
        </w:rPr>
        <w:t xml:space="preserve">Livewire Markets (2023) ‘Which country is the largest exporter of unseparated rare earth concentrates to China?’, Livewire Markets, 13 April. Available at: </w:t>
      </w:r>
      <w:hyperlink r:id="rId14" w:tgtFrame="_blank" w:history="1">
        <w:r w:rsidRPr="007C5AA7">
          <w:rPr>
            <w:rStyle w:val="Hyperlink"/>
            <w:rFonts w:ascii="Times New Roman" w:hAnsi="Times New Roman" w:cs="Times New Roman"/>
            <w:sz w:val="24"/>
            <w:szCs w:val="24"/>
          </w:rPr>
          <w:t>https://www.livewiremarkets.com/wires/which-country-is-the-largest-exporter-of-unseparated-rare-earth-concentrates-to-china</w:t>
        </w:r>
      </w:hyperlink>
      <w:r w:rsidRPr="007C5AA7">
        <w:rPr>
          <w:rFonts w:ascii="Times New Roman" w:hAnsi="Times New Roman" w:cs="Times New Roman"/>
          <w:sz w:val="24"/>
          <w:szCs w:val="24"/>
        </w:rPr>
        <w:t xml:space="preserve"> (Accessed: 25 October 2026).</w:t>
      </w:r>
    </w:p>
    <w:p w14:paraId="779F4A0B" w14:textId="77777777" w:rsidR="00D34C8F" w:rsidRPr="007C5AA7" w:rsidRDefault="00D34C8F" w:rsidP="007C5AA7">
      <w:pPr>
        <w:spacing w:after="0" w:line="360" w:lineRule="auto"/>
        <w:ind w:left="720" w:hanging="720"/>
        <w:contextualSpacing/>
        <w:rPr>
          <w:rFonts w:ascii="Times New Roman" w:hAnsi="Times New Roman" w:cs="Times New Roman"/>
          <w:sz w:val="24"/>
          <w:szCs w:val="24"/>
        </w:rPr>
      </w:pPr>
      <w:r w:rsidRPr="007C5AA7">
        <w:rPr>
          <w:rFonts w:ascii="Times New Roman" w:hAnsi="Times New Roman" w:cs="Times New Roman"/>
          <w:sz w:val="24"/>
          <w:szCs w:val="24"/>
        </w:rPr>
        <w:t xml:space="preserve">Neos, N. (2025) </w:t>
      </w:r>
      <w:r w:rsidRPr="007C5AA7">
        <w:rPr>
          <w:rFonts w:ascii="Times New Roman" w:hAnsi="Times New Roman" w:cs="Times New Roman"/>
          <w:i/>
          <w:iCs/>
          <w:sz w:val="24"/>
          <w:szCs w:val="24"/>
        </w:rPr>
        <w:t>When trade turns strategic: lessons from fourteen trade wars for US–China strategic competition</w:t>
      </w:r>
      <w:r w:rsidRPr="007C5AA7">
        <w:rPr>
          <w:rFonts w:ascii="Times New Roman" w:hAnsi="Times New Roman" w:cs="Times New Roman"/>
          <w:sz w:val="24"/>
          <w:szCs w:val="24"/>
        </w:rPr>
        <w:t xml:space="preserve">. SSRN Working Paper 5805382. Available at: </w:t>
      </w:r>
      <w:hyperlink r:id="rId15" w:history="1">
        <w:r w:rsidRPr="007C5AA7">
          <w:rPr>
            <w:rStyle w:val="Hyperlink"/>
            <w:rFonts w:ascii="Times New Roman" w:hAnsi="Times New Roman" w:cs="Times New Roman"/>
            <w:sz w:val="24"/>
            <w:szCs w:val="24"/>
          </w:rPr>
          <w:t>https://dx.doi.org/10.2139/ssrn.5805382</w:t>
        </w:r>
      </w:hyperlink>
      <w:r w:rsidRPr="007C5AA7">
        <w:rPr>
          <w:rFonts w:ascii="Times New Roman" w:hAnsi="Times New Roman" w:cs="Times New Roman"/>
          <w:sz w:val="24"/>
          <w:szCs w:val="24"/>
        </w:rPr>
        <w:t xml:space="preserve"> (Accessed: 25 October 2026).</w:t>
      </w:r>
    </w:p>
    <w:p w14:paraId="34E884D4" w14:textId="77777777" w:rsidR="00D34C8F" w:rsidRPr="0078125B" w:rsidRDefault="00D34C8F" w:rsidP="0078125B">
      <w:pPr>
        <w:spacing w:after="0" w:line="360" w:lineRule="auto"/>
        <w:ind w:left="720" w:hanging="720"/>
        <w:contextualSpacing/>
        <w:rPr>
          <w:rFonts w:ascii="Times New Roman" w:hAnsi="Times New Roman" w:cs="Times New Roman"/>
          <w:sz w:val="24"/>
          <w:szCs w:val="24"/>
        </w:rPr>
      </w:pPr>
      <w:r w:rsidRPr="0078125B">
        <w:rPr>
          <w:rFonts w:ascii="Times New Roman" w:hAnsi="Times New Roman" w:cs="Times New Roman"/>
          <w:sz w:val="24"/>
          <w:szCs w:val="24"/>
        </w:rPr>
        <w:t xml:space="preserve">Noreika, A. (2026) ‘China’s rare-earth export pause: what ends on 10 November’, </w:t>
      </w:r>
      <w:r w:rsidRPr="0078125B">
        <w:rPr>
          <w:rFonts w:ascii="Times New Roman" w:hAnsi="Times New Roman" w:cs="Times New Roman"/>
          <w:i/>
          <w:iCs/>
          <w:sz w:val="24"/>
          <w:szCs w:val="24"/>
        </w:rPr>
        <w:t>Technology.org</w:t>
      </w:r>
      <w:r w:rsidRPr="0078125B">
        <w:rPr>
          <w:rFonts w:ascii="Times New Roman" w:hAnsi="Times New Roman" w:cs="Times New Roman"/>
          <w:sz w:val="24"/>
          <w:szCs w:val="24"/>
        </w:rPr>
        <w:t xml:space="preserve">, 19 October. Available at: </w:t>
      </w:r>
      <w:hyperlink r:id="rId16" w:history="1">
        <w:r w:rsidRPr="0078125B">
          <w:rPr>
            <w:rStyle w:val="Hyperlink"/>
            <w:rFonts w:ascii="Times New Roman" w:hAnsi="Times New Roman" w:cs="Times New Roman"/>
            <w:sz w:val="24"/>
            <w:szCs w:val="24"/>
          </w:rPr>
          <w:t>https://www.technology.org/2026/10/19/china-rare-earth-export-pause-november-10/</w:t>
        </w:r>
      </w:hyperlink>
      <w:r w:rsidRPr="0078125B">
        <w:rPr>
          <w:rFonts w:ascii="Times New Roman" w:hAnsi="Times New Roman" w:cs="Times New Roman"/>
          <w:sz w:val="24"/>
          <w:szCs w:val="24"/>
        </w:rPr>
        <w:t xml:space="preserve"> (Accessed: 25 October 2026).</w:t>
      </w:r>
    </w:p>
    <w:p w14:paraId="573C842B" w14:textId="77777777" w:rsidR="00D34C8F" w:rsidRDefault="00D34C8F" w:rsidP="0078125B">
      <w:pPr>
        <w:spacing w:after="0" w:line="360" w:lineRule="auto"/>
        <w:ind w:left="720" w:hanging="720"/>
        <w:contextualSpacing/>
        <w:rPr>
          <w:rFonts w:ascii="Times New Roman" w:hAnsi="Times New Roman" w:cs="Times New Roman"/>
          <w:sz w:val="24"/>
          <w:szCs w:val="24"/>
        </w:rPr>
      </w:pPr>
      <w:r w:rsidRPr="007C5AA7">
        <w:rPr>
          <w:rFonts w:ascii="Times New Roman" w:hAnsi="Times New Roman" w:cs="Times New Roman"/>
          <w:sz w:val="24"/>
          <w:szCs w:val="24"/>
        </w:rPr>
        <w:t xml:space="preserve">Statista (2026) Leading export countries worldwide in 2025 (in billion U.S. dollars) . Available at: </w:t>
      </w:r>
      <w:hyperlink r:id="rId17" w:tgtFrame="_blank" w:history="1">
        <w:r w:rsidRPr="007C5AA7">
          <w:rPr>
            <w:rStyle w:val="Hyperlink"/>
            <w:rFonts w:ascii="Times New Roman" w:hAnsi="Times New Roman" w:cs="Times New Roman"/>
            <w:sz w:val="24"/>
            <w:szCs w:val="24"/>
          </w:rPr>
          <w:t>https://www.statista.com/statistics/264623/leading-export-countries-worldwide/</w:t>
        </w:r>
      </w:hyperlink>
      <w:r w:rsidRPr="007C5AA7">
        <w:rPr>
          <w:rFonts w:ascii="Times New Roman" w:hAnsi="Times New Roman" w:cs="Times New Roman"/>
          <w:sz w:val="24"/>
          <w:szCs w:val="24"/>
        </w:rPr>
        <w:t xml:space="preserve"> (Accessed: 25 October 2026).</w:t>
      </w:r>
    </w:p>
    <w:p w14:paraId="47A74694" w14:textId="77777777" w:rsidR="00D34C8F" w:rsidRPr="0078125B" w:rsidRDefault="00D34C8F" w:rsidP="0078125B">
      <w:pPr>
        <w:spacing w:after="0" w:line="360" w:lineRule="auto"/>
        <w:ind w:left="720" w:hanging="720"/>
        <w:contextualSpacing/>
        <w:rPr>
          <w:rFonts w:ascii="Times New Roman" w:hAnsi="Times New Roman" w:cs="Times New Roman"/>
          <w:sz w:val="24"/>
          <w:szCs w:val="24"/>
        </w:rPr>
      </w:pPr>
      <w:r w:rsidRPr="007C5AA7">
        <w:rPr>
          <w:rFonts w:ascii="Times New Roman" w:hAnsi="Times New Roman" w:cs="Times New Roman"/>
          <w:sz w:val="24"/>
          <w:szCs w:val="24"/>
        </w:rPr>
        <w:t>World Bank (2020)</w:t>
      </w:r>
      <w:r w:rsidRPr="0078125B">
        <w:rPr>
          <w:rFonts w:ascii="Times New Roman" w:hAnsi="Times New Roman" w:cs="Times New Roman"/>
          <w:sz w:val="24"/>
          <w:szCs w:val="24"/>
        </w:rPr>
        <w:t xml:space="preserve"> </w:t>
      </w:r>
      <w:r w:rsidRPr="0078125B">
        <w:rPr>
          <w:rFonts w:ascii="Times New Roman" w:hAnsi="Times New Roman" w:cs="Times New Roman"/>
          <w:i/>
          <w:iCs/>
          <w:sz w:val="24"/>
          <w:szCs w:val="24"/>
        </w:rPr>
        <w:t>World Development Report 2020: trading for development in the age of global value chains</w:t>
      </w:r>
      <w:r w:rsidRPr="0078125B">
        <w:rPr>
          <w:rFonts w:ascii="Times New Roman" w:hAnsi="Times New Roman" w:cs="Times New Roman"/>
          <w:sz w:val="24"/>
          <w:szCs w:val="24"/>
        </w:rPr>
        <w:t xml:space="preserve">. Washington, DC: World Bank. Available at: </w:t>
      </w:r>
      <w:hyperlink r:id="rId18" w:history="1">
        <w:r w:rsidRPr="0078125B">
          <w:rPr>
            <w:rStyle w:val="Hyperlink"/>
            <w:rFonts w:ascii="Times New Roman" w:hAnsi="Times New Roman" w:cs="Times New Roman"/>
            <w:sz w:val="24"/>
            <w:szCs w:val="24"/>
          </w:rPr>
          <w:t>https://www.worldbank.org/en/publication/wdr2020</w:t>
        </w:r>
      </w:hyperlink>
      <w:r w:rsidRPr="0078125B">
        <w:rPr>
          <w:rFonts w:ascii="Times New Roman" w:hAnsi="Times New Roman" w:cs="Times New Roman"/>
          <w:sz w:val="24"/>
          <w:szCs w:val="24"/>
        </w:rPr>
        <w:t xml:space="preserve"> (Accessed: 25 October 2026).</w:t>
      </w:r>
    </w:p>
    <w:p w14:paraId="774B7740" w14:textId="77777777" w:rsidR="00D34C8F" w:rsidRDefault="00D34C8F" w:rsidP="0078125B">
      <w:pPr>
        <w:spacing w:after="0" w:line="360" w:lineRule="auto"/>
        <w:ind w:left="720" w:hanging="720"/>
        <w:contextualSpacing/>
        <w:rPr>
          <w:rFonts w:ascii="Times New Roman" w:hAnsi="Times New Roman" w:cs="Times New Roman"/>
          <w:sz w:val="24"/>
          <w:szCs w:val="24"/>
        </w:rPr>
      </w:pPr>
      <w:r w:rsidRPr="0078125B">
        <w:rPr>
          <w:rFonts w:ascii="Times New Roman" w:hAnsi="Times New Roman" w:cs="Times New Roman"/>
          <w:sz w:val="24"/>
          <w:szCs w:val="24"/>
        </w:rPr>
        <w:t xml:space="preserve">World Trade Organization (WTO) (2026) </w:t>
      </w:r>
      <w:r w:rsidRPr="0078125B">
        <w:rPr>
          <w:rFonts w:ascii="Times New Roman" w:hAnsi="Times New Roman" w:cs="Times New Roman"/>
          <w:i/>
          <w:sz w:val="24"/>
          <w:szCs w:val="24"/>
        </w:rPr>
        <w:t>Global trade outlook and statistics, March 2026</w:t>
      </w:r>
      <w:r w:rsidRPr="0078125B">
        <w:rPr>
          <w:rFonts w:ascii="Times New Roman" w:hAnsi="Times New Roman" w:cs="Times New Roman"/>
          <w:sz w:val="24"/>
          <w:szCs w:val="24"/>
        </w:rPr>
        <w:t>. Geneva: WTO. Available at: https://www.wto.org/english/res_e/booksp_e/gtos0326_e.pdf (Accessed: 25 October 2026).</w:t>
      </w:r>
    </w:p>
    <w:p w14:paraId="5F607216" w14:textId="77777777" w:rsidR="007C5AA7" w:rsidRPr="0078125B" w:rsidRDefault="007C5AA7" w:rsidP="0078125B">
      <w:pPr>
        <w:spacing w:after="0" w:line="360" w:lineRule="auto"/>
        <w:ind w:left="720" w:hanging="720"/>
        <w:contextualSpacing/>
        <w:rPr>
          <w:rFonts w:ascii="Times New Roman" w:hAnsi="Times New Roman" w:cs="Times New Roman"/>
          <w:sz w:val="24"/>
          <w:szCs w:val="24"/>
        </w:rPr>
      </w:pPr>
    </w:p>
    <w:p w14:paraId="6740FC96" w14:textId="77777777" w:rsidR="00986B80" w:rsidRPr="0078125B" w:rsidRDefault="00986B80" w:rsidP="0078125B">
      <w:pPr>
        <w:spacing w:after="0" w:line="360" w:lineRule="auto"/>
        <w:contextualSpacing/>
        <w:rPr>
          <w:rFonts w:ascii="Times New Roman" w:hAnsi="Times New Roman" w:cs="Times New Roman"/>
          <w:sz w:val="24"/>
          <w:szCs w:val="24"/>
        </w:rPr>
      </w:pPr>
    </w:p>
    <w:p w14:paraId="7771B2DB" w14:textId="77777777" w:rsidR="006426DF" w:rsidRPr="0078125B" w:rsidRDefault="006426DF" w:rsidP="0078125B">
      <w:pPr>
        <w:spacing w:after="0" w:line="360" w:lineRule="auto"/>
        <w:contextualSpacing/>
        <w:rPr>
          <w:rFonts w:ascii="Times New Roman" w:hAnsi="Times New Roman" w:cs="Times New Roman"/>
          <w:sz w:val="24"/>
          <w:szCs w:val="24"/>
        </w:rPr>
      </w:pPr>
    </w:p>
    <w:p w14:paraId="5521EAFD" w14:textId="77777777" w:rsidR="006426DF" w:rsidRPr="0078125B" w:rsidRDefault="006426DF" w:rsidP="0078125B">
      <w:pPr>
        <w:spacing w:after="0" w:line="360" w:lineRule="auto"/>
        <w:contextualSpacing/>
        <w:rPr>
          <w:rFonts w:ascii="Times New Roman" w:hAnsi="Times New Roman" w:cs="Times New Roman"/>
          <w:sz w:val="24"/>
          <w:szCs w:val="24"/>
        </w:rPr>
      </w:pPr>
    </w:p>
    <w:p w14:paraId="7FA6C91F" w14:textId="77777777" w:rsidR="006426DF" w:rsidRPr="0078125B" w:rsidRDefault="006426DF" w:rsidP="0078125B">
      <w:pPr>
        <w:spacing w:after="0" w:line="360" w:lineRule="auto"/>
        <w:contextualSpacing/>
        <w:rPr>
          <w:rFonts w:ascii="Times New Roman" w:hAnsi="Times New Roman" w:cs="Times New Roman"/>
          <w:sz w:val="24"/>
          <w:szCs w:val="24"/>
        </w:rPr>
      </w:pPr>
    </w:p>
    <w:p w14:paraId="6252E97E" w14:textId="77777777" w:rsidR="006426DF" w:rsidRPr="0078125B" w:rsidRDefault="006426DF" w:rsidP="0078125B">
      <w:pPr>
        <w:spacing w:after="0" w:line="360" w:lineRule="auto"/>
        <w:contextualSpacing/>
        <w:rPr>
          <w:rFonts w:ascii="Times New Roman" w:hAnsi="Times New Roman" w:cs="Times New Roman"/>
          <w:sz w:val="24"/>
          <w:szCs w:val="24"/>
        </w:rPr>
      </w:pPr>
    </w:p>
    <w:p w14:paraId="6EFDB100" w14:textId="77777777" w:rsidR="006426DF" w:rsidRPr="0078125B" w:rsidRDefault="006426DF" w:rsidP="0078125B">
      <w:pPr>
        <w:spacing w:after="0" w:line="360" w:lineRule="auto"/>
        <w:contextualSpacing/>
        <w:rPr>
          <w:rFonts w:ascii="Times New Roman" w:hAnsi="Times New Roman" w:cs="Times New Roman"/>
          <w:sz w:val="24"/>
          <w:szCs w:val="24"/>
        </w:rPr>
      </w:pPr>
    </w:p>
    <w:sectPr w:rsidR="006426DF" w:rsidRPr="0078125B">
      <w:headerReference w:type="default" r:id="rId1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4FCAC" w14:textId="77777777" w:rsidR="007D74DD" w:rsidRDefault="007D74DD" w:rsidP="007C5AA7">
      <w:pPr>
        <w:spacing w:after="0" w:line="240" w:lineRule="auto"/>
      </w:pPr>
      <w:r>
        <w:separator/>
      </w:r>
    </w:p>
  </w:endnote>
  <w:endnote w:type="continuationSeparator" w:id="0">
    <w:p w14:paraId="5C953BC1" w14:textId="77777777" w:rsidR="007D74DD" w:rsidRDefault="007D74DD" w:rsidP="007C5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DE30A" w14:textId="77777777" w:rsidR="007D74DD" w:rsidRDefault="007D74DD" w:rsidP="007C5AA7">
      <w:pPr>
        <w:spacing w:after="0" w:line="240" w:lineRule="auto"/>
      </w:pPr>
      <w:r>
        <w:separator/>
      </w:r>
    </w:p>
  </w:footnote>
  <w:footnote w:type="continuationSeparator" w:id="0">
    <w:p w14:paraId="4EBC6566" w14:textId="77777777" w:rsidR="007D74DD" w:rsidRDefault="007D74DD" w:rsidP="007C5A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455106"/>
      <w:docPartObj>
        <w:docPartGallery w:val="Page Numbers (Top of Page)"/>
        <w:docPartUnique/>
      </w:docPartObj>
    </w:sdtPr>
    <w:sdtEndPr>
      <w:rPr>
        <w:rFonts w:ascii="Times New Roman" w:hAnsi="Times New Roman" w:cs="Times New Roman"/>
        <w:noProof/>
        <w:sz w:val="24"/>
        <w:szCs w:val="24"/>
      </w:rPr>
    </w:sdtEndPr>
    <w:sdtContent>
      <w:p w14:paraId="34ADDD85" w14:textId="77DC03A0" w:rsidR="007C5AA7" w:rsidRPr="007C5AA7" w:rsidRDefault="007C5AA7">
        <w:pPr>
          <w:pStyle w:val="Header"/>
          <w:jc w:val="right"/>
          <w:rPr>
            <w:rFonts w:ascii="Times New Roman" w:hAnsi="Times New Roman" w:cs="Times New Roman"/>
            <w:sz w:val="24"/>
            <w:szCs w:val="24"/>
          </w:rPr>
        </w:pPr>
        <w:r w:rsidRPr="007C5AA7">
          <w:rPr>
            <w:rFonts w:ascii="Times New Roman" w:hAnsi="Times New Roman" w:cs="Times New Roman"/>
            <w:sz w:val="24"/>
            <w:szCs w:val="24"/>
          </w:rPr>
          <w:fldChar w:fldCharType="begin"/>
        </w:r>
        <w:r w:rsidRPr="007C5AA7">
          <w:rPr>
            <w:rFonts w:ascii="Times New Roman" w:hAnsi="Times New Roman" w:cs="Times New Roman"/>
            <w:sz w:val="24"/>
            <w:szCs w:val="24"/>
          </w:rPr>
          <w:instrText xml:space="preserve"> PAGE   \* MERGEFORMAT </w:instrText>
        </w:r>
        <w:r w:rsidRPr="007C5AA7">
          <w:rPr>
            <w:rFonts w:ascii="Times New Roman" w:hAnsi="Times New Roman" w:cs="Times New Roman"/>
            <w:sz w:val="24"/>
            <w:szCs w:val="24"/>
          </w:rPr>
          <w:fldChar w:fldCharType="separate"/>
        </w:r>
        <w:r w:rsidRPr="007C5AA7">
          <w:rPr>
            <w:rFonts w:ascii="Times New Roman" w:hAnsi="Times New Roman" w:cs="Times New Roman"/>
            <w:noProof/>
            <w:sz w:val="24"/>
            <w:szCs w:val="24"/>
          </w:rPr>
          <w:t>2</w:t>
        </w:r>
        <w:r w:rsidRPr="007C5AA7">
          <w:rPr>
            <w:rFonts w:ascii="Times New Roman" w:hAnsi="Times New Roman" w:cs="Times New Roman"/>
            <w:noProof/>
            <w:sz w:val="24"/>
            <w:szCs w:val="24"/>
          </w:rPr>
          <w:fldChar w:fldCharType="end"/>
        </w:r>
      </w:p>
    </w:sdtContent>
  </w:sdt>
  <w:p w14:paraId="7C95BC3F" w14:textId="77777777" w:rsidR="007C5AA7" w:rsidRDefault="007C5A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ECE"/>
    <w:multiLevelType w:val="hybridMultilevel"/>
    <w:tmpl w:val="5DE0EA20"/>
    <w:lvl w:ilvl="0" w:tplc="6ECAA3F8">
      <w:start w:val="1"/>
      <w:numFmt w:val="bullet"/>
      <w:lvlText w:val="•"/>
      <w:lvlJc w:val="left"/>
      <w:pPr>
        <w:ind w:left="720" w:hanging="360"/>
      </w:pPr>
    </w:lvl>
    <w:lvl w:ilvl="1" w:tplc="FBDCF3E2">
      <w:start w:val="1"/>
      <w:numFmt w:val="bullet"/>
      <w:lvlText w:val="o"/>
      <w:lvlJc w:val="left"/>
      <w:pPr>
        <w:ind w:left="1440" w:hanging="360"/>
      </w:pPr>
    </w:lvl>
    <w:lvl w:ilvl="2" w:tplc="C62E5488">
      <w:start w:val="1"/>
      <w:numFmt w:val="bullet"/>
      <w:lvlText w:val="▪"/>
      <w:lvlJc w:val="left"/>
      <w:pPr>
        <w:ind w:left="2160" w:hanging="360"/>
      </w:pPr>
    </w:lvl>
    <w:lvl w:ilvl="3" w:tplc="70586B0E">
      <w:start w:val="1"/>
      <w:numFmt w:val="bullet"/>
      <w:lvlText w:val="•"/>
      <w:lvlJc w:val="left"/>
      <w:pPr>
        <w:ind w:left="2880" w:hanging="360"/>
      </w:pPr>
    </w:lvl>
    <w:lvl w:ilvl="4" w:tplc="5400FE00">
      <w:start w:val="1"/>
      <w:numFmt w:val="bullet"/>
      <w:lvlText w:val="o"/>
      <w:lvlJc w:val="left"/>
      <w:pPr>
        <w:ind w:left="3600" w:hanging="360"/>
      </w:pPr>
    </w:lvl>
    <w:lvl w:ilvl="5" w:tplc="E6F62E22">
      <w:start w:val="1"/>
      <w:numFmt w:val="bullet"/>
      <w:lvlText w:val="▪"/>
      <w:lvlJc w:val="left"/>
      <w:pPr>
        <w:ind w:left="4320" w:hanging="360"/>
      </w:pPr>
    </w:lvl>
    <w:lvl w:ilvl="6" w:tplc="5D68E6B0">
      <w:start w:val="1"/>
      <w:numFmt w:val="bullet"/>
      <w:lvlText w:val="•"/>
      <w:lvlJc w:val="left"/>
      <w:pPr>
        <w:ind w:left="5040" w:hanging="360"/>
      </w:pPr>
    </w:lvl>
    <w:lvl w:ilvl="7" w:tplc="77A69B0C">
      <w:start w:val="1"/>
      <w:numFmt w:val="bullet"/>
      <w:lvlText w:val="o"/>
      <w:lvlJc w:val="left"/>
      <w:pPr>
        <w:ind w:left="5760" w:hanging="360"/>
      </w:pPr>
    </w:lvl>
    <w:lvl w:ilvl="8" w:tplc="CC8E022A">
      <w:start w:val="1"/>
      <w:numFmt w:val="bullet"/>
      <w:lvlText w:val="▪"/>
      <w:lvlJc w:val="left"/>
      <w:pPr>
        <w:ind w:left="6480" w:hanging="360"/>
      </w:pPr>
    </w:lvl>
  </w:abstractNum>
  <w:abstractNum w:abstractNumId="1" w15:restartNumberingAfterBreak="0">
    <w:nsid w:val="08AF469D"/>
    <w:multiLevelType w:val="hybridMultilevel"/>
    <w:tmpl w:val="5464F5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533464"/>
    <w:multiLevelType w:val="hybridMultilevel"/>
    <w:tmpl w:val="28E06FD2"/>
    <w:lvl w:ilvl="0" w:tplc="27C416EA">
      <w:start w:val="1"/>
      <w:numFmt w:val="decimal"/>
      <w:lvlText w:val="%1."/>
      <w:lvlJc w:val="left"/>
      <w:pPr>
        <w:ind w:left="720" w:hanging="360"/>
      </w:pPr>
    </w:lvl>
    <w:lvl w:ilvl="1" w:tplc="547ECC68">
      <w:start w:val="1"/>
      <w:numFmt w:val="lowerLetter"/>
      <w:lvlText w:val="%2."/>
      <w:lvlJc w:val="left"/>
      <w:pPr>
        <w:ind w:left="1440" w:hanging="360"/>
      </w:pPr>
    </w:lvl>
    <w:lvl w:ilvl="2" w:tplc="5426A8D8">
      <w:start w:val="1"/>
      <w:numFmt w:val="lowerRoman"/>
      <w:lvlText w:val="%3."/>
      <w:lvlJc w:val="left"/>
      <w:pPr>
        <w:ind w:left="2160" w:hanging="360"/>
      </w:pPr>
    </w:lvl>
    <w:lvl w:ilvl="3" w:tplc="117ACF70">
      <w:start w:val="1"/>
      <w:numFmt w:val="decimal"/>
      <w:lvlText w:val="%4."/>
      <w:lvlJc w:val="left"/>
      <w:pPr>
        <w:ind w:left="2880" w:hanging="360"/>
      </w:pPr>
    </w:lvl>
    <w:lvl w:ilvl="4" w:tplc="759444B8">
      <w:start w:val="1"/>
      <w:numFmt w:val="lowerLetter"/>
      <w:lvlText w:val="%5."/>
      <w:lvlJc w:val="left"/>
      <w:pPr>
        <w:ind w:left="3600" w:hanging="360"/>
      </w:pPr>
    </w:lvl>
    <w:lvl w:ilvl="5" w:tplc="AC8617CA">
      <w:start w:val="1"/>
      <w:numFmt w:val="lowerRoman"/>
      <w:lvlText w:val="%6."/>
      <w:lvlJc w:val="left"/>
      <w:pPr>
        <w:ind w:left="4320" w:hanging="360"/>
      </w:pPr>
    </w:lvl>
    <w:lvl w:ilvl="6" w:tplc="18002AFC">
      <w:start w:val="1"/>
      <w:numFmt w:val="decimal"/>
      <w:lvlText w:val="%7."/>
      <w:lvlJc w:val="left"/>
      <w:pPr>
        <w:ind w:left="5040" w:hanging="360"/>
      </w:pPr>
    </w:lvl>
    <w:lvl w:ilvl="7" w:tplc="48CE80DA">
      <w:start w:val="1"/>
      <w:numFmt w:val="lowerLetter"/>
      <w:lvlText w:val="%8."/>
      <w:lvlJc w:val="left"/>
      <w:pPr>
        <w:ind w:left="5760" w:hanging="360"/>
      </w:pPr>
    </w:lvl>
    <w:lvl w:ilvl="8" w:tplc="CB76FBFA">
      <w:start w:val="1"/>
      <w:numFmt w:val="lowerRoman"/>
      <w:lvlText w:val="%9."/>
      <w:lvlJc w:val="left"/>
      <w:pPr>
        <w:ind w:left="6480" w:hanging="360"/>
      </w:pPr>
    </w:lvl>
  </w:abstractNum>
  <w:num w:numId="1" w16cid:durableId="515533575">
    <w:abstractNumId w:val="0"/>
  </w:num>
  <w:num w:numId="2" w16cid:durableId="1332172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F53AF"/>
    <w:rsid w:val="00015FDE"/>
    <w:rsid w:val="000602DD"/>
    <w:rsid w:val="000A564E"/>
    <w:rsid w:val="000C3283"/>
    <w:rsid w:val="000E3FBE"/>
    <w:rsid w:val="0011608C"/>
    <w:rsid w:val="001A768F"/>
    <w:rsid w:val="001F53AF"/>
    <w:rsid w:val="00212ED8"/>
    <w:rsid w:val="002335F7"/>
    <w:rsid w:val="00287398"/>
    <w:rsid w:val="003531F4"/>
    <w:rsid w:val="003573A3"/>
    <w:rsid w:val="00367588"/>
    <w:rsid w:val="003E2167"/>
    <w:rsid w:val="00585D28"/>
    <w:rsid w:val="005C627B"/>
    <w:rsid w:val="006212DC"/>
    <w:rsid w:val="00641665"/>
    <w:rsid w:val="006426DF"/>
    <w:rsid w:val="00664B46"/>
    <w:rsid w:val="006C0682"/>
    <w:rsid w:val="006D59F6"/>
    <w:rsid w:val="007342C3"/>
    <w:rsid w:val="007733EE"/>
    <w:rsid w:val="0078125B"/>
    <w:rsid w:val="007A51A5"/>
    <w:rsid w:val="007C5AA7"/>
    <w:rsid w:val="007D74DD"/>
    <w:rsid w:val="00827271"/>
    <w:rsid w:val="00847EFD"/>
    <w:rsid w:val="00863339"/>
    <w:rsid w:val="008F4CBF"/>
    <w:rsid w:val="00931BFB"/>
    <w:rsid w:val="00986B80"/>
    <w:rsid w:val="009F305E"/>
    <w:rsid w:val="00A53D28"/>
    <w:rsid w:val="00A63F3B"/>
    <w:rsid w:val="00AE340C"/>
    <w:rsid w:val="00B2707E"/>
    <w:rsid w:val="00B473C3"/>
    <w:rsid w:val="00B64AAE"/>
    <w:rsid w:val="00B75DFF"/>
    <w:rsid w:val="00B96F29"/>
    <w:rsid w:val="00BF2AED"/>
    <w:rsid w:val="00C4683C"/>
    <w:rsid w:val="00C70645"/>
    <w:rsid w:val="00C85DB1"/>
    <w:rsid w:val="00CB31CA"/>
    <w:rsid w:val="00CE4834"/>
    <w:rsid w:val="00CF0637"/>
    <w:rsid w:val="00D34C8F"/>
    <w:rsid w:val="00D5016A"/>
    <w:rsid w:val="00D6513A"/>
    <w:rsid w:val="00D65BDA"/>
    <w:rsid w:val="00DE5414"/>
    <w:rsid w:val="00E4629F"/>
    <w:rsid w:val="00E77CCC"/>
    <w:rsid w:val="00EA011F"/>
    <w:rsid w:val="00EC35C8"/>
    <w:rsid w:val="00F02ED8"/>
    <w:rsid w:val="00F2553F"/>
    <w:rsid w:val="00F35A48"/>
    <w:rsid w:val="00F546F8"/>
    <w:rsid w:val="00F97367"/>
    <w:rsid w:val="00FA5149"/>
    <w:rsid w:val="00FE19E1"/>
    <w:rsid w:val="00FF1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CA350"/>
  <w15:docId w15:val="{7C81983F-947D-4B1B-A8CE-6B6CEFF24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426DF"/>
    <w:rPr>
      <w:color w:val="605E5C"/>
      <w:shd w:val="clear" w:color="auto" w:fill="E1DFDD"/>
    </w:rPr>
  </w:style>
  <w:style w:type="paragraph" w:styleId="Caption">
    <w:name w:val="caption"/>
    <w:basedOn w:val="Normal"/>
    <w:next w:val="Normal"/>
    <w:uiPriority w:val="35"/>
    <w:unhideWhenUsed/>
    <w:qFormat/>
    <w:rsid w:val="003531F4"/>
    <w:pPr>
      <w:spacing w:after="200" w:line="240" w:lineRule="auto"/>
    </w:pPr>
    <w:rPr>
      <w:i/>
      <w:iCs/>
      <w:color w:val="0E2841" w:themeColor="text2"/>
      <w:sz w:val="18"/>
      <w:szCs w:val="18"/>
    </w:rPr>
  </w:style>
  <w:style w:type="paragraph" w:styleId="Header">
    <w:name w:val="header"/>
    <w:basedOn w:val="Normal"/>
    <w:link w:val="HeaderChar"/>
    <w:uiPriority w:val="99"/>
    <w:unhideWhenUsed/>
    <w:rsid w:val="007C5A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5AA7"/>
  </w:style>
  <w:style w:type="paragraph" w:styleId="Footer">
    <w:name w:val="footer"/>
    <w:basedOn w:val="Normal"/>
    <w:link w:val="FooterChar"/>
    <w:uiPriority w:val="99"/>
    <w:unhideWhenUsed/>
    <w:rsid w:val="007C5A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5A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doi.org/10.1177/09500170251325784" TargetMode="External"/><Relationship Id="rId18" Type="http://schemas.openxmlformats.org/officeDocument/2006/relationships/hyperlink" Target="https://www.worldbank.org/en/publication/wdr202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statista.com/chart/34324/projected-changes-in-merchandise-exports-to-the-us-and-imports-from-china/" TargetMode="External"/><Relationship Id="rId17" Type="http://schemas.openxmlformats.org/officeDocument/2006/relationships/hyperlink" Target="https://www.statista.com/statistics/264623/leading-export-countries-worldwide/" TargetMode="External"/><Relationship Id="rId2" Type="http://schemas.openxmlformats.org/officeDocument/2006/relationships/styles" Target="styles.xml"/><Relationship Id="rId16" Type="http://schemas.openxmlformats.org/officeDocument/2006/relationships/hyperlink" Target="https://www.technology.org/2026/10/19/china-rare-earth-export-pause-november-1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hl.com/fr-en/home/press/press-archive/2026/global-connectedness-report-2026.html" TargetMode="External"/><Relationship Id="rId5" Type="http://schemas.openxmlformats.org/officeDocument/2006/relationships/footnotes" Target="footnotes.xml"/><Relationship Id="rId15" Type="http://schemas.openxmlformats.org/officeDocument/2006/relationships/hyperlink" Target="https://dx.doi.org/10.2139/ssrn.5805382" TargetMode="External"/><Relationship Id="rId10" Type="http://schemas.openxmlformats.org/officeDocument/2006/relationships/hyperlink" Target="https://www.coface.com.sg/content/download/87938/file/PR%20-%20Coface%20-%20US-China%20trade%20agreement%20a%20tactical%20truce,%20not%20strategic%20shift%20-%20SG.pdf"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livewiremarkets.com/wires/which-country-is-the-largest-exporter-of-unseparated-rare-earth-concentrates-to-chi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8</Pages>
  <Words>2118</Words>
  <Characters>12074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Globalisation’s Stress Test Geopolitics Is Breaking Liberal Theory, Not Global T</vt:lpstr>
    </vt:vector>
  </TitlesOfParts>
  <Company/>
  <LinksUpToDate>false</LinksUpToDate>
  <CharactersWithSpaces>14164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Globalisation’s Stress Test Geopolitics Is Breaking Liberal Theory, Not Global T</dc:title>
  <dc:subject/>
  <dc:creator>social workers</dc:creator>
  <cp:keywords/>
  <dc:description/>
  <cp:lastModifiedBy>social workers</cp:lastModifiedBy>
  <cp:revision>37</cp:revision>
  <dcterms:created xsi:type="dcterms:W3CDTF">2026-10-25T01:52:00Z</dcterms:created>
  <dcterms:modified xsi:type="dcterms:W3CDTF">2026-10-25T22:35:00Z</dcterms:modified>
</cp:coreProperties>
</file>