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header, x-sucuri-cache header, and body content.</w:t>
      </w:r>
    </w:p>
    <w:p>
      <w:pPr>
        <w:pStyle w:val="ListParagraph"/>
        <w:widowControl/>
        <w:spacing w:after="40"/>
      </w:pPr>
      <w:r>
        <w:t>F5 BIG-IP ASM -- Detected via proprietary headers and F5 session cookies.</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your public IP addresses. An exposed RDP service is rated as a critical finding because automated attack tools continuously scan the entire internet for open RDP, and compromised RDP credentials are bought and sold on criminal marketplaces.</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dnsbl.sorbs.net — SORBS listings often indicate the IP is on a dynamic/residential range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403: The Git repository metadata exists on the server. While blocked, its presence confirms a deployment practice that may expose source code if misconfigured.</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pPr>
        <w:widowControl/>
        <w:spacing w:after="80"/>
      </w:pPr>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pPr>
        <w:widowControl/>
        <w:spacing w:after="80"/>
      </w:pPr>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A cheap discriminator probes /wp-content/, /wp-login.php, and /wp-includes/; if none respond the checker reports 'skipped' (the site is not WordPress and the card does not render in the report). When WordPress is detected, the scanner enumerates 25 popular plugin slugs by HEADing /wp-content/plugins/&lt;slug&gt;/ and harvests version strings from /wp-content/plugins/&lt;slug&gt;/readme.txt via the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vulnerability uplift (central tendency) AND drives the catastrophe-tail K_TAIL_SC widening at P75-P99.6. Empirically vendor-breach is the most reliable tail-driver in the model — see SCN-029 K_TAIL pattern.</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keepNext/>
        <w:spacing w:before="200" w:after="60"/>
      </w:pPr>
      <w:r>
        <w:rPr>
          <w:b/>
          <w:color w:val="003366"/>
          <w:sz w:val="26"/>
        </w:rPr>
        <w:t>4.6.18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from sub-industry rules and payment-form signals on the homepage; accountable institution from FS / Legal Services / Real Estate sub-industry mapping; healthcare sub-detail (medical_scheme / pharmacy / pharma / hospital_clinic) from domain and page-title keywords; GDPR and PCI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is inferred from consumer-facing sub-industry labels plus payment-form signals from the homepage probe.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