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on Render</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 DNS records, SSL certificates, HTTP headers, open ports, email authentication, credential leaks, dark-web exposure, and reputation data --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Render,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 Internet-wide port and service scanning data, vulnerability lookups</w:t>
      </w:r>
    </w:p>
    <w:p>
      <w:pPr>
        <w:pStyle w:val="ListParagraph"/>
        <w:widowControl/>
        <w:spacing w:after="40"/>
      </w:pPr>
      <w:r>
        <w:t>Have I Been Pwned (HIBP) -- Breach database for domain-level email exposure</w:t>
      </w:r>
    </w:p>
    <w:p>
      <w:pPr>
        <w:pStyle w:val="ListParagraph"/>
        <w:widowControl/>
        <w:spacing w:after="40"/>
      </w:pPr>
      <w:r>
        <w:t>Dehashed -- Credential leak database with password hash and plaintext detection</w:t>
      </w:r>
    </w:p>
    <w:p>
      <w:pPr>
        <w:pStyle w:val="ListParagraph"/>
        <w:widowControl/>
        <w:spacing w:after="40"/>
      </w:pPr>
      <w:r>
        <w:t>VirusTotal -- Malware, phishing, and reputation intelligence</w:t>
      </w:r>
    </w:p>
    <w:p>
      <w:pPr>
        <w:pStyle w:val="ListParagraph"/>
        <w:widowControl/>
        <w:spacing w:after="40"/>
      </w:pPr>
      <w:r>
        <w:t>SecurityTrails -- Historical DNS records, domain ownership changes</w:t>
      </w:r>
    </w:p>
    <w:p>
      <w:pPr>
        <w:pStyle w:val="ListParagraph"/>
        <w:widowControl/>
        <w:spacing w:after="40"/>
      </w:pPr>
      <w:r>
        <w:t>IntelX (Intelligence X) -- Dark-web and paste-site exposure monitoring</w:t>
      </w:r>
    </w:p>
    <w:p>
      <w:pPr>
        <w:pStyle w:val="ListParagraph"/>
        <w:widowControl/>
        <w:spacing w:after="40"/>
      </w:pPr>
      <w:r>
        <w:t>OSV.dev / NVD -- Open-source vulnerability database for CVE enrichment</w:t>
      </w:r>
    </w:p>
    <w:p>
      <w:pPr>
        <w:pStyle w:val="ListParagraph"/>
        <w:widowControl/>
        <w:spacing w:after="40"/>
      </w:pPr>
      <w:r>
        <w:t>HudsonRock -- Infostealer malware credential compromise data</w:t>
      </w:r>
    </w:p>
    <w:p>
      <w:pPr>
        <w:pStyle w:val="ListParagraph"/>
        <w:widowControl/>
        <w:spacing w:after="40"/>
      </w:pPr>
      <w:r>
        <w:t>Certificate Transparency Logs -- Subdomain enumeration via issued certificates</w:t>
      </w:r>
    </w:p>
    <w:p>
      <w:pPr>
        <w:pStyle w:val="ListParagraph"/>
        <w:widowControl/>
        <w:spacing w:after="40"/>
      </w:pPr>
      <w:r>
        <w:t>Multiple DNSBL providers --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https://phishield-scanner.onrender.com. This is the hosted version used by underwriters and brokers for day-to-day scanning. It is deployed on Render and is accessible from any internet-connected device.</w:t>
      </w:r>
    </w:p>
    <w:p>
      <w:pPr>
        <w:widowControl/>
        <w:spacing w:after="80"/>
      </w:pPr>
      <w:r>
        <w:rPr>
          <w:b/>
          <w:color w:val="003399"/>
        </w:rPr>
        <w:t xml:space="preserve">NOTE: </w:t>
      </w:r>
      <w:r>
        <w:t>The production instance may take 30-60 seconds to respond on the first request if it has been idle, because the Render free tier spins down inactive services. Subsequent requests will respond immediately.</w:t>
      </w:r>
    </w:p>
    <w:p>
      <w:pPr>
        <w:keepNext/>
        <w:widowControl/>
        <w:spacing w:after="80"/>
      </w:pPr>
      <w:r>
        <w:rPr>
          <w:b/>
          <w:color w:val="008000"/>
        </w:rPr>
        <w:t xml:space="preserve">TIP: </w:t>
      </w:r>
      <w:r>
        <w:t>Bookmark the production URL for quick access. If you experience slow loading, simply wait for the initial spin-up to complete and then refresh the page.</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 A spinning indicator shows that the checker is currently executing. Multiple checkers run concurrently during Phase 2a.</w:t>
      </w:r>
    </w:p>
    <w:p>
      <w:pPr>
        <w:pStyle w:val="ListParagraph"/>
        <w:widowControl/>
        <w:spacing w:after="40"/>
      </w:pPr>
      <w:r>
        <w:t>Done -- A green tick indicates successful completion. The checker's score or grade appears next to its name.</w:t>
      </w:r>
    </w:p>
    <w:p>
      <w:pPr>
        <w:pStyle w:val="ListParagraph"/>
        <w:widowControl/>
        <w:spacing w:after="40"/>
      </w:pPr>
      <w:r>
        <w:t>Error --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1 -- 1 000:  Score 100.  Among the most visited sites on the internet.</w:t>
      </w:r>
    </w:p>
    <w:p>
      <w:pPr>
        <w:pStyle w:val="ListParagraph"/>
        <w:widowControl/>
        <w:spacing w:after="40"/>
      </w:pPr>
      <w:r>
        <w:t>Rank 1 001 -- 10 000:  Score 90.  High-traffic, well-known domain.</w:t>
      </w:r>
    </w:p>
    <w:p>
      <w:pPr>
        <w:pStyle w:val="ListParagraph"/>
        <w:widowControl/>
        <w:spacing w:after="40"/>
      </w:pPr>
      <w:r>
        <w:t>Rank 10 001 -- 100 000:  Score 70.  Moderate traffic, established online presence.</w:t>
      </w:r>
    </w:p>
    <w:p>
      <w:pPr>
        <w:pStyle w:val="ListParagraph"/>
        <w:widowControl/>
        <w:spacing w:after="40"/>
      </w:pPr>
      <w:r>
        <w:t>Rank 100 001 -- 1 000 000: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85--94):  Very good. One or two minor items may be missing (for example, OCSP stapling or CAA records) but overall configuration is strong.</w:t>
      </w:r>
    </w:p>
    <w:p>
      <w:pPr>
        <w:pStyle w:val="ListParagraph"/>
        <w:widowControl/>
        <w:spacing w:after="40"/>
      </w:pPr>
      <w:r>
        <w:t>Grade B (score 70--84):  Acceptable. The certificate is valid and modern TLS is supported, but there may be a deprecated TLS version still enabled or HSTS may be missing. Remediation is recommended.</w:t>
      </w:r>
    </w:p>
    <w:p>
      <w:pPr>
        <w:pStyle w:val="ListParagraph"/>
        <w:widowControl/>
        <w:spacing w:after="40"/>
      </w:pPr>
      <w:r>
        <w:t>Grade C (score 55--69):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40--54):  Poor. Serious configuration weaknesses are present. This may include an expiring certificate combined with deprecated protocols and missing HSTS.</w:t>
      </w:r>
    </w:p>
    <w:p>
      <w:pPr>
        <w:pStyle w:val="ListParagraph"/>
        <w:widowControl/>
        <w:spacing w:after="40"/>
      </w:pPr>
      <w:r>
        <w:t>Grade F (score 0--39):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(0--100%) of the maximum achievable weight.</w:t>
      </w:r>
    </w:p>
    <w:p>
      <w:pPr>
        <w:widowControl/>
        <w:spacing w:after="80"/>
      </w:pPr>
      <w:r>
        <w:t>Headers evaluated and their weights:</w:t>
      </w:r>
    </w:p>
    <w:p>
      <w:pPr>
        <w:widowControl/>
        <w:spacing w:after="80"/>
      </w:pPr>
      <w:r>
        <w:rPr>
          <w:b/>
        </w:rPr>
        <w:t xml:space="preserve">Strict-Transport-Security (HSTS) --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 Allows inline scripts and event handlers. This effectively defeats XSS protection, because an attacker who can inject HTML can also inject inline script tags.</w:t>
      </w:r>
    </w:p>
    <w:p>
      <w:pPr>
        <w:pStyle w:val="ListParagraph"/>
        <w:widowControl/>
        <w:spacing w:after="40"/>
      </w:pPr>
      <w:r>
        <w:t>'unsafe-eval' -- Allows the use of eval(), new Function(), and similar dynamic code execution methods. Attackers frequently exploit these functions to execute injected payloads.</w:t>
      </w:r>
    </w:p>
    <w:p>
      <w:pPr>
        <w:pStyle w:val="ListParagraph"/>
        <w:widowControl/>
        <w:spacing w:after="40"/>
      </w:pPr>
      <w:r>
        <w:t>Wildcard (*) in script-src -- Permits scripts from any domain. An attacker can host a malicious script on any server and it will be allowed by the policy.</w:t>
      </w:r>
    </w:p>
    <w:p>
      <w:pPr>
        <w:pStyle w:val="ListParagraph"/>
        <w:widowControl/>
        <w:spacing w:after="40"/>
      </w:pPr>
      <w:r>
        <w:t>data: URIs in script-src --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 The fallback directive. If this is missing and a specific directive is also missing, the browser applies no restriction for that resource type.</w:t>
      </w:r>
    </w:p>
    <w:p>
      <w:pPr>
        <w:pStyle w:val="ListParagraph"/>
        <w:widowControl/>
        <w:spacing w:after="40"/>
      </w:pPr>
      <w:r>
        <w:t>script-src -- Controls where JavaScript can be loaded from. This is the most important directive for preventing XSS.</w:t>
      </w:r>
    </w:p>
    <w:p>
      <w:pPr>
        <w:pStyle w:val="ListParagraph"/>
        <w:widowControl/>
        <w:spacing w:after="40"/>
      </w:pPr>
      <w:r>
        <w:t>frame-ancestors -- Controls which sites can embed this page in a frame. This is the modern replacement for X-Frame-Options.</w:t>
      </w:r>
    </w:p>
    <w:p>
      <w:pPr>
        <w:pStyle w:val="ListParagraph"/>
        <w:widowControl/>
        <w:spacing w:after="40"/>
      </w:pPr>
      <w:r>
        <w:t>object-src -- Controls where plugins (Flash, Java applets) can be loaded from. Setting this to 'none' blocks legacy plugin-based attacks.</w:t>
      </w:r>
    </w:p>
    <w:p>
      <w:pPr>
        <w:pStyle w:val="ListParagraph"/>
        <w:widowControl/>
        <w:spacing w:after="40"/>
      </w:pPr>
      <w:r>
        <w:t>base-uri --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(0--100) is divided by 10 to produce a 0--10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on three categories of evidence: HTTP response headers unique to the WAF vendor, cookies set by the WAF, and characteristic content in the response body.</w:t>
      </w:r>
    </w:p>
    <w:p>
      <w:pPr>
        <w:widowControl/>
        <w:spacing w:after="80"/>
      </w:pPr>
      <w:r>
        <w:t>The scanner recognises the following WAF and protection services:</w:t>
      </w:r>
    </w:p>
    <w:p>
      <w:pPr>
        <w:pStyle w:val="ListParagraph"/>
        <w:widowControl/>
        <w:spacing w:after="40"/>
      </w:pPr>
      <w:r>
        <w:t>Cloudflare -- Detected via cf-ray header, cf-cache-status header, and related cookies.</w:t>
      </w:r>
    </w:p>
    <w:p>
      <w:pPr>
        <w:pStyle w:val="ListParagraph"/>
        <w:widowControl/>
        <w:spacing w:after="40"/>
      </w:pPr>
      <w:r>
        <w:t>AWS WAF / CloudFront -- Detected via x-amz-cf-id header, x-amzn-requestid header, and AWS load-balancer cookies.</w:t>
      </w:r>
    </w:p>
    <w:p>
      <w:pPr>
        <w:pStyle w:val="ListParagraph"/>
        <w:widowControl/>
        <w:spacing w:after="40"/>
      </w:pPr>
      <w:r>
        <w:t>Imperva / Incapsula -- Detected via x-iinfo header, x-cdn header, and incapsula session cookies.</w:t>
      </w:r>
    </w:p>
    <w:p>
      <w:pPr>
        <w:pStyle w:val="ListParagraph"/>
        <w:widowControl/>
        <w:spacing w:after="40"/>
      </w:pPr>
      <w:r>
        <w:t>Akamai -- Detected via x-akamai-transformed header and Akamai bot-management cookies.</w:t>
      </w:r>
    </w:p>
    <w:p>
      <w:pPr>
        <w:pStyle w:val="ListParagraph"/>
        <w:widowControl/>
        <w:spacing w:after="40"/>
      </w:pPr>
      <w:r>
        <w:t>Sucuri -- Detected via x-sucuri-id header, x-sucuri-cache header, and body content.</w:t>
      </w:r>
    </w:p>
    <w:p>
      <w:pPr>
        <w:pStyle w:val="ListParagraph"/>
        <w:widowControl/>
        <w:spacing w:after="40"/>
      </w:pPr>
      <w:r>
        <w:t>F5 BIG-IP ASM -- Detected via proprietary headers and F5 session cookies.</w:t>
      </w:r>
    </w:p>
    <w:p>
      <w:pPr>
        <w:pStyle w:val="ListParagraph"/>
        <w:widowControl/>
        <w:spacing w:after="40"/>
      </w:pPr>
      <w:r>
        <w:t>Barracuda --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 Monitor only. Failing messages are still delivered. This is a starting point for collecting data but provides no protection.</w:t>
      </w:r>
    </w:p>
    <w:p>
      <w:pPr>
        <w:pStyle w:val="ListParagraph"/>
        <w:widowControl/>
        <w:spacing w:after="40"/>
      </w:pPr>
      <w:r>
        <w:t>quarantine — Failing messages are sent to the recipient’s spam or junk folder. Provides moderate protection.</w:t>
      </w:r>
    </w:p>
    <w:p>
      <w:pPr>
        <w:pStyle w:val="ListParagraph"/>
        <w:widowControl/>
        <w:spacing w:after="40"/>
      </w:pPr>
      <w:r>
        <w:t>reject —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 A search and analytics engine that often contains indexed copies of sensitive business data. Exposed Elasticsearch clusters are a leading cause of large-scale data leaks.</w:t>
      </w:r>
    </w:p>
    <w:p>
      <w:pPr>
        <w:pStyle w:val="ListParagraph"/>
        <w:widowControl/>
        <w:spacing w:after="40"/>
      </w:pPr>
      <w:r>
        <w:t>PostgreSQL (port 5432) — A relational database that, if internet-facing, is subject to brute-force password attacks and exploitation of known vulnerabilities.</w:t>
      </w:r>
    </w:p>
    <w:p>
      <w:pPr>
        <w:pStyle w:val="ListParagraph"/>
        <w:widowControl/>
        <w:spacing w:after="40"/>
      </w:pPr>
      <w:r>
        <w:t>Microsoft SQL Server (port 1433) —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 A document-oriented database that exposes an HTTP API. Default configurations may allow unauthenticated read and write access to all databases.</w:t>
      </w:r>
    </w:p>
    <w:p>
      <w:pPr>
        <w:pStyle w:val="ListParagraph"/>
        <w:widowControl/>
        <w:spacing w:after="40"/>
      </w:pPr>
      <w:r>
        <w:t>MySQL (port 3306) —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 The CDN absorbs volumetric attacks that would overwhelm your origin server, maintaining availability during an attack.</w:t>
      </w:r>
    </w:p>
    <w:p>
      <w:pPr>
        <w:pStyle w:val="ListParagraph"/>
        <w:widowControl/>
        <w:spacing w:after="40"/>
      </w:pPr>
      <w:r>
        <w:t>Origin Masking — The CDN hides your actual server IP address, making it significantly harder for attackers to target your infrastructure directly.</w:t>
      </w:r>
    </w:p>
    <w:p>
      <w:pPr>
        <w:pStyle w:val="ListParagraph"/>
        <w:widowControl/>
        <w:spacing w:after="40"/>
      </w:pPr>
      <w:r>
        <w:t>Web Application Firewall (WAF) — Many CDN providers include a WAF that filters common web attacks (SQL injection, cross-site scripting) before they reach your application.</w:t>
      </w:r>
    </w:p>
    <w:p>
      <w:pPr>
        <w:pStyle w:val="ListParagraph"/>
        <w:widowControl/>
        <w:spacing w:after="40"/>
      </w:pPr>
      <w:r>
        <w:t>Performance —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 the ‘origin’ —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 this is a typical result for established businesses. The breach names, dates, and exposed data types are listed in the report.</w:t>
      </w:r>
    </w:p>
    <w:p>
      <w:pPr>
        <w:pStyle w:val="ListParagraph"/>
        <w:widowControl/>
        <w:spacing w:after="40"/>
      </w:pPr>
      <w:r>
        <w:t>Data classes exposed: Email addresses, Passwords, Names, Phone numbers — the more sensitive data classes present, the higher the risk to the organisation.</w:t>
      </w:r>
    </w:p>
    <w:p>
      <w:pPr>
        <w:pStyle w:val="ListParagraph"/>
        <w:widowControl/>
        <w:spacing w:after="40"/>
      </w:pPr>
      <w:r>
        <w:t>Most recent breach: 2024-01-15 —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five major blacklists: Spamhaus ZEN (zen.spamhaus.org), SpamCop (bl.spamcop.net), SORBS (dnsbl.sorbs.net), Barracuda (b.barracudacentral.org), and UCEProtect (dnsbl-1.uceprotect.net). For domain-based checks, it queries Spamhaus DBL (dbl.spamhaus.org) and URIBL (uribl.com). A successful DNS resolution means the IP or domain is listed.</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 this is the most common single listing and indicates the IP has been flagged for spam or malware activity.</w:t>
      </w:r>
    </w:p>
    <w:p>
      <w:pPr>
        <w:pStyle w:val="ListParagraph"/>
        <w:widowControl/>
        <w:spacing w:after="40"/>
      </w:pPr>
      <w:r>
        <w:t>Listed on dnsbl.sorbs.net — SORBS listings often indicate the IP is on a dynamic/residential range or has been an open relay.</w:t>
      </w:r>
    </w:p>
    <w:p>
      <w:pPr>
        <w:pStyle w:val="ListParagraph"/>
        <w:widowControl/>
        <w:spacing w:after="40"/>
      </w:pPr>
      <w:r>
        <w:t>No listings found —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An HTTP 200 response means the path is directly accessible — this is a confirmed exposure. For critical paths, HTTP 401 and 403 responses are also flagged because they confirm the path exists (a server that returns 403 on /.env has admitted the file is there, even if it is access-controlled). Non-critical paths only flag on HTTP 200.</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 HTTP 200 (CRITICAL): The environment file is publicly readable. This typically exposes database host, username, password, API keys, and application secrets.</w:t>
      </w:r>
    </w:p>
    <w:p>
      <w:pPr>
        <w:pStyle w:val="ListParagraph"/>
        <w:widowControl/>
        <w:spacing w:after="40"/>
      </w:pPr>
      <w:r>
        <w:t>/wp-admin — HTTP 200: The WordPress administration panel is accessible from the public internet without IP restriction.</w:t>
      </w:r>
    </w:p>
    <w:p>
      <w:pPr>
        <w:pStyle w:val="ListParagraph"/>
        <w:widowControl/>
        <w:spacing w:after="40"/>
      </w:pPr>
      <w:r>
        <w:t>/server-status — HTTP 200 (MEDIUM): Apache mod_status is enabled, leaking active connections, client IPs, and request URLs.</w:t>
      </w:r>
    </w:p>
    <w:p>
      <w:pPr>
        <w:pStyle w:val="ListParagraph"/>
        <w:widowControl/>
        <w:spacing w:after="40"/>
      </w:pPr>
      <w:r>
        <w:t>/.git/HEAD — HTTP 403: The Git repository metadata exists on the server. While blocked, its presence confirms a deployment practice that may expose source code if misconfigured.</w:t>
      </w:r>
    </w:p>
    <w:p>
      <w:pPr>
        <w:widowControl/>
        <w:spacing w:after="80"/>
      </w:pPr>
      <w:r>
        <w:rPr>
          <w:b/>
          <w:color w:val="B40000"/>
        </w:rPr>
        <w:t xml:space="preserve">WARNING: </w:t>
      </w:r>
      <w:r>
        <w:t>An exposed .env file is one of the most critical findings the scanner can produce. It should be treated as an active compromise —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via crt.sh and DNS brute-force resolution of 50+ common prefixes (www, mail, vpn, dev, staging, test, admin, api, beta, backup, jenkins, gitlab, jira, grafana, kibana, phpmyadmin, cpanel, owa, exchange, and many more). Discovered subdomains are classified as 'risky' if they contain keywords associated with development, administration, or internal infrastructure.</w:t>
      </w:r>
    </w:p>
    <w:p>
      <w:pPr>
        <w:widowControl/>
        <w:spacing w:after="80"/>
      </w:pPr>
      <w:r>
        <w:rPr>
          <w:b/>
        </w:rPr>
        <w:t xml:space="preserve">How it works: </w:t>
      </w:r>
      <w:r>
        <w:t>First, a query to crt.sh retrieves all certificates ever issued for the domain and its subdomains from public Certificate Transparency logs. This reveals subdomains the organisation may have forgotten about — old staging servers, decommissioned APIs, and test environments. Second, the scanner resolves each of the 50+ brute-force prefixes via DNS to catch subdomains that may not have certificates. Each discovered subdomain is tagged with risk keywords (dev, staging, test, admin, backup, database, internal, vpn, etc.).</w:t>
      </w:r>
    </w:p>
    <w:p>
      <w:pPr>
        <w:widowControl/>
        <w:spacing w:after="80"/>
      </w:pPr>
      <w:r>
        <w:rPr>
          <w:b/>
        </w:rPr>
        <w:t xml:space="preserve">Phase 3 —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 endpoint unclaimed. An attacker can register this GitHub Pages repository and serve content on the subdomain.</w:t>
      </w:r>
    </w:p>
    <w:p>
      <w:pPr>
        <w:pStyle w:val="ListParagraph"/>
        <w:widowControl/>
        <w:spacing w:after="40"/>
      </w:pPr>
      <w:r>
        <w:t>vpn.example.com, owa.example.com —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 remove the dangling CNAME record from DNS —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 a medium-severity CVE with 80% EPSS is scored more harshly than a high-severity CVE with 1% EPSS. The Shodan checker is one of the highest-weighted components in the overall score calculation.</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 CVSS 9.8 (CRITICAL) — CISA KEV: Yes — EPSS: 94.2% —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 easily cracked) or strong (bcrypt, argon2, scrypt, SHA-256, SHA-512 —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 corporate addresses represent direct risk to the organisation.</w:t>
      </w:r>
    </w:p>
    <w:p>
      <w:pPr>
        <w:pStyle w:val="ListParagraph"/>
        <w:widowControl/>
        <w:spacing w:after="40"/>
      </w:pPr>
      <w:r>
        <w:t>Breach sources: Collection #1, LinkedIn 2012, Adobe, Exploit.in, Anti Public Combo List —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 credentials are actively being sold on dark web markets. Immediate incident response required.</w:t>
      </w:r>
    </w:p>
    <w:p>
      <w:pPr>
        <w:pStyle w:val="ListParagraph"/>
        <w:widowControl/>
        <w:spacing w:after="40"/>
      </w:pPr>
      <w:r>
        <w:t>3 user account(s) compromised via infostealer — force password resets and enable MFA for affected accounts.</w:t>
      </w:r>
    </w:p>
    <w:p>
      <w:pPr>
        <w:pStyle w:val="ListParagraph"/>
        <w:widowControl/>
        <w:spacing w:after="40"/>
      </w:pPr>
      <w:r>
        <w:t>5 third-party exposure(s) detected — review supply chain partners and shared credential access.</w:t>
      </w:r>
    </w:p>
    <w:p>
      <w:pPr>
        <w:pStyle w:val="ListParagraph"/>
        <w:widowControl/>
        <w:spacing w:after="40"/>
      </w:pPr>
      <w:r>
        <w:t>No infostealer infections detected —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 credentials or data may be actively traded on criminal forums.</w:t>
      </w:r>
    </w:p>
    <w:p>
      <w:pPr>
        <w:pStyle w:val="ListParagraph"/>
        <w:widowControl/>
        <w:spacing w:after="40"/>
      </w:pPr>
      <w:r>
        <w:t>8 paste site mention(s) — data has been shared on public paste sites (Pastebin, etc.).</w:t>
      </w:r>
    </w:p>
    <w:p>
      <w:pPr>
        <w:pStyle w:val="ListParagraph"/>
        <w:widowControl/>
        <w:spacing w:after="40"/>
      </w:pPr>
      <w:r>
        <w:t>12 reference(s) found in dark web and leak databases —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 Dehashed, HIBP, Hudson Rock, and IntelX —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Risk levels and their meanings: </w:t>
      </w:r>
      <w:r>
        <w:t>CRITICAL — Active infostealer infection detected or credentials being actively traded on the dark web. Immediate incident response required: isolate devices, force all password resets, enable MFA, engage forensics. HIGH — Recent breach (2023+) with password exposure, or dark web mentions detected. Force password resets for identified accounts, enable MFA, implement continuous monitoring. MEDIUM — Historical credential exposure without active compromise indicators. Review affected accounts, enforce MFA, monitor for credential-stuffing attempts. LOW —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 human-readable explanations of why the risk level was assigned (e.g., 'ACTIVE INFOSTEALER: 2 employee device(s) currently infected —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 e.g., 'business', 'phishing', 'malware'), popularity_ranks (Alexa, Cisco Umbrella), and last_analysis_results (per-engine verdict details). The scanner extracts flagging engines — any engine that returned 'malicious' or 'suspicious' —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 the flagging engines are listed by name (e.g., Fortinet, Kaspersky, ESET) with their specific verdicts.</w:t>
      </w:r>
    </w:p>
    <w:p>
      <w:pPr>
        <w:pStyle w:val="ListParagraph"/>
        <w:widowControl/>
        <w:spacing w:after="40"/>
      </w:pPr>
      <w:r>
        <w:t>1 security engine(s) flagged this domain as suspicious — a single suspicious flag may be a false positive but warrants investigation.</w:t>
      </w:r>
    </w:p>
    <w:p>
      <w:pPr>
        <w:pStyle w:val="ListParagraph"/>
        <w:widowControl/>
        <w:spacing w:after="40"/>
      </w:pPr>
      <w:r>
        <w:t>Categories: Fortinet classifies the domain as 'phishing' —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eight generation techniques: character omission, adjacent character swap, character duplication, homoglyph substitution (visually similar characters like 'o' and '0', 'l' and '1'), adjacent-keyboard typos (fat-finger errors), TLD variants (e.g., .com to .net, .co, .io, .co.za), dot insertion, and hyphen insertion.</w:t>
      </w:r>
    </w:p>
    <w:p>
      <w:pPr>
        <w:widowControl/>
        <w:spacing w:after="80"/>
      </w:pPr>
      <w:r>
        <w:rPr>
          <w:b/>
        </w:rPr>
        <w:t xml:space="preserve">How it works: </w:t>
      </w:r>
      <w:r>
        <w:t>First, the domain is split into its name and TLD components (handling multi-part TLDs like .co.za). The permutation engine generates all variants using the eight techniques above. For homoglyph substitution, the scanner uses a mapping of visually similar characters (a/4/@, b/d/6, e/3, i/1/l/!, o/0, s/5/$, etc.). For keyboard typos, it uses an adjacency map of QWERTY keyboard neighbours. TLD variants are checked across 17 common TLDs including .com, .net, .org, .co, .dev, .online, .io, .info, .co.za, and .africa. Each generated permutation is checked via DNS resolution —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 these are the highest-risk variants as they can serve convincing HTTPS phishing pages.</w:t>
      </w:r>
    </w:p>
    <w:p>
      <w:pPr>
        <w:pStyle w:val="ListParagraph"/>
        <w:widowControl/>
        <w:spacing w:after="40"/>
      </w:pPr>
      <w:r>
        <w:t>No lookalike domains resolving —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 broker should review whether the unknown include is legitimate or a stale configuration artefact.</w:t>
      </w:r>
    </w:p>
    <w:p>
      <w:pPr>
        <w:keepNext/>
        <w:spacing w:before="200" w:after="60"/>
      </w:pPr>
      <w:r>
        <w:rPr>
          <w:b/>
          <w:color w:val="003366"/>
          <w:sz w:val="26"/>
        </w:rPr>
        <w:t>4.6.16  CMS Plugin Surface — WordPress (S-10)</w:t>
      </w:r>
    </w:p>
    <w:p>
      <w:pPr>
        <w:widowControl/>
        <w:spacing w:after="80"/>
      </w:pPr>
      <w:r>
        <w:rPr>
          <w:b/>
        </w:rPr>
        <w:t xml:space="preserve">What it checks: </w:t>
      </w:r>
      <w:r>
        <w:t>WordPress-only. A cheap discriminator probes /wp-content/, /wp-login.php, and /wp-includes/; if none respond the checker reports 'skipped' (the site is not WordPress and the card does not render in the report). When WordPress is detected, the scanner enumerates 25 popular plugin slugs by HEADing /wp-content/plugins/&lt;slug&gt;/ and harvests version strings from /wp-content/plugins/&lt;slug&gt;/readme.txt via the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FAIR model under-estimates loss-given-breach for the 12% SC-vectored slice — see FIN-9 in the gap analysis for the conditional LGB Pareto refinement that addresses this.</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 most reliably —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 a point-in-time malware capture —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 'is someone able to log in right now?' —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 Hudson Rock infostealer harvest (via credential_risk), S-4 SPF vendor surface, S-5 known-breach matches —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 Interpreting Exposure Results</w:t>
      </w:r>
    </w:p>
    <w:p>
      <w:pPr>
        <w:widowControl/>
        <w:spacing w:after="80"/>
      </w:pPr>
      <w:r>
        <w:t>The seventeen checkers in this section work together to provide a 360-degree view of a domain's exposure and reputation profile —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29 end-of-life (EOL) software signatures that are checked against every detected component. A component is flagged as EOL when its version falls below the vendor's actively supported threshold. For example, jQuery versions below 3.x, PHP below 8.1, or WordPress major releases that no longer receive security updates.</w:t>
      </w:r>
    </w:p>
    <w:p>
      <w:pPr>
        <w:widowControl/>
        <w:spacing w:after="80"/>
      </w:pPr>
      <w:r>
        <w:rPr>
          <w:b/>
          <w:color w:val="B40000"/>
        </w:rPr>
        <w:t xml:space="preserve">WARNING: </w:t>
      </w:r>
      <w:r>
        <w:t>End-of-life software is permanently unpatched. Unlike a missing patch on supported software, there is no fix coming —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 flagged as a risk factor. New domains lack reputation history and are disproportionately used in scam operations.</w:t>
      </w:r>
    </w:p>
    <w:p>
      <w:pPr>
        <w:pStyle w:val="ListParagraph"/>
        <w:widowControl/>
        <w:spacing w:after="40"/>
      </w:pPr>
      <w:r>
        <w:t>Domain age over 5 years — positive trust signal. Long-standing domains indicate business continuity and established operations.</w:t>
      </w:r>
    </w:p>
    <w:p>
      <w:pPr>
        <w:pStyle w:val="ListParagraph"/>
        <w:widowControl/>
        <w:spacing w:after="40"/>
      </w:pPr>
      <w:r>
        <w:t>Domain expiry within 90 days — warning flag. A domain that is about to expire may indicate neglected infrastructure or a business in decline.</w:t>
      </w:r>
    </w:p>
    <w:p>
      <w:pPr>
        <w:pStyle w:val="ListParagraph"/>
        <w:widowControl/>
        <w:spacing w:after="40"/>
      </w:pPr>
      <w:r>
        <w:t>WHOIS privacy enabled —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 frequent changes to A records or NS records may indicate infrastructure instability or a recent migration.</w:t>
      </w:r>
    </w:p>
    <w:p>
      <w:pPr>
        <w:pStyle w:val="ListParagraph"/>
        <w:widowControl/>
        <w:spacing w:after="40"/>
      </w:pPr>
      <w:r>
        <w:t>MX record analysis — identifies the email provider (Google Workspace, Microsoft 365, self-hosted). Self-hosted mail servers require more operational security than managed providers.</w:t>
      </w:r>
    </w:p>
    <w:p>
      <w:pPr>
        <w:pStyle w:val="ListParagraph"/>
        <w:widowControl/>
        <w:spacing w:after="40"/>
      </w:pPr>
      <w:r>
        <w:t>NS record analysis —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 Does the policy describe what personal information is collected and the lawful basis for processing?</w:t>
      </w:r>
    </w:p>
    <w:p>
      <w:pPr>
        <w:pStyle w:val="ListParagraph"/>
        <w:widowControl/>
        <w:spacing w:after="40"/>
      </w:pPr>
      <w:r>
        <w:t>Data retention — Does the policy state how long data is kept and the criteria used to determine retention periods?</w:t>
      </w:r>
    </w:p>
    <w:p>
      <w:pPr>
        <w:pStyle w:val="ListParagraph"/>
        <w:widowControl/>
        <w:spacing w:after="40"/>
      </w:pPr>
      <w:r>
        <w:t>Data subject rights — Does the policy inform individuals of their rights to access, correct, and delete their personal information?</w:t>
      </w:r>
    </w:p>
    <w:p>
      <w:pPr>
        <w:pStyle w:val="ListParagraph"/>
        <w:widowControl/>
        <w:spacing w:after="40"/>
      </w:pPr>
      <w:r>
        <w:t>Information officer — Does the policy name or reference an information officer or data protection officer, as required by POPIA Section 55?</w:t>
      </w:r>
    </w:p>
    <w:p>
      <w:pPr>
        <w:pStyle w:val="ListParagraph"/>
        <w:widowControl/>
        <w:spacing w:after="40"/>
      </w:pPr>
      <w:r>
        <w:t>Cross-border transfers —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 If security.txt references a PGP encryption key, it shows the organisation can receive encrypted vulnerability reports, adding another layer of operational maturity.</w:t>
      </w:r>
    </w:p>
    <w:p>
      <w:pPr>
        <w:pStyle w:val="ListParagraph"/>
        <w:widowControl/>
        <w:spacing w:after="40"/>
      </w:pPr>
      <w:r>
        <w:t>robots.txt —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 Encryption in Transit: TLS configuration and certificate validity (from the SSL checker). POPIA Section 19 requires appropriate technical measures to secure personal information.</w:t>
      </w:r>
    </w:p>
    <w:p>
      <w:pPr>
        <w:pStyle w:val="ListParagraph"/>
        <w:widowControl/>
        <w:spacing w:after="40"/>
      </w:pPr>
      <w:r>
        <w:t>S19b — Security Headers: HTTP security headers that prevent XSS, clickjacking, and MIME-type attacks.</w:t>
      </w:r>
    </w:p>
    <w:p>
      <w:pPr>
        <w:pStyle w:val="ListParagraph"/>
        <w:widowControl/>
        <w:spacing w:after="40"/>
      </w:pPr>
      <w:r>
        <w:t>S19c — Web Application Security: Secure website configuration and WAF protection.</w:t>
      </w:r>
    </w:p>
    <w:p>
      <w:pPr>
        <w:pStyle w:val="ListParagraph"/>
        <w:widowControl/>
        <w:spacing w:after="40"/>
      </w:pPr>
      <w:r>
        <w:t>S19d — Network Access Control: Restriction of remote access services (RDP, VPN) and closure of high-risk network ports.</w:t>
      </w:r>
    </w:p>
    <w:p>
      <w:pPr>
        <w:pStyle w:val="ListParagraph"/>
        <w:widowControl/>
        <w:spacing w:after="40"/>
      </w:pPr>
      <w:r>
        <w:t>S19e — Email Security: SPF, DMARC, and DKIM configuration to prevent phishing and email impersonation.</w:t>
      </w:r>
    </w:p>
    <w:p>
      <w:pPr>
        <w:pStyle w:val="ListParagraph"/>
        <w:widowControl/>
        <w:spacing w:after="40"/>
      </w:pPr>
      <w:r>
        <w:t>S20a — Privacy Policy: Published privacy policy covering all POPIA-required sections.</w:t>
      </w:r>
    </w:p>
    <w:p>
      <w:pPr>
        <w:pStyle w:val="ListParagraph"/>
        <w:widowControl/>
        <w:spacing w:after="40"/>
      </w:pPr>
      <w:r>
        <w:t>S20b — Data Minimisation: No unnecessary exposure of sensitive files or admin interfaces.</w:t>
      </w:r>
    </w:p>
    <w:p>
      <w:pPr>
        <w:pStyle w:val="ListParagraph"/>
        <w:widowControl/>
        <w:spacing w:after="40"/>
      </w:pPr>
      <w:r>
        <w:t>S21a — Software Currency: All software components actively maintained with no end-of-life versions.</w:t>
      </w:r>
    </w:p>
    <w:p>
      <w:pPr>
        <w:pStyle w:val="ListParagraph"/>
        <w:widowControl/>
        <w:spacing w:after="40"/>
      </w:pPr>
      <w:r>
        <w:t>S22a — Breach History: Historical data breach exposure and notification readiness.</w:t>
      </w:r>
    </w:p>
    <w:p>
      <w:pPr>
        <w:pStyle w:val="ListParagraph"/>
        <w:widowControl/>
        <w:spacing w:after="40"/>
      </w:pPr>
      <w:r>
        <w:t>S22b —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 Default Credentials: Checks for exposed admin panels that may use default or guessable credentials.</w:t>
      </w:r>
    </w:p>
    <w:p>
      <w:pPr>
        <w:pStyle w:val="ListParagraph"/>
        <w:widowControl/>
        <w:spacing w:after="40"/>
      </w:pPr>
      <w:r>
        <w:t>Req 2b — System Hardening: Security headers and information disclosure controls.</w:t>
      </w:r>
    </w:p>
    <w:p>
      <w:pPr>
        <w:pStyle w:val="ListParagraph"/>
        <w:widowControl/>
        <w:spacing w:after="40"/>
      </w:pPr>
      <w:r>
        <w:t>Req 2c — Security Policies: Presence of documented security policies (security.txt).</w:t>
      </w:r>
    </w:p>
    <w:p>
      <w:pPr>
        <w:pStyle w:val="ListParagraph"/>
        <w:widowControl/>
        <w:spacing w:after="40"/>
      </w:pPr>
      <w:r>
        <w:t>Req 4a — TLS Configuration: Strong TLS encryption for cardholder data transmission.</w:t>
      </w:r>
    </w:p>
    <w:p>
      <w:pPr>
        <w:pStyle w:val="ListParagraph"/>
        <w:widowControl/>
        <w:spacing w:after="40"/>
      </w:pPr>
      <w:r>
        <w:t>Req 4b — HTTPS Enforcement: All endpoints handling sensitive data served exclusively over HTTPS.</w:t>
      </w:r>
    </w:p>
    <w:p>
      <w:pPr>
        <w:pStyle w:val="ListParagraph"/>
        <w:widowControl/>
        <w:spacing w:after="40"/>
      </w:pPr>
      <w:r>
        <w:t>Req 6a — Patch Management: Software versions current with no known vulnerabilities.</w:t>
      </w:r>
    </w:p>
    <w:p>
      <w:pPr>
        <w:pStyle w:val="ListParagraph"/>
        <w:widowControl/>
        <w:spacing w:after="40"/>
      </w:pPr>
      <w:r>
        <w:t>Req 6b — Secure Coding: Secure application headers and web application protection.</w:t>
      </w:r>
    </w:p>
    <w:p>
      <w:pPr>
        <w:pStyle w:val="ListParagraph"/>
        <w:widowControl/>
        <w:spacing w:after="40"/>
      </w:pPr>
      <w:r>
        <w:t>Req 8a — Payment Security: PCI-compliant payment processing (third-party vs. self-hosted).</w:t>
      </w:r>
    </w:p>
    <w:p>
      <w:pPr>
        <w:pStyle w:val="ListParagraph"/>
        <w:widowControl/>
        <w:spacing w:after="40"/>
      </w:pPr>
      <w:r>
        <w:t>Req 11a — Vulnerability Scanning: External vulnerability scan results from Shodan CVE analysis.</w:t>
      </w:r>
    </w:p>
    <w:p>
      <w:pPr>
        <w:pStyle w:val="ListParagraph"/>
        <w:widowControl/>
        <w:spacing w:after="40"/>
      </w:pPr>
      <w:r>
        <w:t>Req 11b —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 Asset Inventory: Technology stack detection and external IP enumeration.</w:t>
      </w:r>
    </w:p>
    <w:p>
      <w:pPr>
        <w:pStyle w:val="ListParagraph"/>
        <w:widowControl/>
        <w:spacing w:after="40"/>
      </w:pPr>
      <w:r>
        <w:t>A.8b — Attack Surface: Subdomain discovery and attack surface mapping.</w:t>
      </w:r>
    </w:p>
    <w:p>
      <w:pPr>
        <w:pStyle w:val="ListParagraph"/>
        <w:widowControl/>
        <w:spacing w:after="40"/>
      </w:pPr>
      <w:r>
        <w:t>A.12a — Network Security: Open port analysis, DNS infrastructure, and service hardening.</w:t>
      </w:r>
    </w:p>
    <w:p>
      <w:pPr>
        <w:pStyle w:val="ListParagraph"/>
        <w:widowControl/>
        <w:spacing w:after="40"/>
      </w:pPr>
      <w:r>
        <w:t>A.12b — Remote Access: RDP, VPN, and remote access protocol security.</w:t>
      </w:r>
    </w:p>
    <w:p>
      <w:pPr>
        <w:pStyle w:val="ListParagraph"/>
        <w:widowControl/>
        <w:spacing w:after="40"/>
      </w:pPr>
      <w:r>
        <w:t>A.12c — Malware and Reputation: DNSBL blacklisting and VirusTotal malware detection.</w:t>
      </w:r>
    </w:p>
    <w:p>
      <w:pPr>
        <w:pStyle w:val="ListParagraph"/>
        <w:widowControl/>
        <w:spacing w:after="40"/>
      </w:pPr>
      <w:r>
        <w:t>A.12d — DDoS Resilience: WAF detection and CDN/cloud infrastructure.</w:t>
      </w:r>
    </w:p>
    <w:p>
      <w:pPr>
        <w:pStyle w:val="ListParagraph"/>
        <w:widowControl/>
        <w:spacing w:after="40"/>
      </w:pPr>
      <w:r>
        <w:t>A.14a — Encryption Standards: SSL/TLS configuration and certificate management.</w:t>
      </w:r>
    </w:p>
    <w:p>
      <w:pPr>
        <w:pStyle w:val="ListParagraph"/>
        <w:widowControl/>
        <w:spacing w:after="40"/>
      </w:pPr>
      <w:r>
        <w:t>A.14b — Application Security: HTTP security headers and web application hardening.</w:t>
      </w:r>
    </w:p>
    <w:p>
      <w:pPr>
        <w:pStyle w:val="ListParagraph"/>
        <w:widowControl/>
        <w:spacing w:after="40"/>
      </w:pPr>
      <w:r>
        <w:t>A.14c —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 Govern —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 GV.1 Security Policy: Documented cybersecurity governance (security.txt).</w:t>
      </w:r>
    </w:p>
    <w:p>
      <w:pPr>
        <w:pStyle w:val="ListParagraph"/>
        <w:widowControl/>
        <w:spacing w:after="40"/>
      </w:pPr>
      <w:r>
        <w:t>GOVERN — GV.2 Privacy Governance: Privacy policy and data protection compliance.</w:t>
      </w:r>
    </w:p>
    <w:p>
      <w:pPr>
        <w:pStyle w:val="ListParagraph"/>
        <w:widowControl/>
        <w:spacing w:after="40"/>
      </w:pPr>
      <w:r>
        <w:t>IDENTIFY — ID.1 Asset Discovery: Technology stack and external IP inventory.</w:t>
      </w:r>
    </w:p>
    <w:p>
      <w:pPr>
        <w:pStyle w:val="ListParagraph"/>
        <w:widowControl/>
        <w:spacing w:after="40"/>
      </w:pPr>
      <w:r>
        <w:t>IDENTIFY — ID.2 Attack Surface Mapping: Subdomain discovery and information disclosure.</w:t>
      </w:r>
    </w:p>
    <w:p>
      <w:pPr>
        <w:pStyle w:val="ListParagraph"/>
        <w:widowControl/>
        <w:spacing w:after="40"/>
      </w:pPr>
      <w:r>
        <w:t>PROTECT — PR.1 Encryption and TLS: Data-in-transit protection.</w:t>
      </w:r>
    </w:p>
    <w:p>
      <w:pPr>
        <w:pStyle w:val="ListParagraph"/>
        <w:widowControl/>
        <w:spacing w:after="40"/>
      </w:pPr>
      <w:r>
        <w:t>PROTECT — PR.2 Security Headers and Hardening: HTTP hardening and web application security.</w:t>
      </w:r>
    </w:p>
    <w:p>
      <w:pPr>
        <w:pStyle w:val="ListParagraph"/>
        <w:widowControl/>
        <w:spacing w:after="40"/>
      </w:pPr>
      <w:r>
        <w:t>PROTECT — PR.3 Perimeter Defence: WAF, firewall rules, and remote access controls.</w:t>
      </w:r>
    </w:p>
    <w:p>
      <w:pPr>
        <w:pStyle w:val="ListParagraph"/>
        <w:widowControl/>
        <w:spacing w:after="40"/>
      </w:pPr>
      <w:r>
        <w:t>PROTECT — PR.4 Email Authentication: SPF, DMARC, DKIM, and MTA-STS.</w:t>
      </w:r>
    </w:p>
    <w:p>
      <w:pPr>
        <w:pStyle w:val="ListParagraph"/>
        <w:widowControl/>
        <w:spacing w:after="40"/>
      </w:pPr>
      <w:r>
        <w:t>DETECT — DE.1 Vulnerability Detection: Shodan CVE analysis and version-based vulnerability scanning.</w:t>
      </w:r>
    </w:p>
    <w:p>
      <w:pPr>
        <w:pStyle w:val="ListParagraph"/>
        <w:widowControl/>
        <w:spacing w:after="40"/>
      </w:pPr>
      <w:r>
        <w:t>DETECT — DE.2 Threat Intelligence: VirusTotal, DNSBL, and exposed admin detection.</w:t>
      </w:r>
    </w:p>
    <w:p>
      <w:pPr>
        <w:pStyle w:val="ListParagraph"/>
        <w:widowControl/>
        <w:spacing w:after="40"/>
      </w:pPr>
      <w:r>
        <w:t>RESPOND — RS.1 Breach Response: Historical breach exposure and credential leak monitoring.</w:t>
      </w:r>
    </w:p>
    <w:p>
      <w:pPr>
        <w:pStyle w:val="ListParagraph"/>
        <w:widowControl/>
        <w:spacing w:after="40"/>
      </w:pPr>
      <w:r>
        <w:t>RESPOND — RS.2 Security Disclosure: Published vulnerability disclosure policy.</w:t>
      </w:r>
    </w:p>
    <w:p>
      <w:pPr>
        <w:pStyle w:val="ListParagraph"/>
        <w:widowControl/>
        <w:spacing w:after="40"/>
      </w:pPr>
      <w:r>
        <w:t>RECOVER — RC.1 Infrastructure Resilience: DNS redundancy and CDN availability.</w:t>
      </w:r>
    </w:p>
    <w:p>
      <w:pPr>
        <w:pStyle w:val="ListParagraph"/>
        <w:widowControl/>
        <w:spacing w:after="40"/>
      </w:pPr>
      <w:r>
        <w:t>RECOVER —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 The control meets the expected standard based on external evidence.</w:t>
      </w:r>
    </w:p>
    <w:p>
      <w:pPr>
        <w:pStyle w:val="ListParagraph"/>
        <w:widowControl/>
        <w:spacing w:after="40"/>
      </w:pPr>
      <w:r>
        <w:t>PARTIAL (score 40 to 69) — The control is partially implemented but has gaps.</w:t>
      </w:r>
    </w:p>
    <w:p>
      <w:pPr>
        <w:pStyle w:val="ListParagraph"/>
        <w:widowControl/>
        <w:spacing w:after="40"/>
      </w:pPr>
      <w:r>
        <w:t>FAIL (score below 40) — The control is absent or critically deficient.</w:t>
      </w:r>
    </w:p>
    <w:p>
      <w:pPr>
        <w:pStyle w:val="ListParagraph"/>
        <w:widowControl/>
        <w:spacing w:after="40"/>
      </w:pPr>
      <w:r>
        <w:t>NO_DATA —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 such as access management policies, backup procedures, or physical security —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 they are not theoretical risks.</w:t>
      </w:r>
    </w:p>
    <w:p>
      <w:pPr>
        <w:widowControl/>
        <w:spacing w:after="80"/>
      </w:pPr>
      <w:r>
        <w:rPr>
          <w:b/>
        </w:rPr>
        <w:t xml:space="preserve">Priority 2 —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(residual) — notification costs, credit monitoring, legal fees, reputational damage, and customer churn. This is the residual after C2-C5 are allocated.</w:t>
      </w:r>
    </w:p>
    <w:p>
      <w:pPr>
        <w:pStyle w:val="ListParagraph"/>
        <w:widowControl/>
        <w:spacing w:after="40"/>
      </w:pPr>
      <w:r>
        <w:t>C2: Regulatory fines per jurisdiction — POPIA fines (up to R10 million), GDPR exposure (4% of global turnover, uncapped) if applicable, and PCI DSS fines if applicable. Jurisdiction-specific calculations based on the scan input toggles.</w:t>
      </w:r>
    </w:p>
    <w:p>
      <w:pPr>
        <w:pStyle w:val="ListParagraph"/>
        <w:widowControl/>
        <w:spacing w:after="40"/>
      </w:pPr>
      <w:r>
        <w:t>C3: Business interruption — revenue loss during recovery. Uses a SA-calibrated PERT distribution for recovery time: PERT(3, 25, 120) days, reflecting the Sophos SA 2025 finding that SA organisations take a median of 25 days to recover from ransomware.</w:t>
      </w:r>
    </w:p>
    <w:p>
      <w:pPr>
        <w:pStyle w:val="ListParagraph"/>
        <w:widowControl/>
        <w:spacing w:after="40"/>
      </w:pPr>
      <w:r>
        <w:t>C4: Ransom/extortion — set at 10.40% of total breach magnitude, proportional to the IBM SA data decomposition. This component is only activated for ransomware-family incidents.</w:t>
      </w:r>
    </w:p>
    <w:p>
      <w:pPr>
        <w:pStyle w:val="ListParagraph"/>
        <w:widowControl/>
        <w:spacing w:after="40"/>
      </w:pPr>
      <w:r>
        <w:t>C5: Incident response —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without breaching the Render free-tier memory limit.</w:t>
      </w:r>
    </w:p>
    <w:p>
      <w:pPr>
        <w:widowControl/>
        <w:spacing w:after="80"/>
      </w:pPr>
      <w:r>
        <w:t>Key PERT parameters include SA recovery time PERT(3, 25, 120)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return-period percentiles (P99 = 1-in-100 year, P99.5 = 1-in-200, P99.6 = 1-in-250).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w:t>
      </w:r>
    </w:p>
    <w:p>
      <w:pPr>
        <w:pStyle w:val="ListParagraph"/>
        <w:widowControl/>
        <w:spacing w:after="40"/>
      </w:pPr>
      <w:r>
        <w:t>Most Likely (mode) — the peak of the loss distribution; the single most probable annual loss outcome.</w:t>
      </w:r>
    </w:p>
    <w:p>
      <w:pPr>
        <w:pStyle w:val="ListParagraph"/>
        <w:widowControl/>
        <w:spacing w:after="40"/>
      </w:pPr>
      <w:r>
        <w:t>Median (P50) — half of all simulated outcomes fall below this figure. Reasonable anchor for premium-rating calculations.</w:t>
      </w:r>
    </w:p>
    <w:p>
      <w:pPr>
        <w:pStyle w:val="ListParagraph"/>
        <w:widowControl/>
        <w:spacing w:after="40"/>
      </w:pPr>
      <w:r>
        <w:t>1-in-100 event (P99) — the loss level expected to be exceeded once in 100 years (1% annual exceedance probability). Standard reinsurance / underwriting convention for cover sizing.</w:t>
      </w:r>
    </w:p>
    <w:p>
      <w:pPr>
        <w:pStyle w:val="ListParagraph"/>
        <w:widowControl/>
        <w:spacing w:after="40"/>
      </w:pPr>
      <w:r>
        <w:t>1-in-200 event (P99.5) — aligned with the FSCA SAM (Solvency Assessment and Management) regime's catastrophe scenario.</w:t>
      </w:r>
    </w:p>
    <w:p>
      <w:pPr>
        <w:pStyle w:val="ListParagraph"/>
        <w:widowControl/>
        <w:spacing w:after="40"/>
      </w:pPr>
      <w:r>
        <w:t>1-in-250 event (P99.6) — extreme tail view requested for catastrophe-cover discussions. GPD-fitted from the right tail of the simulation.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0.65 = R6.5M; ECTA R1M x 0.65 = R0.65M; CPA 10% x R200M = R20M (no factor - percentage already scales); FSCA R100M x 0.65 = R65M; FIC R50M x 0.65 = R32.5M; JSE R7.5M x 0.65 = R4.875M. Total cat stack: approximately R129.5M. The same entity at R10M revenue (capacity factor 0.15) would face approximately R24M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 RSI reduction of 0.05 to 0.09 per step. Significant security improvements that should be addressed within 30 days. Examples: deploying a WAF, implementing DMARC, resetting leaked credentials.</w:t>
      </w:r>
    </w:p>
    <w:p>
      <w:pPr>
        <w:pStyle w:val="ListParagraph"/>
        <w:widowControl/>
        <w:spacing w:after="40"/>
      </w:pPr>
      <w:r>
        <w:t>P3 (Medium) —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 what an attacker can learn from publicly available information about the target, (2) Weaponisation -- how discovered vulnerabilities and leaked credentials could be combined into an attack toolkit, (3) Delivery &amp; Exploitation -- the most likely attack vectors such as phishing with leaked credentials, exploiting unpatched services, or abusing misconfigured email authentication, and (4) Impact --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 branded cover with target domain, scan date, and overall risk score gauge.</w:t>
      </w:r>
    </w:p>
    <w:p>
      <w:pPr>
        <w:pStyle w:val="ListParagraph"/>
        <w:widowControl/>
        <w:spacing w:after="40"/>
      </w:pPr>
      <w:r>
        <w:t>Executive Summary -- high-level risk posture with key metrics (overall score, critical issues, breach count, credential exposure, estimated financial impact range).</w:t>
      </w:r>
    </w:p>
    <w:p>
      <w:pPr>
        <w:pStyle w:val="ListParagraph"/>
        <w:widowControl/>
        <w:spacing w:after="40"/>
      </w:pPr>
      <w:r>
        <w:t>Vulnerability Posture -- simplified severity breakdown focusing on critical and high-severity findings only, with plain-language explanations.</w:t>
      </w:r>
    </w:p>
    <w:p>
      <w:pPr>
        <w:pStyle w:val="ListParagraph"/>
        <w:widowControl/>
        <w:spacing w:after="40"/>
      </w:pPr>
      <w:r>
        <w:t>Attacker's View -- abbreviated kill chain narrative highlighting the most impactful attack paths.</w:t>
      </w:r>
    </w:p>
    <w:p>
      <w:pPr>
        <w:pStyle w:val="ListParagraph"/>
        <w:widowControl/>
        <w:spacing w:after="40"/>
      </w:pPr>
      <w:r>
        <w:t>Financial Impact Summary -- RSI score, DBI score, and hybrid-model estimated loss range presented in a broker-friendly format with clear rand-value ranges.</w:t>
      </w:r>
    </w:p>
    <w:p>
      <w:pPr>
        <w:pStyle w:val="ListParagraph"/>
        <w:widowControl/>
        <w:spacing w:after="40"/>
      </w:pPr>
      <w:r>
        <w:t>'Why This Matters' Section --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 No issues found or the configuration meets best-practice standards. No action required.</w:t>
      </w:r>
    </w:p>
    <w:p>
      <w:pPr>
        <w:pStyle w:val="ListParagraph"/>
        <w:widowControl/>
        <w:spacing w:after="40"/>
      </w:pPr>
      <w:r>
        <w:t>Amber circle -- Minor issues or partial implementation detected. Improvement is recommended but the risk is moderate.</w:t>
      </w:r>
    </w:p>
    <w:p>
      <w:pPr>
        <w:pStyle w:val="ListParagraph"/>
        <w:widowControl/>
        <w:spacing w:after="40"/>
      </w:pPr>
      <w:r>
        <w:t>Red circle --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 contains the traffic-light indicator, the checker name, and a one-line summary of the finding (e.g., 'SPF record is valid but could be stricter').</w:t>
      </w:r>
    </w:p>
    <w:p>
      <w:pPr>
        <w:pStyle w:val="ListParagraph"/>
        <w:widowControl/>
        <w:spacing w:after="40"/>
      </w:pPr>
      <w:r>
        <w:t>Data Table --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 a plain-language paragraph explaining the significance of the findings for a non-technical reader. This section answers the question: 'Why should I care?'</w:t>
      </w:r>
    </w:p>
    <w:p>
      <w:pPr>
        <w:pStyle w:val="ListParagraph"/>
        <w:widowControl/>
        <w:spacing w:after="40"/>
      </w:pPr>
      <w:r>
        <w:t>'Recommended Actions' --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 including the actual passwords —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 counts only (number of exposed accounts, infected devices, services). No identifiers.</w:t>
      </w:r>
    </w:p>
    <w:p>
      <w:pPr>
        <w:pStyle w:val="ListParagraph"/>
        <w:widowControl/>
        <w:spacing w:after="40"/>
      </w:pPr>
      <w:r>
        <w:t>Broker Summary — 2-3 partially-masked example accounts / services plus summarised counts. No passwords.</w:t>
      </w:r>
    </w:p>
    <w:p>
      <w:pPr>
        <w:pStyle w:val="ListParagraph"/>
        <w:widowControl/>
        <w:spacing w:after="40"/>
      </w:pPr>
      <w:r>
        <w:t>Full Technical Report — enumerated, partially-masked accounts, a per-service summary, infection dates, and stealer families. No passwords.</w:t>
      </w:r>
    </w:p>
    <w:p>
      <w:pPr>
        <w:pStyle w:val="ListParagraph"/>
        <w:widowControl/>
        <w:spacing w:after="40"/>
      </w:pPr>
      <w:r>
        <w:t>Encrypted Credential Export (on request) —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 demonstrating the findings are real — while an outsider cannot reconstruct them.</w:t>
      </w:r>
    </w:p>
    <w:p>
      <w:pPr>
        <w:widowControl/>
        <w:spacing w:after="80"/>
      </w:pPr>
      <w:r>
        <w:rPr>
          <w:b/>
        </w:rPr>
        <w:t xml:space="preserve">Export file format —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 or to justify any uplift to the probability of breach / RSI —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 this is the authorisation gate and the FAIS / POPIA audit trail.</w:t>
      </w:r>
    </w:p>
    <w:p>
      <w:pPr>
        <w:pStyle w:val="ListParagraph"/>
        <w:widowControl/>
        <w:spacing w:after="40"/>
      </w:pPr>
      <w:r>
        <w:t>2. Obtain the client's age PUBLIC key (the client generates it —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 without it the file cannot be opened.</w:t>
      </w:r>
    </w:p>
    <w:p>
      <w:pPr>
        <w:widowControl/>
        <w:spacing w:after="80"/>
      </w:pPr>
      <w:r>
        <w:rPr>
          <w:b/>
        </w:rPr>
        <w:t xml:space="preserve">Client guide —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 which never leaves them —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has a 1% annual exceedance probability (P99 percentile of the loss distribution); 1-in-200 = 0.5% (P99.5); 1-in-250 = 0.4% (P99.6). These figures are surfaced as Loss Exposure Scenarios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