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 An earlier free-tier deployment at phishield-scanner.onrender.com is legacy and is being retired.</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 for example, a WAF or CDN returns a 403 or 503 challenge/block page to the scanner's user agent —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and x-sucuri-cache headers.</w:t>
      </w:r>
    </w:p>
    <w:p>
      <w:pPr>
        <w:pStyle w:val="ListParagraph"/>
        <w:widowControl/>
        <w:spacing w:after="40"/>
      </w:pPr>
      <w:r>
        <w:t>F5 BIG-IP ASM --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 the ‘origin’ —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 Spamhaus open-resolver / rate-limit codes in the 127.255.255.x range and the URIBL 127.0.0.1 query-refused code —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dnsbl-1.uceprotect.net — UCEProtect listings often indicate the IP sits on a range with a poor sending reputation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 the plaintext- and hashed-password subset from the Dehashed credential breakdown —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 most reliably —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 a point-in-time malware capture —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 'is someone able to log in right now?' —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 refreshed against endoflife.date —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Severe event (P99 severity) —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 the next severity tier, aligned with the FSCA SAM (Solvency Assessment and Management) regime's catastrophe benchmark; reported under the 1-in-200 cover tier.</w:t>
      </w:r>
    </w:p>
    <w:p>
      <w:pPr>
        <w:pStyle w:val="ListParagraph"/>
        <w:widowControl/>
        <w:spacing w:after="40"/>
      </w:pPr>
      <w:r>
        <w:t>Catastrophic event (P99.6 severity) —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 including the actual passwords —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 counts only (number of exposed accounts, infected devices, services). No identifiers.</w:t>
      </w:r>
    </w:p>
    <w:p>
      <w:pPr>
        <w:pStyle w:val="ListParagraph"/>
        <w:widowControl/>
        <w:spacing w:after="40"/>
      </w:pPr>
      <w:r>
        <w:t>Broker Summary — 2-3 partially-masked example accounts / services plus summarised counts. No passwords.</w:t>
      </w:r>
    </w:p>
    <w:p>
      <w:pPr>
        <w:pStyle w:val="ListParagraph"/>
        <w:widowControl/>
        <w:spacing w:after="40"/>
      </w:pPr>
      <w:r>
        <w:t>Full Technical Report — enumerated, partially-masked accounts, a per-service summary, infection dates, and stealer families. No passwords.</w:t>
      </w:r>
    </w:p>
    <w:p>
      <w:pPr>
        <w:pStyle w:val="ListParagraph"/>
        <w:widowControl/>
        <w:spacing w:after="40"/>
      </w:pPr>
      <w:r>
        <w:t>Encrypted Credential Export (on request) —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 demonstrating the findings are real — while an outsider cannot reconstruct them.</w:t>
      </w:r>
    </w:p>
    <w:p>
      <w:pPr>
        <w:widowControl/>
        <w:spacing w:after="80"/>
      </w:pPr>
      <w:r>
        <w:rPr>
          <w:b/>
        </w:rPr>
        <w:t xml:space="preserve">Export file format —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 or to justify any uplift to the probability of breach / RSI —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Obtain the client's SIGNED CONSENT form and upload it — this is the authorisation gate and the FAIS / POPIA audit trail.</w:t>
      </w:r>
    </w:p>
    <w:p>
      <w:pPr>
        <w:pStyle w:val="ListParagraph"/>
        <w:widowControl/>
        <w:spacing w:after="40"/>
      </w:pPr>
      <w:r>
        <w:t>2. Obtain the client's age PUBLIC key (the client generates it —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 without it the file cannot be opened.</w:t>
      </w:r>
    </w:p>
    <w:p>
      <w:pPr>
        <w:widowControl/>
        <w:spacing w:after="80"/>
      </w:pPr>
      <w:r>
        <w:rPr>
          <w:b/>
        </w:rPr>
        <w:t xml:space="preserve">Client guide —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 which never leaves them —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