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72"/>
        </w:rPr>
        <w:t>PHISHIELD</w:t>
      </w:r>
    </w:p>
    <w:p>
      <w:pPr>
        <w:jc w:val="center"/>
      </w:pPr>
      <w:r>
        <w:rPr>
          <w:b/>
          <w:sz w:val="56"/>
        </w:rPr>
        <w:t>Cyber Risk Scanner</w:t>
      </w:r>
    </w:p>
    <w:p>
      <w:pPr>
        <w:jc w:val="center"/>
      </w:pPr>
      <w:r>
        <w:rPr>
          <w:b/>
          <w:sz w:val="48"/>
        </w:rPr>
        <w:t>User Manual</w:t>
      </w:r>
    </w:p>
    <w:p/>
    <w:p>
      <w:pPr>
        <w:jc w:val="center"/>
      </w:pPr>
      <w:r>
        <w:rPr>
          <w:sz w:val="28"/>
        </w:rPr>
        <w:t>External Passive Security Evaluation</w:t>
        <w:br/>
        <w:t>for Cyber Insurance Underwriting</w:t>
      </w:r>
    </w:p>
    <w:p/>
    <w:p/>
    <w:p/>
    <w:p/>
    <w:p>
      <w:pPr>
        <w:jc w:val="center"/>
      </w:pPr>
      <w:r>
        <w:rPr>
          <w:sz w:val="22"/>
        </w:rPr>
        <w:t>Administrator: Phishield UMA (Pty) Ltd</w:t>
      </w:r>
    </w:p>
    <w:p>
      <w:pPr>
        <w:jc w:val="center"/>
      </w:pPr>
      <w:r>
        <w:rPr>
          <w:sz w:val="22"/>
        </w:rPr>
        <w:t>Version 1.0</w:t>
      </w:r>
    </w:p>
    <w:p>
      <w:pPr>
        <w:jc w:val="center"/>
      </w:pPr>
      <w:r>
        <w:rPr>
          <w:sz w:val="22"/>
        </w:rPr>
        <w:t>April 2026</w:t>
      </w:r>
    </w:p>
    <w:p>
      <w:pPr>
        <w:jc w:val="center"/>
      </w:pPr>
      <w:r>
        <w:rPr>
          <w:sz w:val="22"/>
        </w:rPr>
        <w:t>Confidential</w:t>
      </w:r>
    </w:p>
    <w:p>
      <w:r>
        <w:br w:type="page"/>
      </w:r>
    </w:p>
    <w:p>
      <w:pPr>
        <w:keepNext/>
        <w:spacing w:before="240" w:after="80"/>
      </w:pPr>
      <w:r>
        <w:rPr>
          <w:b/>
          <w:color w:val="003366"/>
          <w:sz w:val="32"/>
        </w:rPr>
        <w:t>Table of Contents</w:t>
      </w:r>
    </w:p>
    <w:p/>
    <w:p>
      <w:r>
        <w:t>1  Introduction</w:t>
      </w:r>
    </w:p>
    <w:p>
      <w:pPr>
        <w:ind w:left="576"/>
      </w:pPr>
      <w:r>
        <w:t>1.1  Purpose</w:t>
      </w:r>
    </w:p>
    <w:p>
      <w:pPr>
        <w:ind w:left="576"/>
      </w:pPr>
      <w:r>
        <w:t>1.2  Who Should Use This Manual</w:t>
      </w:r>
    </w:p>
    <w:p>
      <w:pPr>
        <w:ind w:left="576"/>
      </w:pPr>
      <w:r>
        <w:t>1.3  How the Scanner Works</w:t>
      </w:r>
    </w:p>
    <w:p>
      <w:pPr>
        <w:ind w:left="576"/>
      </w:pPr>
      <w:r>
        <w:t>1.4  Scanner Architecture</w:t>
      </w:r>
    </w:p>
    <w:p>
      <w:pPr>
        <w:ind w:left="576"/>
      </w:pPr>
      <w:r>
        <w:t>1.5  Limitations</w:t>
      </w:r>
    </w:p>
    <w:p>
      <w:r>
        <w:t>2  Getting Started</w:t>
      </w:r>
    </w:p>
    <w:p>
      <w:pPr>
        <w:ind w:left="576"/>
      </w:pPr>
      <w:r>
        <w:t>2.1  Accessing the Scanner</w:t>
      </w:r>
    </w:p>
    <w:p>
      <w:pPr>
        <w:ind w:left="576"/>
      </w:pPr>
      <w:r>
        <w:t>2.2  Browser Requirements</w:t>
      </w:r>
    </w:p>
    <w:p>
      <w:pPr>
        <w:ind w:left="576"/>
      </w:pPr>
      <w:r>
        <w:t>2.3  Screen Layout</w:t>
      </w:r>
    </w:p>
    <w:p>
      <w:pPr>
        <w:ind w:left="576"/>
      </w:pPr>
      <w:r>
        <w:t>2.4  Starting a Scan</w:t>
      </w:r>
    </w:p>
    <w:p>
      <w:pPr>
        <w:ind w:left="576"/>
      </w:pPr>
      <w:r>
        <w:t>2.5  Scan Progress</w:t>
      </w:r>
    </w:p>
    <w:p>
      <w:pPr>
        <w:ind w:left="576"/>
      </w:pPr>
      <w:r>
        <w:t>2.6  Reading the Dashboard Cards</w:t>
      </w:r>
    </w:p>
    <w:p>
      <w:r>
        <w:t>3  Understanding Scan Results</w:t>
      </w:r>
    </w:p>
    <w:p>
      <w:pPr>
        <w:ind w:left="576"/>
      </w:pPr>
      <w:r>
        <w:t>3.1  Risk Score Overview</w:t>
      </w:r>
    </w:p>
    <w:p>
      <w:pPr>
        <w:ind w:left="576"/>
      </w:pPr>
      <w:r>
        <w:t>3.2  Category Breakdown</w:t>
      </w:r>
    </w:p>
    <w:p>
      <w:pPr>
        <w:ind w:left="576"/>
      </w:pPr>
      <w:r>
        <w:t>3.3  Checker Detail Cards</w:t>
      </w:r>
    </w:p>
    <w:p>
      <w:pPr>
        <w:ind w:left="576"/>
      </w:pPr>
      <w:r>
        <w:t>3.4  Recommendations</w:t>
      </w:r>
    </w:p>
    <w:p>
      <w:r>
        <w:t>4  Security Checkers Reference</w:t>
      </w:r>
    </w:p>
    <w:p>
      <w:pPr>
        <w:ind w:left="576"/>
      </w:pPr>
      <w:r>
        <w:t>4.1  Discovery Checkers</w:t>
      </w:r>
    </w:p>
    <w:p>
      <w:pPr>
        <w:ind w:left="576"/>
      </w:pPr>
      <w:r>
        <w:t>4.2  Core Security Checkers</w:t>
      </w:r>
    </w:p>
    <w:p>
      <w:pPr>
        <w:ind w:left="576"/>
      </w:pPr>
      <w:r>
        <w:t>4.3  Information Security Checkers</w:t>
      </w:r>
    </w:p>
    <w:p>
      <w:pPr>
        <w:ind w:left="576"/>
      </w:pPr>
      <w:r>
        <w:t>4.4  Email Security Checkers</w:t>
      </w:r>
    </w:p>
    <w:p>
      <w:pPr>
        <w:ind w:left="576"/>
      </w:pPr>
      <w:r>
        <w:t>4.5  Network &amp; Infrastructure Checkers</w:t>
      </w:r>
    </w:p>
    <w:p>
      <w:pPr>
        <w:ind w:left="576"/>
      </w:pPr>
      <w:r>
        <w:t>4.6  Exposure &amp; Reputation Checkers</w:t>
      </w:r>
    </w:p>
    <w:p>
      <w:pPr>
        <w:ind w:left="576"/>
      </w:pPr>
      <w:r>
        <w:t>4.7  Technology &amp; Governance Checkers</w:t>
      </w:r>
    </w:p>
    <w:p>
      <w:r>
        <w:t>5  Insurance Analytics</w:t>
      </w:r>
    </w:p>
    <w:p>
      <w:pPr>
        <w:ind w:left="576"/>
      </w:pPr>
      <w:r>
        <w:t>5.1  Ransomware Susceptibility Index (RSI)</w:t>
      </w:r>
    </w:p>
    <w:p>
      <w:pPr>
        <w:ind w:left="576"/>
      </w:pPr>
      <w:r>
        <w:t>5.2  FAIR Model &amp; Monte Carlo Simulation</w:t>
      </w:r>
    </w:p>
    <w:p>
      <w:pPr>
        <w:ind w:left="576"/>
      </w:pPr>
      <w:r>
        <w:t>5.3  Data Breach Index (DBI)</w:t>
      </w:r>
    </w:p>
    <w:p>
      <w:pPr>
        <w:ind w:left="576"/>
      </w:pPr>
      <w:r>
        <w:t>5.4  Financial Impact Estimates</w:t>
      </w:r>
    </w:p>
    <w:p>
      <w:r>
        <w:t>6  Scoring Methodology</w:t>
      </w:r>
    </w:p>
    <w:p>
      <w:pPr>
        <w:ind w:left="576"/>
      </w:pPr>
      <w:r>
        <w:t>6.1  Per-Checker Scoring</w:t>
      </w:r>
    </w:p>
    <w:p>
      <w:pPr>
        <w:ind w:left="576"/>
      </w:pPr>
      <w:r>
        <w:t>6.2  Category Weighting</w:t>
      </w:r>
    </w:p>
    <w:p>
      <w:pPr>
        <w:ind w:left="576"/>
      </w:pPr>
      <w:r>
        <w:t>6.3  Overall Risk Score Calculation</w:t>
      </w:r>
    </w:p>
    <w:p>
      <w:pPr>
        <w:ind w:left="576"/>
      </w:pPr>
      <w:r>
        <w:t>6.4  Risk Levels</w:t>
      </w:r>
    </w:p>
    <w:p>
      <w:r>
        <w:t>7  PDF Report</w:t>
      </w:r>
    </w:p>
    <w:p>
      <w:pPr>
        <w:ind w:left="576"/>
      </w:pPr>
      <w:r>
        <w:t>7.1  Report Structure</w:t>
      </w:r>
    </w:p>
    <w:p>
      <w:pPr>
        <w:ind w:left="576"/>
      </w:pPr>
      <w:r>
        <w:t>7.2  Executive Summary</w:t>
      </w:r>
    </w:p>
    <w:p>
      <w:pPr>
        <w:ind w:left="576"/>
      </w:pPr>
      <w:r>
        <w:t>7.3  Technical Detail Pages</w:t>
      </w:r>
    </w:p>
    <w:p>
      <w:pPr>
        <w:ind w:left="576"/>
      </w:pPr>
      <w:r>
        <w:t>7.4  Downloading &amp; Sharing</w:t>
      </w:r>
    </w:p>
    <w:p>
      <w:r>
        <w:t>8  API Reference</w:t>
      </w:r>
    </w:p>
    <w:p>
      <w:pPr>
        <w:ind w:left="576"/>
      </w:pPr>
      <w:r>
        <w:t>8.1  POST /api/scan</w:t>
      </w:r>
    </w:p>
    <w:p>
      <w:pPr>
        <w:ind w:left="576"/>
      </w:pPr>
      <w:r>
        <w:t>8.2  GET /api/scan/&lt;id&gt;</w:t>
      </w:r>
    </w:p>
    <w:p>
      <w:pPr>
        <w:ind w:left="576"/>
      </w:pPr>
      <w:r>
        <w:t>8.3  GET /api/scan/&lt;id&gt;/pdf</w:t>
      </w:r>
    </w:p>
    <w:p>
      <w:pPr>
        <w:ind w:left="576"/>
      </w:pPr>
      <w:r>
        <w:t>8.4  GET /api/history/&lt;domain&gt;</w:t>
      </w:r>
    </w:p>
    <w:p>
      <w:r>
        <w:t>9  Configuration &amp; Deployment</w:t>
      </w:r>
    </w:p>
    <w:p>
      <w:pPr>
        <w:ind w:left="576"/>
      </w:pPr>
      <w:r>
        <w:t>9.1  Environment Variables</w:t>
      </w:r>
    </w:p>
    <w:p>
      <w:pPr>
        <w:ind w:left="576"/>
      </w:pPr>
      <w:r>
        <w:t>9.2  API Keys</w:t>
      </w:r>
    </w:p>
    <w:p>
      <w:pPr>
        <w:ind w:left="576"/>
      </w:pPr>
      <w:r>
        <w:t>9.3  Database</w:t>
      </w:r>
    </w:p>
    <w:p>
      <w:pPr>
        <w:ind w:left="576"/>
      </w:pPr>
      <w:r>
        <w:t>9.4  Deployment on Render</w:t>
      </w:r>
    </w:p>
    <w:p>
      <w:r>
        <w:t>10  Troubleshooting</w:t>
      </w:r>
    </w:p>
    <w:p>
      <w:pPr>
        <w:ind w:left="576"/>
      </w:pPr>
      <w:r>
        <w:t>10.1  Common Issues</w:t>
      </w:r>
    </w:p>
    <w:p>
      <w:pPr>
        <w:ind w:left="576"/>
      </w:pPr>
      <w:r>
        <w:t>10.2  Timeout Errors</w:t>
      </w:r>
    </w:p>
    <w:p>
      <w:pPr>
        <w:ind w:left="576"/>
      </w:pPr>
      <w:r>
        <w:t>10.3  API Rate Limits</w:t>
      </w:r>
    </w:p>
    <w:p>
      <w:r>
        <w:t>11  Glossary</w:t>
      </w:r>
    </w:p>
    <w:p>
      <w:r>
        <w:br w:type="page"/>
      </w:r>
    </w:p>
    <w:p>
      <w:pPr>
        <w:keepNext/>
        <w:spacing w:before="240" w:after="80"/>
      </w:pPr>
      <w:r>
        <w:rPr>
          <w:b/>
          <w:color w:val="003366"/>
          <w:sz w:val="32"/>
        </w:rPr>
        <w:t>1. Introduction</w:t>
      </w:r>
    </w:p>
    <w:p/>
    <w:p>
      <w:pPr>
        <w:keepNext/>
        <w:spacing w:before="200" w:after="60"/>
      </w:pPr>
      <w:r>
        <w:rPr>
          <w:b/>
          <w:color w:val="003366"/>
          <w:sz w:val="26"/>
        </w:rPr>
        <w:t>1.1 Purpose</w:t>
      </w:r>
    </w:p>
    <w:p>
      <w:pPr>
        <w:widowControl/>
        <w:spacing w:after="80"/>
      </w:pPr>
      <w:r>
        <w:t>The Phishield Cyber Risk Scanner is an external, passive security evaluation tool designed specifically for cyber insurance underwriting. It examines the publicly observable digital infrastructure of an organisation -- DNS records, SSL certificates, HTTP headers, open ports, email authentication, credential leaks, dark-web exposure, and reputation data -- without ever sending a single intrusive packet to the target.</w:t>
      </w:r>
    </w:p>
    <w:p>
      <w:pPr>
        <w:widowControl/>
        <w:spacing w:after="80"/>
      </w:pPr>
      <w:r>
        <w:t>The scanner was developed by Phishield UMA (Pty) Ltd to support three core insurance functions:</w:t>
      </w:r>
    </w:p>
    <w:p>
      <w:pPr>
        <w:pStyle w:val="ListParagraph"/>
        <w:widowControl/>
        <w:spacing w:after="40"/>
      </w:pPr>
      <w:r>
        <w:t>Risk Assessment -- Produce a quantitative risk profile of a prospective policyholder before the policy is bound, giving underwriters an objective, data-driven view of the organisation's external security posture.</w:t>
      </w:r>
    </w:p>
    <w:p>
      <w:pPr>
        <w:pStyle w:val="ListParagraph"/>
        <w:widowControl/>
        <w:spacing w:after="40"/>
      </w:pPr>
      <w:r>
        <w:t>Premium Calibration -- Feed the scanner's Ransomware Susceptibility Index (RSI), FAIR-model financial impact estimates, and Data Breach Index (DBI) into the premium calculation workflow so that pricing reflects actual technical risk rather than self-reported questionnaire answers alone.</w:t>
      </w:r>
    </w:p>
    <w:p>
      <w:pPr>
        <w:pStyle w:val="ListParagraph"/>
        <w:widowControl/>
        <w:spacing w:after="40"/>
      </w:pPr>
      <w:r>
        <w:t>Broker Reporting -- Generate a professional PDF report that brokers can present to clients, explaining findings in plain language alongside actionable recommendations that can improve the client's risk profile and, in turn, their premium.</w:t>
      </w:r>
    </w:p>
    <w:p>
      <w:pPr>
        <w:widowControl/>
        <w:spacing w:after="80"/>
      </w:pPr>
      <w:r>
        <w:t>Because the scanner operates passively and externally, it can be run on any domain at any time without the knowledge or cooperation of the target organisation. This makes it ideal for pre-quote assessments where the prospective policyholder has not yet engaged technically.</w:t>
      </w:r>
    </w:p>
    <w:p>
      <w:pPr>
        <w:widowControl/>
        <w:spacing w:after="80"/>
      </w:pPr>
      <w:r>
        <w:rPr>
          <w:b/>
          <w:color w:val="003399"/>
        </w:rPr>
        <w:t xml:space="preserve">NOTE: </w:t>
      </w:r>
      <w:r>
        <w:t>The scanner does not replace a full penetration test or an internal security audit. It is designed to complement those activities by providing a rapid, low-friction external view that can be obtained in minutes rather than weeks.</w:t>
      </w:r>
    </w:p>
    <w:p/>
    <w:p>
      <w:pPr>
        <w:keepNext/>
        <w:spacing w:before="200" w:after="60"/>
      </w:pPr>
      <w:r>
        <w:rPr>
          <w:b/>
          <w:color w:val="003366"/>
          <w:sz w:val="26"/>
        </w:rPr>
        <w:t>1.2 Who Should Use This Manual</w:t>
      </w:r>
    </w:p>
    <w:p>
      <w:pPr>
        <w:widowControl/>
        <w:spacing w:after="80"/>
      </w:pPr>
      <w:r>
        <w:t>This manual is intended for three primary audiences:</w:t>
      </w:r>
    </w:p>
    <w:p>
      <w:pPr>
        <w:widowControl/>
        <w:spacing w:after="80"/>
      </w:pPr>
      <w:r>
        <w:rPr>
          <w:b/>
        </w:rPr>
        <w:t xml:space="preserve">Underwriters </w:t>
      </w:r>
      <w:r>
        <w:t>who need to interpret scan results when assessing cyber insurance applications. The manual explains what each checker measures, how the overall risk score is calculated, and what the insurance analytics section (RSI, FAIR, DBI) means in practical underwriting terms. No deep technical expertise is assumed; the manual translates technical findings into risk language.</w:t>
      </w:r>
    </w:p>
    <w:p>
      <w:pPr>
        <w:widowControl/>
        <w:spacing w:after="80"/>
      </w:pPr>
      <w:r>
        <w:rPr>
          <w:b/>
        </w:rPr>
        <w:t xml:space="preserve">Brokers </w:t>
      </w:r>
      <w:r>
        <w:t>who present scan reports to prospective or existing clients. The manual describes the structure of the PDF report, how to read the executive summary and recommendation sections, and how to explain findings to a non-technical audience. Brokers will also benefit from the Getting Started section, which explains how to initiate scans and download reports.</w:t>
      </w:r>
    </w:p>
    <w:p>
      <w:pPr>
        <w:widowControl/>
        <w:spacing w:after="80"/>
      </w:pPr>
      <w:r>
        <w:rPr>
          <w:b/>
        </w:rPr>
        <w:t xml:space="preserve">Technical Staff </w:t>
      </w:r>
      <w:r>
        <w:t>responsible for deploying, configuring, or maintaining the scanner. The manual covers environment variables, API key management, deployment on Render, the REST API, and troubleshooting guidance. Technical staff should read the full manual, paying particular attention to the Configuration &amp; Deployment and API Reference sections.</w:t>
      </w:r>
    </w:p>
    <w:p>
      <w:pPr>
        <w:keepNext/>
        <w:widowControl/>
        <w:spacing w:after="80"/>
      </w:pPr>
      <w:r>
        <w:rPr>
          <w:b/>
          <w:color w:val="008000"/>
        </w:rPr>
        <w:t xml:space="preserve">TIP: </w:t>
      </w:r>
      <w:r>
        <w:t>If you are a broker seeing the scanner for the first time, start with Section 2 (Getting Started) and Section 3 (Understanding Scan Results). You can refer to Section 4 (Security Checkers Reference) when you need to explain a specific finding to a client.</w:t>
      </w:r>
    </w:p>
    <w:p/>
    <w:p>
      <w:pPr>
        <w:keepNext/>
        <w:spacing w:before="200" w:after="60"/>
      </w:pPr>
      <w:r>
        <w:rPr>
          <w:b/>
          <w:color w:val="003366"/>
          <w:sz w:val="26"/>
        </w:rPr>
        <w:t>1.3 How the Scanner Works</w:t>
      </w:r>
    </w:p>
    <w:p>
      <w:pPr>
        <w:widowControl/>
        <w:spacing w:after="80"/>
      </w:pPr>
      <w:r>
        <w:t>The Phishield scanner is a passive reconnaissance tool. It collects only information that is already publicly available on the internet. It does not exploit vulnerabilities, attempt logins, inject payloads, or modify any data on the target's systems. In cybersecurity terminology, it performs open-source intelligence (OSINT) gathering and passive fingerprinting.</w:t>
      </w:r>
    </w:p>
    <w:p>
      <w:pPr>
        <w:widowControl/>
        <w:spacing w:after="80"/>
      </w:pPr>
      <w:r>
        <w:t>When you submit a domain for scanning, the scanner executes a multi-phase pipeline:</w:t>
      </w:r>
    </w:p>
    <w:p>
      <w:pPr>
        <w:widowControl/>
        <w:spacing w:after="80"/>
      </w:pPr>
      <w:r>
        <w:rPr>
          <w:b/>
        </w:rPr>
        <w:t xml:space="preserve">Phase 1 -- IP Discovery. </w:t>
      </w:r>
      <w:r>
        <w:t>The scanner resolves the domain's DNS A records to obtain all public IP addresses associated with the domain. If additional client-supplied IP addresses are provided (for example, known mail server IPs or secondary data-centre addresses), these are merged into the scan scope. Every subsequent checker operates against either the domain name itself or the discovered IP addresses.</w:t>
      </w:r>
    </w:p>
    <w:p>
      <w:pPr>
        <w:widowControl/>
        <w:spacing w:after="80"/>
      </w:pPr>
      <w:r>
        <w:rPr>
          <w:b/>
        </w:rPr>
        <w:t xml:space="preserve">Phase 2a -- Lightweight Domain Checkers (Concurrent). </w:t>
      </w:r>
      <w:r>
        <w:t>Approximately 20 checkers run simultaneously against the domain. These include email authentication (SPF, DKIM, DMARC), HTTP header analysis, WAF detection, technology stack fingerprinting, breach database lookups, credential leak checks, dark-web exposure searches, admin panel detection, domain intelligence, privacy compliance analysis, and more. Running these concurrently keeps total scan time under control.</w:t>
      </w:r>
    </w:p>
    <w:p>
      <w:pPr>
        <w:widowControl/>
        <w:spacing w:after="80"/>
      </w:pPr>
      <w:r>
        <w:rPr>
          <w:b/>
        </w:rPr>
        <w:t xml:space="preserve">Phase 2b -- Heavy Checkers (Sequential). </w:t>
      </w:r>
      <w:r>
        <w:t>A small number of resource-intensive checkers run one at a time after the concurrent batch completes. These include the SSL/TLS deep analysis (which spawns a subprocess to evaluate cipher suites, certificate chains, and protocol support) and subdomain reconnaissance (which queries Certificate Transparency logs and resolves large numbers of hostnames). Running these sequentially prevents memory exhaustion on resource-constrained hosting environments.</w:t>
      </w:r>
    </w:p>
    <w:p>
      <w:pPr>
        <w:widowControl/>
        <w:spacing w:after="80"/>
      </w:pPr>
      <w:r>
        <w:rPr>
          <w:b/>
        </w:rPr>
        <w:t xml:space="preserve">Phase 3 -- IP-Level Checkers. </w:t>
      </w:r>
      <w:r>
        <w:t>For each discovered IP address, the scanner runs a set of IP-specific checkers: DNS infrastructure and open port scanning, high-risk protocol detection (RDP, Telnet, FTP, SMB), Shodan vulnerability lookups, and DNSBL blacklist checks. Results from multiple IPs are merged into a single aggregate view, preserving per-IP detail for the technical report.</w:t>
      </w:r>
    </w:p>
    <w:p>
      <w:pPr>
        <w:widowControl/>
        <w:spacing w:after="80"/>
      </w:pPr>
      <w:r>
        <w:rPr>
          <w:b/>
        </w:rPr>
        <w:t xml:space="preserve">Phase 4 -- OSV Enrichment. </w:t>
      </w:r>
      <w:r>
        <w:t>Any technologies or software versions detected during earlier phases are cross-referenced against the OSV.dev vulnerability database (which includes the National Vulnerability Database / NVD). This enrichment step attaches known CVEs to detected software, enabling the report to highlight specific, exploitable vulnerabilities rather than generic warnings.</w:t>
      </w:r>
    </w:p>
    <w:p>
      <w:pPr>
        <w:widowControl/>
        <w:spacing w:after="80"/>
      </w:pPr>
      <w:r>
        <w:rPr>
          <w:b/>
        </w:rPr>
        <w:t xml:space="preserve">Phase 5 -- Scoring. </w:t>
      </w:r>
      <w:r>
        <w:t>Each checker produces a normalised score. These are combined using category-level weighting to produce an overall risk score from 0 (critical risk) to 100 (excellent posture). The risk level is then classified as Critical, High, Medium, Low, or Excellent based on defined thresholds.</w:t>
      </w:r>
    </w:p>
    <w:p>
      <w:pPr>
        <w:widowControl/>
        <w:spacing w:after="80"/>
      </w:pPr>
      <w:r>
        <w:rPr>
          <w:b/>
        </w:rPr>
        <w:t xml:space="preserve">Phase 6 -- Insurance Analytics. </w:t>
      </w:r>
      <w:r>
        <w:t>The scanner calculates three insurance-specific metrics: the Ransomware Susceptibility Index (RSI), which adjusts the technical score for industry risk and organisational size; FAIR-model financial impact estimates using Monte Carlo simulation with 10,000 iterations; and the Data Breach Index (DBI), which estimates the organisation's digital dependency. These analytics feed directly into premium calculation and underwriting decision-making.</w:t>
      </w:r>
    </w:p>
    <w:p>
      <w:pPr>
        <w:widowControl/>
        <w:spacing w:after="80"/>
      </w:pPr>
      <w:r>
        <w:rPr>
          <w:b/>
          <w:color w:val="003399"/>
        </w:rPr>
        <w:t xml:space="preserve">NOTE: </w:t>
      </w:r>
      <w:r>
        <w:t>The entire scan typically completes in 5 to 15 minutes depending on the complexity of the target domain and the responsiveness of external APIs. Progress is streamed to the browser in real time via Server-Sent Events (SSE).</w:t>
      </w:r>
    </w:p>
    <w:p/>
    <w:p>
      <w:pPr>
        <w:keepNext/>
        <w:spacing w:before="200" w:after="60"/>
      </w:pPr>
      <w:r>
        <w:rPr>
          <w:b/>
          <w:color w:val="003366"/>
          <w:sz w:val="26"/>
        </w:rPr>
        <w:t>1.4 Scanner Architecture</w:t>
      </w:r>
    </w:p>
    <w:p>
      <w:pPr>
        <w:widowControl/>
        <w:spacing w:after="80"/>
      </w:pPr>
      <w:r>
        <w:t>The scanner comprises over 25 individual checkers organised into eight categories. Each category groups related security concerns together, making it easier for underwriters and brokers to quickly identify where the target's strengths and weaknesses lie.</w:t>
      </w:r>
    </w:p>
    <w:p>
      <w:pPr>
        <w:widowControl/>
        <w:spacing w:after="80"/>
      </w:pPr>
      <w:r>
        <w:rPr>
          <w:b/>
        </w:rPr>
        <w:t xml:space="preserve">Discovery (2 checkers): </w:t>
      </w:r>
      <w:r>
        <w:t>IP Discovery and Web Ranking. Establishes the scan scope by resolving all public IP addresses and assessing the domain's web traffic ranking to provide context on organisational visibility.</w:t>
      </w:r>
    </w:p>
    <w:p>
      <w:pPr>
        <w:widowControl/>
        <w:spacing w:after="80"/>
      </w:pPr>
      <w:r>
        <w:rPr>
          <w:b/>
        </w:rPr>
        <w:t xml:space="preserve">Core Security (4 checkers): </w:t>
      </w:r>
      <w:r>
        <w:t>SSL/TLS Certificate, HTTP Security Headers, Website Security, and WAF/DDoS Protection. These evaluate the fundamental security controls that every internet-facing organisation should have in place.</w:t>
      </w:r>
    </w:p>
    <w:p>
      <w:pPr>
        <w:widowControl/>
        <w:spacing w:after="80"/>
      </w:pPr>
      <w:r>
        <w:rPr>
          <w:b/>
        </w:rPr>
        <w:t xml:space="preserve">Information Security (1 checker): </w:t>
      </w:r>
      <w:r>
        <w:t>Information Disclosure. Detects unintentional exposure of sensitive technical details such as server software versions, directory listings, debug pages, and configuration files.</w:t>
      </w:r>
    </w:p>
    <w:p>
      <w:pPr>
        <w:widowControl/>
        <w:spacing w:after="80"/>
      </w:pPr>
      <w:r>
        <w:rPr>
          <w:b/>
        </w:rPr>
        <w:t xml:space="preserve">Email Security (2 checkers): </w:t>
      </w:r>
      <w:r>
        <w:t>Email Authentication (SPF, DKIM, DMARC) and Email Hardening (MTA-STS, TLS-RPT, DANE). These assess the organisation's resilience to email spoofing, phishing, and business email compromise (BEC) attacks.</w:t>
      </w:r>
    </w:p>
    <w:p>
      <w:pPr>
        <w:widowControl/>
        <w:spacing w:after="80"/>
      </w:pPr>
      <w:r>
        <w:rPr>
          <w:b/>
        </w:rPr>
        <w:t xml:space="preserve">Network &amp; Infrastructure (6 checkers): </w:t>
      </w:r>
      <w:r>
        <w:t>DNS &amp; Open Ports, High-Risk Protocols, Shodan Vulnerabilities, DNSBL/Blacklists, Cloud &amp; CDN, and VPN/Remote Access. These checkers evaluate the network perimeter, identifying open ports, exposed services, known vulnerabilities, and blacklist appearances. Several of these run per-IP to cover all resolved addresses.</w:t>
      </w:r>
    </w:p>
    <w:p>
      <w:pPr>
        <w:widowControl/>
        <w:spacing w:after="80"/>
      </w:pPr>
      <w:r>
        <w:rPr>
          <w:b/>
        </w:rPr>
        <w:t xml:space="preserve">Exposure &amp; Reputation (6 checkers): </w:t>
      </w:r>
      <w:r>
        <w:t>Data Breaches (HIBP), Credential Leaks (Dehashed), Exposed Admin Panels, VirusTotal Intelligence, Subdomain Reconnaissance, and Lookalike/Fraudulent Domains. These measure the organisation's exposure in breach databases, dark-web markets, and typosquatting registrations.</w:t>
      </w:r>
    </w:p>
    <w:p>
      <w:pPr>
        <w:widowControl/>
        <w:spacing w:after="80"/>
      </w:pPr>
      <w:r>
        <w:rPr>
          <w:b/>
        </w:rPr>
        <w:t xml:space="preserve">Technology &amp; Governance (6 checkers): </w:t>
      </w:r>
      <w:r>
        <w:t>Technology Stack, Domain Intelligence, SecurityTrails DNS History, Security Policy &amp; Vulnerability Disclosure Programme (VDP), Payment Security (PCI-DSS indicators), and Privacy Compliance (cookie consent, privacy policy). These assess the maturity of the organisation's technology governance and regulatory compliance posture.</w:t>
      </w:r>
    </w:p>
    <w:p>
      <w:pPr>
        <w:widowControl/>
        <w:spacing w:after="80"/>
      </w:pPr>
      <w:r>
        <w:rPr>
          <w:b/>
        </w:rPr>
        <w:t xml:space="preserve">Insurance Analytics (1 checker): </w:t>
      </w:r>
      <w:r>
        <w:t>RSI / Financial Impact / DBI. This final stage synthesises all preceding results into insurance-relevant metrics, including annualised loss expectancy calculated via FAIR-model Monte Carlo simulation.</w:t>
      </w:r>
    </w:p>
    <w:p>
      <w:pPr>
        <w:widowControl/>
        <w:spacing w:after="80"/>
      </w:pPr>
      <w:r>
        <w:t>The scanner integrates with 10 external APIs and data sources to enrich its findings:</w:t>
      </w:r>
    </w:p>
    <w:p>
      <w:pPr>
        <w:pStyle w:val="ListParagraph"/>
        <w:widowControl/>
        <w:spacing w:after="40"/>
      </w:pPr>
      <w:r>
        <w:t>Shodan -- Internet-wide port and service scanning data, vulnerability lookups</w:t>
      </w:r>
    </w:p>
    <w:p>
      <w:pPr>
        <w:pStyle w:val="ListParagraph"/>
        <w:widowControl/>
        <w:spacing w:after="40"/>
      </w:pPr>
      <w:r>
        <w:t>Have I Been Pwned (HIBP) -- Breach database for domain-level email exposure</w:t>
      </w:r>
    </w:p>
    <w:p>
      <w:pPr>
        <w:pStyle w:val="ListParagraph"/>
        <w:widowControl/>
        <w:spacing w:after="40"/>
      </w:pPr>
      <w:r>
        <w:t>Dehashed -- Credential leak database with password hash and plaintext detection</w:t>
      </w:r>
    </w:p>
    <w:p>
      <w:pPr>
        <w:pStyle w:val="ListParagraph"/>
        <w:widowControl/>
        <w:spacing w:after="40"/>
      </w:pPr>
      <w:r>
        <w:t>VirusTotal -- Malware, phishing, and reputation intelligence</w:t>
      </w:r>
    </w:p>
    <w:p>
      <w:pPr>
        <w:pStyle w:val="ListParagraph"/>
        <w:widowControl/>
        <w:spacing w:after="40"/>
      </w:pPr>
      <w:r>
        <w:t>SecurityTrails -- Historical DNS records, domain ownership changes</w:t>
      </w:r>
    </w:p>
    <w:p>
      <w:pPr>
        <w:pStyle w:val="ListParagraph"/>
        <w:widowControl/>
        <w:spacing w:after="40"/>
      </w:pPr>
      <w:r>
        <w:t>IntelX (Intelligence X) -- Dark-web and paste-site exposure monitoring</w:t>
      </w:r>
    </w:p>
    <w:p>
      <w:pPr>
        <w:pStyle w:val="ListParagraph"/>
        <w:widowControl/>
        <w:spacing w:after="40"/>
      </w:pPr>
      <w:r>
        <w:t>OSV.dev / NVD -- Open-source vulnerability database for CVE enrichment</w:t>
      </w:r>
    </w:p>
    <w:p>
      <w:pPr>
        <w:pStyle w:val="ListParagraph"/>
        <w:widowControl/>
        <w:spacing w:after="40"/>
      </w:pPr>
      <w:r>
        <w:t>HudsonRock -- Infostealer malware credential compromise data</w:t>
      </w:r>
    </w:p>
    <w:p>
      <w:pPr>
        <w:pStyle w:val="ListParagraph"/>
        <w:widowControl/>
        <w:spacing w:after="40"/>
      </w:pPr>
      <w:r>
        <w:t>Certificate Transparency Logs -- Subdomain enumeration via issued certificates</w:t>
      </w:r>
    </w:p>
    <w:p>
      <w:pPr>
        <w:pStyle w:val="ListParagraph"/>
        <w:widowControl/>
        <w:spacing w:after="40"/>
      </w:pPr>
      <w:r>
        <w:t>Multiple DNSBL providers -- IP and domain blacklist status checks</w:t>
      </w:r>
    </w:p>
    <w:p>
      <w:pPr>
        <w:widowControl/>
        <w:spacing w:after="80"/>
      </w:pPr>
      <w:r>
        <w:t>The scanner produces both an interactive web-based results dashboard and a comprehensive PDF report. The PDF includes an executive summary, per-category detail pages, a full recommendations list with prioritisation, and the insurance analytics section with FAIR-model outputs.</w:t>
      </w:r>
    </w:p>
    <w:p>
      <w:pPr>
        <w:keepNext/>
        <w:widowControl/>
        <w:spacing w:after="80"/>
      </w:pPr>
      <w:r>
        <w:rPr>
          <w:b/>
          <w:color w:val="008000"/>
        </w:rPr>
        <w:t xml:space="preserve">TIP: </w:t>
      </w:r>
      <w:r>
        <w:t>For a visual overview of which checkers run in each phase and how data flows through the pipeline, refer to the architecture diagram in the Phishield technical documentation pack.</w:t>
      </w:r>
    </w:p>
    <w:p/>
    <w:p>
      <w:pPr>
        <w:keepNext/>
        <w:spacing w:before="200" w:after="60"/>
      </w:pPr>
      <w:r>
        <w:rPr>
          <w:b/>
          <w:color w:val="003366"/>
          <w:sz w:val="26"/>
        </w:rPr>
        <w:t>1.5 Limitations</w:t>
      </w:r>
    </w:p>
    <w:p>
      <w:pPr>
        <w:widowControl/>
        <w:spacing w:after="80"/>
      </w:pPr>
      <w:r>
        <w:t>While the Phishield scanner provides a comprehensive external view of an organisation's security posture, it is important to understand what it cannot assess. Being transparent about these limitations ensures that underwriters and brokers set appropriate expectations when using scan results in their decision-making.</w:t>
      </w:r>
    </w:p>
    <w:p>
      <w:pPr>
        <w:widowControl/>
        <w:spacing w:after="80"/>
      </w:pPr>
      <w:r>
        <w:rPr>
          <w:b/>
        </w:rPr>
        <w:t xml:space="preserve">External-only perspective. </w:t>
      </w:r>
      <w:r>
        <w:t>The scanner can only observe what is visible from the public internet. It cannot assess internal network segmentation, endpoint protection, backup strategies, staff security awareness training, incident response procedures, or physical security controls. An organisation could score well externally while having significant internal weaknesses. The scanner should be used alongside questionnaires and, where appropriate, internal audits.</w:t>
      </w:r>
    </w:p>
    <w:p>
      <w:pPr>
        <w:widowControl/>
        <w:spacing w:after="80"/>
      </w:pPr>
      <w:r>
        <w:rPr>
          <w:b/>
        </w:rPr>
        <w:t xml:space="preserve">Point-in-time assessment. </w:t>
      </w:r>
      <w:r>
        <w:t>Each scan captures the state of the target's infrastructure at the moment the scan is executed. Configurations change, new vulnerabilities are disclosed, and certificates expire. A scan that shows a clean posture today may not reflect the state a month from now. For ongoing risk monitoring, periodic re-scanning is recommended. Continuous monitoring capabilities are planned for a future release.</w:t>
      </w:r>
    </w:p>
    <w:p>
      <w:pPr>
        <w:widowControl/>
        <w:spacing w:after="80"/>
      </w:pPr>
      <w:r>
        <w:rPr>
          <w:b/>
        </w:rPr>
        <w:t xml:space="preserve">External API dependency. </w:t>
      </w:r>
      <w:r>
        <w:t>Several checkers rely on third-party APIs (Shodan, HIBP, Dehashed, VirusTotal, SecurityTrails, IntelX, HudsonRock). If any of these APIs are unavailable, rate-limited, or experiencing outages, the corresponding checker may return incomplete results or an error status. The scanner handles these gracefully by reporting the error without crashing, but the affected data will be missing from the report.</w:t>
      </w:r>
    </w:p>
    <w:p>
      <w:pPr>
        <w:widowControl/>
        <w:spacing w:after="80"/>
      </w:pPr>
      <w:r>
        <w:rPr>
          <w:b/>
        </w:rPr>
        <w:t xml:space="preserve">HTTPS and network timeouts. </w:t>
      </w:r>
      <w:r>
        <w:t>Some target domains may have aggressive firewall rules, geo-blocking, or very slow response times that cause individual checkers to time out. When this occurs, the checker reports a timeout error rather than incomplete data. The overall scan still completes, but the affected checker's section will show limited or no findings.</w:t>
      </w:r>
    </w:p>
    <w:p>
      <w:pPr>
        <w:widowControl/>
        <w:spacing w:after="80"/>
      </w:pPr>
      <w:r>
        <w:rPr>
          <w:b/>
        </w:rPr>
        <w:t xml:space="preserve">Not a penetration test. </w:t>
      </w:r>
      <w:r>
        <w:t>The scanner does not attempt to exploit any vulnerabilities it discovers. It does not test for SQL injection, cross-site scripting, authentication bypass, or any other active attack vector. The presence of an open port or an outdated software version is flagged as a risk indicator, but the scanner does not verify whether that risk is actually exploitable. For exploitability validation, a separate penetration test is required.</w:t>
      </w:r>
    </w:p>
    <w:p>
      <w:pPr>
        <w:widowControl/>
        <w:spacing w:after="80"/>
      </w:pPr>
      <w:r>
        <w:rPr>
          <w:b/>
        </w:rPr>
        <w:t xml:space="preserve">Subdomain and IP coverage. </w:t>
      </w:r>
      <w:r>
        <w:t>The scanner focuses on the primary domain and its DNS-resolved IP addresses. While subdomain reconnaissance via Certificate Transparency logs provides broad coverage, it may not discover every subdomain (for example, those that have never had a certificate issued). Similarly, IP addresses not linked via DNS A records or client-supplied lists will not be scanned.</w:t>
      </w:r>
    </w:p>
    <w:p>
      <w:pPr>
        <w:widowControl/>
        <w:spacing w:after="80"/>
      </w:pPr>
      <w:r>
        <w:rPr>
          <w:b/>
          <w:color w:val="B40000"/>
        </w:rPr>
        <w:t xml:space="preserve">WARNING: </w:t>
      </w:r>
      <w:r>
        <w:t>Never rely on the scanner as the sole basis for an underwriting decision. It is one input among several and should be considered alongside application forms, claims history, industry benchmarks, and where available, internal security assessments.</w:t>
      </w:r>
    </w:p>
    <w:p>
      <w:r>
        <w:br w:type="page"/>
      </w:r>
    </w:p>
    <w:p>
      <w:pPr>
        <w:keepNext/>
        <w:spacing w:before="240" w:after="80"/>
      </w:pPr>
      <w:r>
        <w:rPr>
          <w:b/>
          <w:color w:val="003366"/>
          <w:sz w:val="32"/>
        </w:rPr>
        <w:t>2. Getting Started</w:t>
      </w:r>
    </w:p>
    <w:p/>
    <w:p>
      <w:pPr>
        <w:keepNext/>
        <w:spacing w:before="200" w:after="60"/>
      </w:pPr>
      <w:r>
        <w:rPr>
          <w:b/>
          <w:color w:val="003366"/>
          <w:sz w:val="26"/>
        </w:rPr>
        <w:t>2.1 Accessing the Scanner</w:t>
      </w:r>
    </w:p>
    <w:p>
      <w:pPr>
        <w:widowControl/>
        <w:spacing w:after="80"/>
      </w:pPr>
      <w:r>
        <w:t>The Phishield Cyber Risk Scanner is a web application that runs in your browser. No software installation is required. There are two ways to access it:</w:t>
      </w:r>
    </w:p>
    <w:p>
      <w:pPr>
        <w:widowControl/>
        <w:spacing w:after="80"/>
      </w:pPr>
      <w:r>
        <w:rPr>
          <w:b/>
        </w:rPr>
        <w:t xml:space="preserve">Local Development Instance: </w:t>
      </w:r>
      <w:r>
        <w:t>http://localhost:5001. This is used by technical staff running the scanner on their own machine for development, testing, or offline use. The local instance requires Python 3.10+ and the scanner's dependencies to be installed.</w:t>
      </w:r>
    </w:p>
    <w:p>
      <w:pPr>
        <w:widowControl/>
        <w:spacing w:after="80"/>
      </w:pPr>
      <w:r>
        <w:rPr>
          <w:b/>
        </w:rPr>
        <w:t xml:space="preserve">Production Instance: </w:t>
      </w:r>
      <w:r>
        <w:t>https://phishield-scanner.onrender.com. This is the hosted version used by underwriters and brokers for day-to-day scanning. It is deployed on Render and is accessible from any internet-connected device.</w:t>
      </w:r>
    </w:p>
    <w:p>
      <w:pPr>
        <w:widowControl/>
        <w:spacing w:after="80"/>
      </w:pPr>
      <w:r>
        <w:rPr>
          <w:b/>
          <w:color w:val="003399"/>
        </w:rPr>
        <w:t xml:space="preserve">NOTE: </w:t>
      </w:r>
      <w:r>
        <w:t>The production instance may take 30-60 seconds to respond on the first request if it has been idle, because the Render free tier spins down inactive services. Subsequent requests will respond immediately.</w:t>
      </w:r>
    </w:p>
    <w:p>
      <w:pPr>
        <w:keepNext/>
        <w:widowControl/>
        <w:spacing w:after="80"/>
      </w:pPr>
      <w:r>
        <w:rPr>
          <w:b/>
          <w:color w:val="008000"/>
        </w:rPr>
        <w:t xml:space="preserve">TIP: </w:t>
      </w:r>
      <w:r>
        <w:t>Bookmark the production URL for quick access. If you experience slow loading, simply wait for the initial spin-up to complete and then refresh the page.</w:t>
      </w:r>
    </w:p>
    <w:p/>
    <w:p>
      <w:pPr>
        <w:keepNext/>
        <w:spacing w:before="200" w:after="60"/>
      </w:pPr>
      <w:r>
        <w:rPr>
          <w:b/>
          <w:color w:val="003366"/>
          <w:sz w:val="26"/>
        </w:rPr>
        <w:t>2.2 Browser Requirements</w:t>
      </w:r>
    </w:p>
    <w:p>
      <w:pPr>
        <w:widowControl/>
        <w:spacing w:after="80"/>
      </w:pPr>
      <w:r>
        <w:t>The scanner's web interface is built with standard HTML, CSS, and JavaScript and is compatible with all modern browsers. For the best experience, use one of the following:</w:t>
      </w:r>
    </w:p>
    <w:p>
      <w:pPr>
        <w:pStyle w:val="ListParagraph"/>
        <w:widowControl/>
        <w:spacing w:after="40"/>
      </w:pPr>
      <w:r>
        <w:t>Google Chrome (version 90 or later) -- recommended</w:t>
      </w:r>
    </w:p>
    <w:p>
      <w:pPr>
        <w:pStyle w:val="ListParagraph"/>
        <w:widowControl/>
        <w:spacing w:after="40"/>
      </w:pPr>
      <w:r>
        <w:t>Microsoft Edge (version 90 or later)</w:t>
      </w:r>
    </w:p>
    <w:p>
      <w:pPr>
        <w:pStyle w:val="ListParagraph"/>
        <w:widowControl/>
        <w:spacing w:after="40"/>
      </w:pPr>
      <w:r>
        <w:t>Mozilla Firefox (version 88 or later)</w:t>
      </w:r>
    </w:p>
    <w:p>
      <w:pPr>
        <w:pStyle w:val="ListParagraph"/>
        <w:widowControl/>
        <w:spacing w:after="40"/>
      </w:pPr>
      <w:r>
        <w:t>Apple Safari (version 14 or later)</w:t>
      </w:r>
    </w:p>
    <w:p>
      <w:pPr>
        <w:widowControl/>
        <w:spacing w:after="80"/>
      </w:pPr>
      <w:r>
        <w:t>The scanner uses Server-Sent Events (SSE) to stream real-time progress updates to your browser during a scan. All of the browsers listed above support SSE natively. Internet Explorer is not supported.</w:t>
      </w:r>
    </w:p>
    <w:p>
      <w:pPr>
        <w:widowControl/>
        <w:spacing w:after="80"/>
      </w:pPr>
      <w:r>
        <w:rPr>
          <w:b/>
          <w:color w:val="B40000"/>
        </w:rPr>
        <w:t xml:space="preserve">WARNING: </w:t>
      </w:r>
      <w:r>
        <w:t>Do not use browser extensions that aggressively block JavaScript or network requests (such as NoScript or certain ad-blockers in strict mode), as they may interfere with the scan progress stream and results display.</w:t>
      </w:r>
    </w:p>
    <w:p/>
    <w:p>
      <w:pPr>
        <w:keepNext/>
        <w:spacing w:before="200" w:after="60"/>
      </w:pPr>
      <w:r>
        <w:rPr>
          <w:b/>
          <w:color w:val="003366"/>
          <w:sz w:val="26"/>
        </w:rPr>
        <w:t>2.3 Screen Layout</w:t>
      </w:r>
    </w:p>
    <w:p>
      <w:pPr>
        <w:widowControl/>
        <w:spacing w:after="80"/>
      </w:pPr>
      <w:r>
        <w:t>The scanner interface is divided into three main areas that you will interact with during a typical scan workflow:</w:t>
      </w:r>
    </w:p>
    <w:p>
      <w:pPr>
        <w:widowControl/>
        <w:spacing w:after="80"/>
      </w:pPr>
      <w:r>
        <w:rPr>
          <w:b/>
        </w:rPr>
        <w:t xml:space="preserve">1. Scan Form (Top of Page). </w:t>
      </w:r>
      <w:r>
        <w:t>This is where you enter the target domain and configure scan options. The form contains the domain input field, industry dropdown, annual revenue field, and several toggle switches for optional data sources. A prominent 'Start Scan' button initiates the scan. This area is visible when no scan is in progress.</w:t>
      </w:r>
    </w:p>
    <w:p>
      <w:pPr>
        <w:widowControl/>
        <w:spacing w:after="80"/>
      </w:pPr>
      <w:r>
        <w:rPr>
          <w:b/>
        </w:rPr>
        <w:t xml:space="preserve">2. Progress View (During Scan). </w:t>
      </w:r>
      <w:r>
        <w:t>Once a scan is started, the form is replaced by a real-time progress dashboard. This shows an elapsed time counter, the domain being scanned, and a grid of all checkers grouped by category. Each checker displays its current status: a spinning indicator while running, a green tick when completed successfully, or a red cross if an error occurred. The checker's score or grade is shown next to its name as soon as it finishes.</w:t>
      </w:r>
    </w:p>
    <w:p>
      <w:pPr>
        <w:widowControl/>
        <w:spacing w:after="80"/>
      </w:pPr>
      <w:r>
        <w:rPr>
          <w:b/>
        </w:rPr>
        <w:t xml:space="preserve">3. Results Dashboard (After Scan). </w:t>
      </w:r>
      <w:r>
        <w:t>When all checkers have completed, the progress view transitions to the results dashboard. This displays the overall risk score prominently at the top, followed by a category-by-category breakdown. Each category can be expanded to reveal individual checker results, which in turn can be expanded further to show detailed findings, issues, and recommendations. A 'Download PDF' button is available to generate and download the full report.</w:t>
      </w:r>
    </w:p>
    <w:p>
      <w:pPr>
        <w:keepNext/>
        <w:widowControl/>
        <w:spacing w:after="80"/>
      </w:pPr>
      <w:r>
        <w:rPr>
          <w:b/>
          <w:color w:val="008000"/>
        </w:rPr>
        <w:t xml:space="preserve">TIP: </w:t>
      </w:r>
      <w:r>
        <w:t>You can leave the browser tab open during a scan and switch to other tasks. The scan runs server-side, so closing the progress view does not cancel the scan. You can return to view results using the scan's unique URL.</w:t>
      </w:r>
    </w:p>
    <w:p/>
    <w:p>
      <w:pPr>
        <w:keepNext/>
        <w:spacing w:before="200" w:after="60"/>
      </w:pPr>
      <w:r>
        <w:rPr>
          <w:b/>
          <w:color w:val="003366"/>
          <w:sz w:val="26"/>
        </w:rPr>
        <w:t>2.4 Starting a Scan</w:t>
      </w:r>
    </w:p>
    <w:p>
      <w:pPr>
        <w:widowControl/>
        <w:spacing w:after="80"/>
      </w:pPr>
      <w:r>
        <w:t>To initiate a new scan, navigate to the scanner's home page and fill in the scan form. Each field is described below:</w:t>
      </w:r>
    </w:p>
    <w:p>
      <w:pPr>
        <w:widowControl/>
        <w:spacing w:after="80"/>
      </w:pPr>
      <w:r>
        <w:rPr>
          <w:b/>
        </w:rPr>
        <w:t xml:space="preserve">Domain (required). </w:t>
      </w:r>
      <w:r>
        <w:t>Enter the primary domain you wish to scan, for example: example.co.za. Do not include the protocol prefix (https:// or http://) or any path. The scanner will automatically strip these if entered. Only one domain can be scanned at a time. Subdomains (such as www.example.co.za) can be entered but the scanner will focus on the root domain for most checks.</w:t>
      </w:r>
    </w:p>
    <w:p>
      <w:pPr>
        <w:widowControl/>
        <w:spacing w:after="80"/>
      </w:pPr>
      <w:r>
        <w:rPr>
          <w:b/>
        </w:rPr>
        <w:t xml:space="preserve">Industry (dropdown). </w:t>
      </w:r>
      <w:r>
        <w:t>Select the industry that best describes the target organisation. The industry selection affects two important calculations: the Ransomware Susceptibility Index (RSI) multiplier, which adjusts the risk score based on the threat landscape for that industry (financial services and healthcare face higher threat levels than agriculture, for example); and the FAIR model's threat event frequency and loss magnitude parameters, which vary significantly by sector. Available industries include Agriculture, Communications, Consumer, Education, Energy, Entertainment, Financial Services, Healthcare, Hospitality, Industrial/Manufacturing, Legal, Media, Pharmaceuticals, Public Sector, Research, Retail, Services, Technology, Transportation, Government, and Other.</w:t>
      </w:r>
    </w:p>
    <w:p>
      <w:pPr>
        <w:widowControl/>
        <w:spacing w:after="80"/>
      </w:pPr>
      <w:r>
        <w:rPr>
          <w:b/>
        </w:rPr>
        <w:t xml:space="preserve">Sub-Industry (searchable dropdown). </w:t>
      </w:r>
      <w:r>
        <w:t>Appears after selecting an industry. Lists sub-industries for the selected sector. Refines the financial impact model for the specific sector by applying more granular cost and frequency multipliers. Type to search and filter the available options.</w:t>
      </w:r>
    </w:p>
    <w:p>
      <w:pPr>
        <w:widowControl/>
        <w:spacing w:after="80"/>
      </w:pPr>
      <w:r>
        <w:rPr>
          <w:b/>
        </w:rPr>
        <w:t xml:space="preserve">Annual Revenue (ZAR). </w:t>
      </w:r>
      <w:r>
        <w:t>Enter the target organisation's annual revenue in South African Rand. This value is used to calculate the size multiplier for the RSI (larger organisations represent larger risk exposure) and to calibrate the hybrid financial impact model's loss magnitude estimates (which scale with revenue using graduated elasticity). If the exact figure is not known, use a reasonable estimate. Entering zero will cause the financial impact estimates to default to industry averages.</w:t>
      </w:r>
    </w:p>
    <w:p>
      <w:pPr>
        <w:widowControl/>
        <w:spacing w:after="80"/>
      </w:pPr>
      <w:r>
        <w:rPr>
          <w:b/>
        </w:rPr>
        <w:t xml:space="preserve">GDPR Applicable (toggle). </w:t>
      </w:r>
      <w:r>
        <w:t>Enable if the company processes EU personal data. When enabled, the financial impact model adds GDPR regulatory exposure (4% of global turnover, uncapped) to the C2 regulatory fines component. This significantly increases the regulatory fine estimate for organisations with EU data processing obligations.</w:t>
      </w:r>
    </w:p>
    <w:p>
      <w:pPr>
        <w:widowControl/>
        <w:spacing w:after="80"/>
      </w:pPr>
      <w:r>
        <w:rPr>
          <w:b/>
        </w:rPr>
        <w:t xml:space="preserve">PCI DSS Applicable (toggle). </w:t>
      </w:r>
      <w:r>
        <w:t>Enable if the company stores or processes payment card data. When enabled, the financial impact model adds PCI fine exposure to the C2 regulatory fines component. PCI fines can range from $5,000 to $100,000 per month depending on the severity and duration of non-compliance.</w:t>
      </w:r>
    </w:p>
    <w:p>
      <w:pPr>
        <w:widowControl/>
        <w:spacing w:after="80"/>
      </w:pPr>
      <w:r>
        <w:rPr>
          <w:b/>
        </w:rPr>
        <w:t xml:space="preserve">Include Dehashed (toggle). </w:t>
      </w:r>
      <w:r>
        <w:t>When enabled, the scanner queries the Dehashed credential leak database to check whether email addresses associated with the target domain appear in known data breaches with exposed passwords. This provides deeper insight than HIBP alone, as Dehashed includes password hashes and sometimes plaintext credentials. Enabling this toggle uses paid API credits.</w:t>
      </w:r>
    </w:p>
    <w:p>
      <w:pPr>
        <w:widowControl/>
        <w:spacing w:after="80"/>
      </w:pPr>
      <w:r>
        <w:rPr>
          <w:b/>
        </w:rPr>
        <w:t xml:space="preserve">Include IntelX (toggle). </w:t>
      </w:r>
      <w:r>
        <w:t>When enabled, the scanner queries the Intelligence X (IntelX) database for dark-web and paste-site mentions of the target domain. This can reveal leaked documents, credentials posted on underground forums, or other sensitive data exposures. Enabling this toggle uses paid API credits.</w:t>
      </w:r>
    </w:p>
    <w:p>
      <w:pPr>
        <w:widowControl/>
        <w:spacing w:after="80"/>
      </w:pPr>
      <w:r>
        <w:rPr>
          <w:b/>
        </w:rPr>
        <w:t xml:space="preserve">Include Fraudulent Domains (toggle). </w:t>
      </w:r>
      <w:r>
        <w:t>When enabled, the scanner checks for lookalike (typosquatted) domain registrations that could be used for phishing attacks against the target organisation's customers or employees. This checker generates permutations of the target domain and checks which ones are registered. Enabling this adds approximately 30 seconds to the total scan time.</w:t>
      </w:r>
    </w:p>
    <w:p>
      <w:pPr>
        <w:widowControl/>
        <w:spacing w:after="80"/>
      </w:pPr>
      <w:r>
        <w:rPr>
          <w:b/>
          <w:color w:val="003399"/>
        </w:rPr>
        <w:t xml:space="preserve">NOTE: </w:t>
      </w:r>
      <w:r>
        <w:t>The Dehashed and IntelX toggles are off by default to conserve paid API credits. Enable them when you need the most comprehensive scan possible, such as for high-value underwriting decisions or when a client has specifically requested dark-web monitoring.</w:t>
      </w:r>
    </w:p>
    <w:p>
      <w:pPr>
        <w:widowControl/>
        <w:spacing w:after="80"/>
      </w:pPr>
      <w:r>
        <w:rPr>
          <w:b/>
          <w:color w:val="B40000"/>
        </w:rPr>
        <w:t xml:space="preserve">WARNING: </w:t>
      </w:r>
      <w:r>
        <w:t>Ensure you have authorisation to scan the target domain. While the scanner is passive and non-intrusive, organisational policies or client agreements may require prior consent before conducting any form of security assessment.</w:t>
      </w:r>
    </w:p>
    <w:p>
      <w:pPr>
        <w:widowControl/>
        <w:spacing w:after="80"/>
      </w:pPr>
      <w:r>
        <w:t>Once all fields are completed, click the 'Start Scan' button. The scanner will validate the domain, assign a unique scan identifier, and begin the multi-phase scanning pipeline. You will be redirected to the progress view automatically.</w:t>
      </w:r>
    </w:p>
    <w:p/>
    <w:p>
      <w:pPr>
        <w:keepNext/>
        <w:spacing w:before="200" w:after="60"/>
      </w:pPr>
      <w:r>
        <w:rPr>
          <w:b/>
          <w:color w:val="003366"/>
          <w:sz w:val="26"/>
        </w:rPr>
        <w:t>2.5 Scan Progress</w:t>
      </w:r>
    </w:p>
    <w:p>
      <w:pPr>
        <w:widowControl/>
        <w:spacing w:after="80"/>
      </w:pPr>
      <w:r>
        <w:t>After starting a scan, the browser displays a real-time progress view that keeps you informed about which checkers are running and which have completed.</w:t>
      </w:r>
    </w:p>
    <w:p>
      <w:pPr>
        <w:widowControl/>
        <w:spacing w:after="80"/>
      </w:pPr>
      <w:r>
        <w:rPr>
          <w:b/>
        </w:rPr>
        <w:t xml:space="preserve">Elapsed Time Counter. </w:t>
      </w:r>
      <w:r>
        <w:t>A timer at the top of the progress view shows how long the scan has been running. A typical scan completes in 5 to 15 minutes. Complex domains with many subdomains, multiple IP addresses, or slow-responding servers may take longer.</w:t>
      </w:r>
    </w:p>
    <w:p>
      <w:pPr>
        <w:widowControl/>
        <w:spacing w:after="80"/>
      </w:pPr>
      <w:r>
        <w:rPr>
          <w:b/>
        </w:rPr>
        <w:t xml:space="preserve">Checker Status Grid. </w:t>
      </w:r>
      <w:r>
        <w:t>All checkers are displayed in a grid, grouped by their category (Discovery, Core Security, Email Security, and so on). Each checker shows one of three states:</w:t>
      </w:r>
    </w:p>
    <w:p>
      <w:pPr>
        <w:pStyle w:val="ListParagraph"/>
        <w:widowControl/>
        <w:spacing w:after="40"/>
      </w:pPr>
      <w:r>
        <w:t>Running -- A spinning indicator shows that the checker is currently executing. Multiple checkers run concurrently during Phase 2a.</w:t>
      </w:r>
    </w:p>
    <w:p>
      <w:pPr>
        <w:pStyle w:val="ListParagraph"/>
        <w:widowControl/>
        <w:spacing w:after="40"/>
      </w:pPr>
      <w:r>
        <w:t>Done -- A green tick indicates successful completion. The checker's score or grade appears next to its name.</w:t>
      </w:r>
    </w:p>
    <w:p>
      <w:pPr>
        <w:pStyle w:val="ListParagraph"/>
        <w:widowControl/>
        <w:spacing w:after="40"/>
      </w:pPr>
      <w:r>
        <w:t>Error -- A red cross indicates that the checker encountered an error, typically a timeout or API failure. The affected data will be missing from the results.</w:t>
      </w:r>
    </w:p>
    <w:p>
      <w:pPr>
        <w:widowControl/>
        <w:spacing w:after="80"/>
      </w:pPr>
      <w:r>
        <w:rPr>
          <w:b/>
        </w:rPr>
        <w:t xml:space="preserve">Server-Sent Events (SSE). </w:t>
      </w:r>
      <w:r>
        <w:t>Progress updates are delivered to your browser via Server-Sent Events, a lightweight streaming protocol. This means you see updates in real time without needing to refresh the page. If your network connection is interrupted briefly, the browser will automatically reconnect and resume receiving updates.</w:t>
      </w:r>
    </w:p>
    <w:p>
      <w:pPr>
        <w:widowControl/>
        <w:spacing w:after="80"/>
      </w:pPr>
      <w:r>
        <w:rPr>
          <w:b/>
        </w:rPr>
        <w:t xml:space="preserve">Scan Completion. </w:t>
      </w:r>
      <w:r>
        <w:t>When all checkers have finished, the insurance analytics module runs its calculations (RSI, FAIR Monte Carlo, DBI), the overall risk score is computed, and the progress view automatically transitions to the full results dashboard. The scan results are stored in the database and can be accessed at any time using the scan's unique URL.</w:t>
      </w:r>
    </w:p>
    <w:p>
      <w:pPr>
        <w:keepNext/>
        <w:widowControl/>
        <w:spacing w:after="80"/>
      </w:pPr>
      <w:r>
        <w:rPr>
          <w:b/>
          <w:color w:val="008000"/>
        </w:rPr>
        <w:t xml:space="preserve">TIP: </w:t>
      </w:r>
      <w:r>
        <w:t>If you need to scan the same domain again later (for example, after the client has remediated findings), simply start a new scan. The scanner maintains a history of all scans for each domain, allowing you to compare results over time.</w:t>
      </w:r>
    </w:p>
    <w:p>
      <w:pPr>
        <w:widowControl/>
        <w:spacing w:after="80"/>
      </w:pPr>
      <w:r>
        <w:rPr>
          <w:b/>
          <w:color w:val="003399"/>
        </w:rPr>
        <w:t xml:space="preserve">NOTE: </w:t>
      </w:r>
      <w:r>
        <w:t>If a scan appears stuck for more than 20 minutes, it is likely that one or more external APIs are experiencing issues. You can check the scan status via the API endpoint GET /api/scan/&lt;id&gt; or simply start a new scan. Stalled scans do not consume ongoing resources.</w:t>
      </w:r>
    </w:p>
    <w:p>
      <w:pPr>
        <w:keepNext/>
        <w:spacing w:before="200" w:after="60"/>
      </w:pPr>
      <w:r>
        <w:rPr>
          <w:b/>
          <w:color w:val="003366"/>
          <w:sz w:val="26"/>
        </w:rPr>
        <w:t>2.6 Reading the Dashboard Cards</w:t>
      </w:r>
    </w:p>
    <w:p>
      <w:pPr>
        <w:widowControl/>
        <w:spacing w:after="80"/>
      </w:pPr>
      <w:r>
        <w:t>When a scan completes, the results dashboard opens with a risk-score gauge (0-1000, colour-graded green through red) and a row of at-a-glance summary cards. Each card shows one key indicator with a traffic-light colour (green / amber / red) based on severity:</w:t>
      </w:r>
    </w:p>
    <w:p>
      <w:pPr>
        <w:pStyle w:val="ListParagraph"/>
        <w:widowControl/>
        <w:spacing w:after="40"/>
      </w:pPr>
      <w:r>
        <w:t>SSL Grade - letter grade (A+ to F) for TLS configuration quality. A/A+ is green, B/C is amber, D/F is red.</w:t>
      </w:r>
    </w:p>
    <w:p>
      <w:pPr>
        <w:pStyle w:val="ListParagraph"/>
        <w:widowControl/>
        <w:spacing w:after="40"/>
      </w:pPr>
      <w:r>
        <w:t>Email Score - score out of 10 for SPF/DKIM/DMARC configuration. 8+ is green, 5-7 is amber, below 5 is red.</w:t>
      </w:r>
    </w:p>
    <w:p>
      <w:pPr>
        <w:pStyle w:val="ListParagraph"/>
        <w:widowControl/>
        <w:spacing w:after="40"/>
      </w:pPr>
      <w:r>
        <w:t>Headers % - percentage of recommended HTTP security headers present. 70%+ is green, 40-69% is amber, below 40% is red.</w:t>
      </w:r>
    </w:p>
    <w:p>
      <w:pPr>
        <w:pStyle w:val="ListParagraph"/>
        <w:widowControl/>
        <w:spacing w:after="40"/>
      </w:pPr>
      <w:r>
        <w:t>WAF - whether a Web Application Firewall was detected. Detected is green, not detected is red.</w:t>
      </w:r>
    </w:p>
    <w:p>
      <w:pPr>
        <w:pStyle w:val="ListParagraph"/>
        <w:widowControl/>
        <w:spacing w:after="40"/>
      </w:pPr>
      <w:r>
        <w:t>Breaches - number of known data breaches from HIBP. 0 is green, 1-3 is amber, 4+ is red.</w:t>
      </w:r>
    </w:p>
    <w:p>
      <w:pPr>
        <w:pStyle w:val="ListParagraph"/>
        <w:widowControl/>
        <w:spacing w:after="40"/>
      </w:pPr>
      <w:r>
        <w:t>Admin Panels - number of exposed administrative interfaces found. 0 is green, any found is red.</w:t>
      </w:r>
    </w:p>
    <w:p>
      <w:pPr>
        <w:pStyle w:val="ListParagraph"/>
        <w:widowControl/>
        <w:spacing w:after="40"/>
      </w:pPr>
      <w:r>
        <w:t>DB Exposure - whether database ports (MongoDB, Redis, PostgreSQL, MySQL, etc.) are publicly accessible. None is green, any is red (critical).</w:t>
      </w:r>
    </w:p>
    <w:p>
      <w:pPr>
        <w:pStyle w:val="ListParagraph"/>
        <w:widowControl/>
        <w:spacing w:after="40"/>
      </w:pPr>
      <w:r>
        <w:t>Blacklisting - whether the domain or IP appears on DNS blacklists. Clean is green, listed is red.</w:t>
      </w:r>
    </w:p>
    <w:p>
      <w:pPr>
        <w:pStyle w:val="ListParagraph"/>
        <w:widowControl/>
        <w:spacing w:after="40"/>
      </w:pPr>
      <w:r>
        <w:t>RDP - whether Remote Desktop Protocol (port 3389) is exposed to the internet. Not exposed is green, exposed is red (critical).</w:t>
      </w:r>
    </w:p>
    <w:p>
      <w:pPr>
        <w:pStyle w:val="ListParagraph"/>
        <w:widowControl/>
        <w:spacing w:after="40"/>
      </w:pPr>
      <w:r>
        <w:t>Annual Loss - estimated probable annual loss from the hybrid model (median / P50 value in ZAR).</w:t>
      </w:r>
    </w:p>
    <w:p>
      <w:pPr>
        <w:pStyle w:val="ListParagraph"/>
        <w:widowControl/>
        <w:spacing w:after="40"/>
      </w:pPr>
      <w:r>
        <w:t>Web Ranking - Tranco list ranking indicating the domain's relative popularity and visibility.</w:t>
      </w:r>
    </w:p>
    <w:p>
      <w:pPr>
        <w:widowControl/>
        <w:spacing w:after="80"/>
      </w:pPr>
      <w:r>
        <w:t>The gauge and cards summarise the detailed findings that follow. The risk score itself is explained in Section 7 (Scoring Methodology); each indicator is covered in depth in its checker section under Section 4.</w:t>
      </w:r>
    </w:p>
    <w:p>
      <w:r>
        <w:br w:type="page"/>
      </w:r>
    </w:p>
    <w:p>
      <w:pPr>
        <w:keepNext/>
        <w:spacing w:before="240" w:after="80"/>
      </w:pPr>
      <w:r>
        <w:rPr>
          <w:b/>
          <w:color w:val="003366"/>
          <w:sz w:val="32"/>
        </w:rPr>
        <w:t>4.1  Discovery</w:t>
      </w:r>
    </w:p>
    <w:p>
      <w:pPr>
        <w:widowControl/>
        <w:spacing w:after="80"/>
      </w:pPr>
      <w:r>
        <w:t>The Discovery category provides contextual intelligence about the domain being scanned. These checks do not directly measure security posture but give underwriters and risk analysts important background information that influences how other findings should be interpreted.</w:t>
      </w:r>
    </w:p>
    <w:p>
      <w:pPr>
        <w:keepNext/>
        <w:spacing w:before="200" w:after="60"/>
      </w:pPr>
      <w:r>
        <w:rPr>
          <w:b/>
          <w:color w:val="003366"/>
          <w:sz w:val="26"/>
        </w:rPr>
        <w:t>4.1.1  Web Ranking (Tranco)</w:t>
      </w:r>
    </w:p>
    <w:p>
      <w:pPr>
        <w:widowControl/>
        <w:spacing w:after="80"/>
      </w:pPr>
      <w:r>
        <w:rPr>
          <w:b/>
        </w:rPr>
        <w:t xml:space="preserve">What it checks:  </w:t>
      </w:r>
      <w:r>
        <w:t>The scanner looks up the target domain in the Tranco top-1-million list, a research-grade website popularity ranking maintained by academic researchers. Tranco aggregates data from multiple providers (including Cisco Umbrella and the Chrome User Experience Report) to produce a stable, manipulation-resistant ranking that is updated daily. The scanner downloads the current list once per day and caches it for performance.</w:t>
      </w:r>
    </w:p>
    <w:p>
      <w:pPr>
        <w:widowControl/>
        <w:spacing w:after="80"/>
      </w:pPr>
      <w:r>
        <w:rPr>
          <w:b/>
        </w:rPr>
        <w:t xml:space="preserve">How to read the result:  </w:t>
      </w:r>
      <w:r>
        <w:t>The report shows two pieces of information: whether the domain appears in the list at all (Ranked or Unranked) and, if ranked, its numerical position (1 being the most popular website globally).</w:t>
      </w:r>
    </w:p>
    <w:p>
      <w:pPr>
        <w:widowControl/>
        <w:spacing w:after="80"/>
      </w:pPr>
      <w:r>
        <w:t>Scoring breakdown:</w:t>
      </w:r>
    </w:p>
    <w:p>
      <w:pPr>
        <w:pStyle w:val="ListParagraph"/>
        <w:widowControl/>
        <w:spacing w:after="40"/>
      </w:pPr>
      <w:r>
        <w:t>Rank 1 -- 1 000:  Score 100.  Among the most visited sites on the internet.</w:t>
      </w:r>
    </w:p>
    <w:p>
      <w:pPr>
        <w:pStyle w:val="ListParagraph"/>
        <w:widowControl/>
        <w:spacing w:after="40"/>
      </w:pPr>
      <w:r>
        <w:t>Rank 1 001 -- 10 000:  Score 90.  High-traffic, well-known domain.</w:t>
      </w:r>
    </w:p>
    <w:p>
      <w:pPr>
        <w:pStyle w:val="ListParagraph"/>
        <w:widowControl/>
        <w:spacing w:after="40"/>
      </w:pPr>
      <w:r>
        <w:t>Rank 10 001 -- 100 000:  Score 70.  Moderate traffic, established online presence.</w:t>
      </w:r>
    </w:p>
    <w:p>
      <w:pPr>
        <w:pStyle w:val="ListParagraph"/>
        <w:widowControl/>
        <w:spacing w:after="40"/>
      </w:pPr>
      <w:r>
        <w:t>Rank 100 001 -- 1 000 000:  Score 50.  Lower traffic but still in the top million.</w:t>
      </w:r>
    </w:p>
    <w:p>
      <w:pPr>
        <w:pStyle w:val="ListParagraph"/>
        <w:widowControl/>
        <w:spacing w:after="40"/>
      </w:pPr>
      <w:r>
        <w:t>Unranked (not in list):  Score 30.  Domain does not appear in the top one million.</w:t>
      </w:r>
    </w:p>
    <w:p>
      <w:pPr>
        <w:widowControl/>
        <w:spacing w:after="80"/>
      </w:pPr>
      <w:r>
        <w:rPr>
          <w:b/>
        </w:rPr>
        <w:t xml:space="preserve">Why it matters for insurance:  </w:t>
      </w:r>
      <w:r>
        <w:t>Popularity is a double-edged indicator. Higher-traffic websites are more attractive targets for attackers because a successful breach exposes more users and data. At the same time, organisations with high-traffic sites tend to invest more heavily in security infrastructure, dedicated teams, and incident-response capability. The ranking therefore provides context rather than a direct risk verdict.</w:t>
      </w:r>
    </w:p>
    <w:p>
      <w:pPr>
        <w:widowControl/>
        <w:spacing w:after="80"/>
      </w:pPr>
      <w:r>
        <w:t>For the vast majority of South African small and medium enterprises, the domain will be unranked. This is entirely normal and expected. An unranked result does not indicate a security problem; it simply means the site does not attract enough global traffic to appear in the top million. The scanner uses this check as a context indicator, not as a risk factor that penalises the overall score.</w:t>
      </w:r>
    </w:p>
    <w:p>
      <w:pPr>
        <w:widowControl/>
        <w:spacing w:after="80"/>
      </w:pPr>
      <w:r>
        <w:rPr>
          <w:b/>
          <w:color w:val="003399"/>
        </w:rPr>
        <w:t xml:space="preserve">NOTE: </w:t>
      </w:r>
      <w:r>
        <w:t>The Tranco list is a research-grade data source. Unlike commercial popularity rankings, it is specifically designed to resist manipulation through botnets or click fraud. The scanner refreshes its copy of the list once every 24 hours.</w:t>
      </w:r>
    </w:p>
    <w:p>
      <w:pPr>
        <w:widowControl/>
        <w:spacing w:after="80"/>
      </w:pPr>
      <w:r>
        <w:rPr>
          <w:b/>
        </w:rPr>
        <w:t xml:space="preserve">Common findings:  </w:t>
      </w:r>
      <w:r>
        <w:t>Almost all SME domains will show as Unranked with a contextual score of 30. Larger enterprises, banks, and e-commerce platforms with significant South African or international traffic may appear in the list.</w:t>
      </w:r>
    </w:p>
    <w:p>
      <w:pPr>
        <w:widowControl/>
        <w:spacing w:after="80"/>
      </w:pPr>
      <w:r>
        <w:rPr>
          <w:b/>
        </w:rPr>
        <w:t xml:space="preserve">Limitations:  </w:t>
      </w:r>
      <w:r>
        <w:t>The Tranco list measures global popularity. A domain that receives significant traffic only within South Africa may still be unranked if its global volume is insufficient. The ranking cannot distinguish between legitimate user traffic and bot traffic that has not been filtered by Tranco's anti-manipulation algorithms. Additionally, subdomains are not ranked individually; the list operates at the registrable domain level.</w:t>
      </w:r>
    </w:p>
    <w:p>
      <w:pPr>
        <w:keepNext/>
        <w:spacing w:before="240" w:after="80"/>
      </w:pPr>
      <w:r>
        <w:rPr>
          <w:b/>
          <w:color w:val="003366"/>
          <w:sz w:val="32"/>
        </w:rPr>
        <w:t>4.2  Core Security</w:t>
      </w:r>
    </w:p>
    <w:p>
      <w:pPr>
        <w:widowControl/>
        <w:spacing w:after="80"/>
      </w:pPr>
      <w:r>
        <w:t>The Core Security category contains the foundational checks that every internet-facing domain should pass. These checks evaluate the cryptographic transport layer, browser security headers, firewall protection, and general website hygiene. Together they form the first line of defence that an attacker must overcome before reaching the application itself.</w:t>
      </w:r>
    </w:p>
    <w:p>
      <w:pPr>
        <w:keepNext/>
        <w:spacing w:before="200" w:after="60"/>
      </w:pPr>
      <w:r>
        <w:rPr>
          <w:b/>
          <w:color w:val="003366"/>
          <w:sz w:val="26"/>
        </w:rPr>
        <w:t>4.2.1  SSL/TLS Certificate and Transport Security</w:t>
      </w:r>
    </w:p>
    <w:p>
      <w:pPr>
        <w:widowControl/>
        <w:spacing w:after="80"/>
      </w:pPr>
      <w:r>
        <w:rPr>
          <w:b/>
        </w:rPr>
        <w:t xml:space="preserve">What it checks:  </w:t>
      </w:r>
      <w:r>
        <w:t>This is one of the most comprehensive individual checks in the scanner. It performs a deep analysis of the domain's SSL/TLS configuration by examining the certificate itself, the protocol versions supported, the cipher suites offered, and several complementary security mechanisms. When the sslyze library is available, the scanner performs an in-depth probe that tests every TLS version and enumerates all accepted cipher suites. When sslyze is not installed, the scanner falls back to Python's built-in SSL library, which provides a reliable but less detailed assessment.</w:t>
      </w:r>
    </w:p>
    <w:p>
      <w:pPr>
        <w:widowControl/>
        <w:spacing w:after="80"/>
      </w:pPr>
      <w:r>
        <w:t>The following elements are evaluated:</w:t>
      </w:r>
    </w:p>
    <w:p>
      <w:pPr>
        <w:widowControl/>
        <w:spacing w:after="80"/>
      </w:pPr>
      <w:r>
        <w:rPr>
          <w:b/>
        </w:rPr>
        <w:t xml:space="preserve">Certificate details:  </w:t>
      </w:r>
      <w:r>
        <w:t>The subject (which domain the certificate was issued for), the issuer (which Certificate Authority signed it), the expiry date, and the number of days remaining until expiry. A certificate that has expired or will expire within 30 days triggers a significant penalty.</w:t>
      </w:r>
    </w:p>
    <w:p>
      <w:pPr>
        <w:widowControl/>
        <w:spacing w:after="80"/>
      </w:pPr>
      <w:r>
        <w:rPr>
          <w:b/>
        </w:rPr>
        <w:t xml:space="preserve">TLS version support:  </w:t>
      </w:r>
      <w:r>
        <w:t>The scanner tests which protocol versions the server accepts. TLS 1.2 and TLS 1.3 are the current standards and are required for a passing grade. TLS 1.0 and TLS 1.1 were officially deprecated in 2021 because they contain known vulnerabilities (such as the POODLE and BEAST attacks). If the older SSL 2.0 or SSL 3.0 protocols are still enabled, the penalty is even more severe, as these are critically insecure.</w:t>
      </w:r>
    </w:p>
    <w:p>
      <w:pPr>
        <w:widowControl/>
        <w:spacing w:after="80"/>
      </w:pPr>
      <w:r>
        <w:rPr>
          <w:b/>
        </w:rPr>
        <w:t xml:space="preserve">Cipher strength:  </w:t>
      </w:r>
      <w:r>
        <w:t>The scanner identifies the cipher suites the server is willing to use. Weak ciphers include those based on RC4, DES, 3DES, MD5, NULL, EXPORT, and anonymous key exchange. Any weak cipher that the server accepts represents a potential downgrade-attack vector, even if the server also supports strong ciphers.</w:t>
      </w:r>
    </w:p>
    <w:p>
      <w:pPr>
        <w:widowControl/>
        <w:spacing w:after="80"/>
      </w:pPr>
      <w:r>
        <w:rPr>
          <w:b/>
        </w:rPr>
        <w:t xml:space="preserve">Key size:  </w:t>
      </w:r>
      <w:r>
        <w:t>The public key in the certificate is checked for adequate length. Keys shorter than 2 048 bits are considered weak and incur a penalty. A 2 048-bit or 4 096-bit RSA key, or an equivalent elliptic-curve key, is the current industry standard.</w:t>
      </w:r>
    </w:p>
    <w:p>
      <w:pPr>
        <w:widowControl/>
        <w:spacing w:after="80"/>
      </w:pPr>
      <w:r>
        <w:rPr>
          <w:b/>
        </w:rPr>
        <w:t xml:space="preserve">HSTS (HTTP Strict Transport Security):  </w:t>
      </w:r>
      <w:r>
        <w:t>HSTS is a response header that instructs browsers to only connect via HTTPS, preventing protocol-downgrade attacks. When HSTS is missing, an attacker on the same network can intercept the initial HTTP request before the redirect to HTTPS occurs.</w:t>
      </w:r>
    </w:p>
    <w:p>
      <w:pPr>
        <w:widowControl/>
        <w:spacing w:after="80"/>
      </w:pPr>
      <w:r>
        <w:rPr>
          <w:b/>
        </w:rPr>
        <w:t xml:space="preserve">OCSP Stapling:  </w:t>
      </w:r>
      <w:r>
        <w:t>Online Certificate Status Protocol (OCSP) stapling allows the server to attach a time-stamped, signed response from the Certificate Authority confirming that the certificate has not been revoked. Without stapling, the visitor's browser must contact the CA directly, which is slower and may fail silently, leaving revoked certificates undetected.</w:t>
      </w:r>
    </w:p>
    <w:p>
      <w:pPr>
        <w:widowControl/>
        <w:spacing w:after="80"/>
      </w:pPr>
      <w:r>
        <w:rPr>
          <w:b/>
        </w:rPr>
        <w:t xml:space="preserve">Certificate chain validity:  </w:t>
      </w:r>
      <w:r>
        <w:t>The scanner verifies that the full chain of certificates from the leaf (server) certificate up to a trusted root CA is present and correctly ordered. An incomplete or invalid chain can cause connection failures in some browsers and indicates a misconfigured server.</w:t>
      </w:r>
    </w:p>
    <w:p>
      <w:pPr>
        <w:widowControl/>
        <w:spacing w:after="80"/>
      </w:pPr>
      <w:r>
        <w:rPr>
          <w:b/>
        </w:rPr>
        <w:t xml:space="preserve">CAA records (Certificate Authority Authorization):  </w:t>
      </w:r>
      <w:r>
        <w:t>This is a Phase 3 addition. CAA is a DNS record type that specifies which Certificate Authorities are permitted to issue certificates for the domain. When CAA records are present and restrictive (for example, allowing only Let's Encrypt or DigiCert), they prevent an attacker who has compromised a different CA from issuing a fraudulent certificate. When no CAA records exist, any CA in the world can issue a certificate for the domain, which is considered permissive. The scanner parses CAA records to identify the authorised issuers, wildcard policies, and incident-reporting (iodef) contacts.</w:t>
      </w:r>
    </w:p>
    <w:p>
      <w:pPr>
        <w:widowControl/>
        <w:spacing w:after="80"/>
      </w:pPr>
      <w:r>
        <w:t>Grade interpretation:</w:t>
      </w:r>
    </w:p>
    <w:p>
      <w:pPr>
        <w:pStyle w:val="ListParagraph"/>
        <w:widowControl/>
        <w:spacing w:after="40"/>
      </w:pPr>
      <w:r>
        <w:t>Grade A+ (score 95--100):  Excellent. Modern TLS only, strong ciphers, valid certificate with adequate key size, HSTS enabled, OCSP stapling active, valid chain, and restrictive CAA records. This is the gold standard.</w:t>
      </w:r>
    </w:p>
    <w:p>
      <w:pPr>
        <w:pStyle w:val="ListParagraph"/>
        <w:widowControl/>
        <w:spacing w:after="40"/>
      </w:pPr>
      <w:r>
        <w:t>Grade A (score 85--94):  Very good. One or two minor items may be missing (for example, OCSP stapling or CAA records) but overall configuration is strong.</w:t>
      </w:r>
    </w:p>
    <w:p>
      <w:pPr>
        <w:pStyle w:val="ListParagraph"/>
        <w:widowControl/>
        <w:spacing w:after="40"/>
      </w:pPr>
      <w:r>
        <w:t>Grade B (score 70--84):  Acceptable. The certificate is valid and modern TLS is supported, but there may be a deprecated TLS version still enabled or HSTS may be missing. Remediation is recommended.</w:t>
      </w:r>
    </w:p>
    <w:p>
      <w:pPr>
        <w:pStyle w:val="ListParagraph"/>
        <w:widowControl/>
        <w:spacing w:after="40"/>
      </w:pPr>
      <w:r>
        <w:t>Grade C (score 55--69):  Weak. Multiple issues are present. Commonly this means legacy TLS versions are enabled alongside weak ciphers or a certificate approaching expiry. Remediation should be prioritised.</w:t>
      </w:r>
    </w:p>
    <w:p>
      <w:pPr>
        <w:pStyle w:val="ListParagraph"/>
        <w:widowControl/>
        <w:spacing w:after="40"/>
      </w:pPr>
      <w:r>
        <w:t>Grade D (score 40--54):  Poor. Serious configuration weaknesses are present. This may include an expiring certificate combined with deprecated protocols and missing HSTS.</w:t>
      </w:r>
    </w:p>
    <w:p>
      <w:pPr>
        <w:pStyle w:val="ListParagraph"/>
        <w:widowControl/>
        <w:spacing w:after="40"/>
      </w:pPr>
      <w:r>
        <w:t>Grade F (score 0--39):  Critical. The certificate may be expired or invalid, extremely insecure protocols may be enabled, or the chain of trust is broken. Immediate remediation is required.</w:t>
      </w:r>
    </w:p>
    <w:p>
      <w:pPr>
        <w:widowControl/>
        <w:spacing w:after="80"/>
      </w:pPr>
      <w:r>
        <w:t>Scoring deductions (from a starting score of 100):</w:t>
      </w:r>
    </w:p>
    <w:p>
      <w:pPr>
        <w:pStyle w:val="ListParagraph"/>
        <w:widowControl/>
        <w:spacing w:after="40"/>
      </w:pPr>
      <w:r>
        <w:t>Invalid or unverifiable certificate: -40 points</w:t>
      </w:r>
    </w:p>
    <w:p>
      <w:pPr>
        <w:pStyle w:val="ListParagraph"/>
        <w:widowControl/>
        <w:spacing w:after="40"/>
      </w:pPr>
      <w:r>
        <w:t>Expired certificate: -40 points</w:t>
      </w:r>
    </w:p>
    <w:p>
      <w:pPr>
        <w:pStyle w:val="ListParagraph"/>
        <w:widowControl/>
        <w:spacing w:after="40"/>
      </w:pPr>
      <w:r>
        <w:t>Certificate expiring within 30 days: -20 points</w:t>
      </w:r>
    </w:p>
    <w:p>
      <w:pPr>
        <w:pStyle w:val="ListParagraph"/>
        <w:widowControl/>
        <w:spacing w:after="40"/>
      </w:pPr>
      <w:r>
        <w:t>Incomplete or invalid certificate chain: -15 points</w:t>
      </w:r>
    </w:p>
    <w:p>
      <w:pPr>
        <w:pStyle w:val="ListParagraph"/>
        <w:widowControl/>
        <w:spacing w:after="40"/>
      </w:pPr>
      <w:r>
        <w:t>Key size below 2 048 bits: -20 points</w:t>
      </w:r>
    </w:p>
    <w:p>
      <w:pPr>
        <w:pStyle w:val="ListParagraph"/>
        <w:widowControl/>
        <w:spacing w:after="40"/>
      </w:pPr>
      <w:r>
        <w:t>SSL 2.0 enabled: -30 points</w:t>
      </w:r>
    </w:p>
    <w:p>
      <w:pPr>
        <w:pStyle w:val="ListParagraph"/>
        <w:widowControl/>
        <w:spacing w:after="40"/>
      </w:pPr>
      <w:r>
        <w:t>SSL 3.0 enabled: -25 points</w:t>
      </w:r>
    </w:p>
    <w:p>
      <w:pPr>
        <w:pStyle w:val="ListParagraph"/>
        <w:widowControl/>
        <w:spacing w:after="40"/>
      </w:pPr>
      <w:r>
        <w:t>TLS 1.0 enabled: -20 points</w:t>
      </w:r>
    </w:p>
    <w:p>
      <w:pPr>
        <w:pStyle w:val="ListParagraph"/>
        <w:widowControl/>
        <w:spacing w:after="40"/>
      </w:pPr>
      <w:r>
        <w:t>TLS 1.1 enabled: -10 points</w:t>
      </w:r>
    </w:p>
    <w:p>
      <w:pPr>
        <w:pStyle w:val="ListParagraph"/>
        <w:widowControl/>
        <w:spacing w:after="40"/>
      </w:pPr>
      <w:r>
        <w:t>No modern TLS version (1.2 or 1.3): -30 points</w:t>
      </w:r>
    </w:p>
    <w:p>
      <w:pPr>
        <w:pStyle w:val="ListParagraph"/>
        <w:widowControl/>
        <w:spacing w:after="40"/>
      </w:pPr>
      <w:r>
        <w:t>Weak cipher suite in use: -20 points</w:t>
      </w:r>
    </w:p>
    <w:p>
      <w:pPr>
        <w:pStyle w:val="ListParagraph"/>
        <w:widowControl/>
        <w:spacing w:after="40"/>
      </w:pPr>
      <w:r>
        <w:t>Additional weak cipher suites accepted: -2 points each (maximum -10)</w:t>
      </w:r>
    </w:p>
    <w:p>
      <w:pPr>
        <w:pStyle w:val="ListParagraph"/>
        <w:widowControl/>
        <w:spacing w:after="40"/>
      </w:pPr>
      <w:r>
        <w:t>HSTS header missing: -10 points</w:t>
      </w:r>
    </w:p>
    <w:p>
      <w:pPr>
        <w:pStyle w:val="ListParagraph"/>
        <w:widowControl/>
        <w:spacing w:after="40"/>
      </w:pPr>
      <w:r>
        <w:t>OCSP stapling not enabled: -5 points</w:t>
      </w:r>
    </w:p>
    <w:p>
      <w:pPr>
        <w:pStyle w:val="ListParagraph"/>
        <w:widowControl/>
        <w:spacing w:after="40"/>
      </w:pPr>
      <w:r>
        <w:t>No CAA records: -5 points</w:t>
      </w:r>
    </w:p>
    <w:p>
      <w:pPr>
        <w:keepNext/>
        <w:widowControl/>
        <w:spacing w:after="80"/>
      </w:pPr>
      <w:r>
        <w:rPr>
          <w:b/>
          <w:color w:val="008000"/>
        </w:rPr>
        <w:t xml:space="preserve">TIP: </w:t>
      </w:r>
      <w:r>
        <w:t>For most organisations, the quickest wins are ensuring the certificate is renewed well before expiry, disabling TLS 1.0 and 1.1 on the web server, enabling HSTS, and adding CAA records to DNS. These changes typically take less than an hour and can move a Grade C to a Grade A.</w:t>
      </w:r>
    </w:p>
    <w:p>
      <w:pPr>
        <w:widowControl/>
        <w:spacing w:after="80"/>
      </w:pPr>
      <w:r>
        <w:rPr>
          <w:b/>
        </w:rPr>
        <w:t xml:space="preserve">Common findings:  </w:t>
      </w:r>
      <w:r>
        <w:t>Expired or soon-to-expire certificates are the single most frequent issue, particularly on sites that do not use automated renewal (such as Let's Encrypt with certbot). Legacy TLS 1.0 or 1.1 support is common on older servers that have not been reconfigured since the deprecation in 2021. Missing HSTS is widespread. Weak cipher suites are less common on modern hosting but still appear on self-managed servers. Missing CAA records are very common, as many administrators are not yet aware of this DNS record type.</w:t>
      </w:r>
    </w:p>
    <w:p>
      <w:pPr>
        <w:widowControl/>
        <w:spacing w:after="80"/>
      </w:pPr>
      <w:r>
        <w:rPr>
          <w:b/>
        </w:rPr>
        <w:t xml:space="preserve">Limitations:  </w:t>
      </w:r>
      <w:r>
        <w:t>The scanner tests the default HTTPS endpoint on port 443. If the organisation runs additional TLS services on non-standard ports (such as a mail server on port 465 or a VPN gateway), those are not evaluated by this check. The stdlib fallback mode cannot enumerate all accepted cipher suites or detect SSL 2.0/3.0 support; installing sslyze provides significantly more detailed results. OCSP stapling detection requires the sslyze deep-scan path. CAA record lookups require the dnspython library.</w:t>
      </w:r>
    </w:p>
    <w:p>
      <w:pPr>
        <w:widowControl/>
        <w:spacing w:after="80"/>
      </w:pPr>
      <w:r>
        <w:rPr>
          <w:b/>
          <w:color w:val="B40000"/>
        </w:rPr>
        <w:t xml:space="preserve">WARNING: </w:t>
      </w:r>
      <w:r>
        <w:t>An expired SSL certificate is treated as a critical finding. Browsers display prominent security warnings to visitors, search engines may de-index the site, and encrypted connections cannot be trusted. If the scanner reports an expired certificate, the organisation should renew it immediately.</w:t>
      </w:r>
    </w:p>
    <w:p>
      <w:pPr>
        <w:keepNext/>
        <w:spacing w:before="200" w:after="60"/>
      </w:pPr>
      <w:r>
        <w:rPr>
          <w:b/>
          <w:color w:val="003366"/>
          <w:sz w:val="26"/>
        </w:rPr>
        <w:t>4.2.2  HTTP Security Headers</w:t>
      </w:r>
    </w:p>
    <w:p>
      <w:pPr>
        <w:widowControl/>
        <w:spacing w:after="80"/>
      </w:pPr>
      <w:r>
        <w:rPr>
          <w:b/>
        </w:rPr>
        <w:t xml:space="preserve">What it checks:  </w:t>
      </w:r>
      <w:r>
        <w:t>The scanner requests the domain's home page over HTTPS and inspects the HTTP response headers for six security-critical headers. Each header carries a weighted score that reflects its relative importance. The overall score is expressed as a percentage (0--100%) of the maximum achievable weight.</w:t>
      </w:r>
    </w:p>
    <w:p>
      <w:pPr>
        <w:widowControl/>
        <w:spacing w:after="80"/>
      </w:pPr>
      <w:r>
        <w:t>Headers evaluated and their weights:</w:t>
      </w:r>
    </w:p>
    <w:p>
      <w:pPr>
        <w:widowControl/>
        <w:spacing w:after="80"/>
      </w:pPr>
      <w:r>
        <w:rPr>
          <w:b/>
        </w:rPr>
        <w:t xml:space="preserve">Strict-Transport-Security (HSTS) -- weight 20:  </w:t>
      </w:r>
      <w:r>
        <w:t>Instructs the browser to only communicate over HTTPS for a specified duration. This prevents protocol-downgrade attacks and cookie hijacking. It is the highest-weighted header because without it, even a site with a valid SSL certificate can be intercepted during the initial HTTP request.</w:t>
      </w:r>
    </w:p>
    <w:p>
      <w:pPr>
        <w:widowControl/>
        <w:spacing w:after="80"/>
      </w:pPr>
      <w:r>
        <w:rPr>
          <w:b/>
        </w:rPr>
        <w:t xml:space="preserve">X-Frame-Options -- weight 15:  </w:t>
      </w:r>
      <w:r>
        <w:t>Controls whether the page can be embedded in an iframe on another site. Without this header (or an equivalent CSP frame-ancestors directive), the site is vulnerable to clickjacking attacks, where an attacker overlays invisible frames to trick users into clicking hidden buttons.</w:t>
      </w:r>
    </w:p>
    <w:p>
      <w:pPr>
        <w:widowControl/>
        <w:spacing w:after="80"/>
      </w:pPr>
      <w:r>
        <w:rPr>
          <w:b/>
        </w:rPr>
        <w:t xml:space="preserve">X-Content-Type-Options -- weight 15:  </w:t>
      </w:r>
      <w:r>
        <w:t>When set to 'nosniff', this header prevents browsers from guessing (MIME-sniffing) the content type of a response. Without it, an attacker can upload a file that the browser incorrectly interprets as executable script, enabling cross-site scripting.</w:t>
      </w:r>
    </w:p>
    <w:p>
      <w:pPr>
        <w:widowControl/>
        <w:spacing w:after="80"/>
      </w:pPr>
      <w:r>
        <w:rPr>
          <w:b/>
        </w:rPr>
        <w:t xml:space="preserve">Content-Security-Policy (CSP) -- weight 10 (presence) + 10 (quality):  </w:t>
      </w:r>
      <w:r>
        <w:t>CSP is the most powerful browser-side defence against cross-site scripting (XSS) and data injection attacks. It specifies exactly which sources are allowed to load scripts, styles, images, fonts, and other resources. Because a poorly configured CSP can be worse than no CSP at all (by giving a false sense of security), the scanner evaluates both presence and quality separately.</w:t>
      </w:r>
    </w:p>
    <w:p>
      <w:pPr>
        <w:widowControl/>
        <w:spacing w:after="80"/>
      </w:pPr>
      <w:r>
        <w:rPr>
          <w:b/>
        </w:rPr>
        <w:t xml:space="preserve">Referrer-Policy -- weight 15:  </w:t>
      </w:r>
      <w:r>
        <w:t>Controls how much referrer information the browser sends when navigating away from the page. Without a restrictive policy, sensitive URL parameters (such as session tokens or search queries) may leak to third-party sites.</w:t>
      </w:r>
    </w:p>
    <w:p>
      <w:pPr>
        <w:widowControl/>
        <w:spacing w:after="80"/>
      </w:pPr>
      <w:r>
        <w:rPr>
          <w:b/>
        </w:rPr>
        <w:t xml:space="preserve">Permissions-Policy -- weight 15:  </w:t>
      </w:r>
      <w:r>
        <w:t>Allows the site to disable browser features it does not use, such as the camera, microphone, geolocation, or payment API. This limits the damage an attacker can do even if they inject malicious script into the page.</w:t>
      </w:r>
    </w:p>
    <w:p>
      <w:pPr>
        <w:widowControl/>
        <w:spacing w:after="80"/>
      </w:pPr>
      <w:r>
        <w:t>The total possible weight is 100 (six header presence checks totalling 90 points, plus 10 points for CSP quality). The score is calculated as (earned points / total weight) * 100, expressed as a percentage.</w:t>
      </w:r>
    </w:p>
    <w:p>
      <w:pPr>
        <w:keepNext/>
        <w:spacing w:before="200" w:after="60"/>
      </w:pPr>
      <w:r>
        <w:rPr>
          <w:b/>
          <w:color w:val="003366"/>
          <w:sz w:val="26"/>
        </w:rPr>
        <w:t>4.2.2.1  CSP Quality Analysis (Phase 3)</w:t>
      </w:r>
    </w:p>
    <w:p>
      <w:pPr>
        <w:widowControl/>
        <w:spacing w:after="80"/>
      </w:pPr>
      <w:r>
        <w:t>When a Content-Security-Policy header is present, the scanner performs an additional quality analysis that produces a separate 0--100 score. This analysis was introduced in Phase 3 to address a common problem: many sites deploy a CSP header that technically exists but is configured so permissively that it provides little real protection.</w:t>
      </w:r>
    </w:p>
    <w:p>
      <w:pPr>
        <w:widowControl/>
        <w:spacing w:after="80"/>
      </w:pPr>
      <w:r>
        <w:t>The quality analysis evaluates three dimensions:</w:t>
      </w:r>
    </w:p>
    <w:p>
      <w:pPr>
        <w:widowControl/>
        <w:spacing w:after="80"/>
      </w:pPr>
      <w:r>
        <w:rPr>
          <w:b/>
        </w:rPr>
        <w:t xml:space="preserve">1. Dangerous patterns detected:  </w:t>
      </w:r>
      <w:r>
        <w:t>The scanner searches the CSP for patterns that undermine its effectiveness. Each dangerous pattern deducts 15 points from the quality score.</w:t>
      </w:r>
    </w:p>
    <w:p>
      <w:pPr>
        <w:pStyle w:val="ListParagraph"/>
        <w:widowControl/>
        <w:spacing w:after="40"/>
      </w:pPr>
      <w:r>
        <w:t>'unsafe-inline' -- Allows inline scripts and event handlers. This effectively defeats XSS protection, because an attacker who can inject HTML can also inject inline script tags.</w:t>
      </w:r>
    </w:p>
    <w:p>
      <w:pPr>
        <w:pStyle w:val="ListParagraph"/>
        <w:widowControl/>
        <w:spacing w:after="40"/>
      </w:pPr>
      <w:r>
        <w:t>'unsafe-eval' -- Allows the use of eval(), new Function(), and similar dynamic code execution methods. Attackers frequently exploit these functions to execute injected payloads.</w:t>
      </w:r>
    </w:p>
    <w:p>
      <w:pPr>
        <w:pStyle w:val="ListParagraph"/>
        <w:widowControl/>
        <w:spacing w:after="40"/>
      </w:pPr>
      <w:r>
        <w:t>Wildcard (*) in script-src -- Permits scripts from any domain. An attacker can host a malicious script on any server and it will be allowed by the policy.</w:t>
      </w:r>
    </w:p>
    <w:p>
      <w:pPr>
        <w:pStyle w:val="ListParagraph"/>
        <w:widowControl/>
        <w:spacing w:after="40"/>
      </w:pPr>
      <w:r>
        <w:t>data: URIs in script-src -- Allows scripts to be loaded from data: URIs, which can be used to encode and execute malicious JavaScript without an external server.</w:t>
      </w:r>
    </w:p>
    <w:p>
      <w:pPr>
        <w:widowControl/>
        <w:spacing w:after="80"/>
      </w:pPr>
      <w:r>
        <w:rPr>
          <w:b/>
        </w:rPr>
        <w:t xml:space="preserve">2. Missing critical directives:  </w:t>
      </w:r>
      <w:r>
        <w:t>The scanner checks whether five essential directives are defined in the policy. Each missing directive deducts 8 points.</w:t>
      </w:r>
    </w:p>
    <w:p>
      <w:pPr>
        <w:pStyle w:val="ListParagraph"/>
        <w:widowControl/>
        <w:spacing w:after="40"/>
      </w:pPr>
      <w:r>
        <w:t>default-src -- The fallback directive. If this is missing and a specific directive is also missing, the browser applies no restriction for that resource type.</w:t>
      </w:r>
    </w:p>
    <w:p>
      <w:pPr>
        <w:pStyle w:val="ListParagraph"/>
        <w:widowControl/>
        <w:spacing w:after="40"/>
      </w:pPr>
      <w:r>
        <w:t>script-src -- Controls where JavaScript can be loaded from. This is the most important directive for preventing XSS.</w:t>
      </w:r>
    </w:p>
    <w:p>
      <w:pPr>
        <w:pStyle w:val="ListParagraph"/>
        <w:widowControl/>
        <w:spacing w:after="40"/>
      </w:pPr>
      <w:r>
        <w:t>frame-ancestors -- Controls which sites can embed this page in a frame. This is the modern replacement for X-Frame-Options.</w:t>
      </w:r>
    </w:p>
    <w:p>
      <w:pPr>
        <w:pStyle w:val="ListParagraph"/>
        <w:widowControl/>
        <w:spacing w:after="40"/>
      </w:pPr>
      <w:r>
        <w:t>object-src -- Controls where plugins (Flash, Java applets) can be loaded from. Setting this to 'none' blocks legacy plugin-based attacks.</w:t>
      </w:r>
    </w:p>
    <w:p>
      <w:pPr>
        <w:pStyle w:val="ListParagraph"/>
        <w:widowControl/>
        <w:spacing w:after="40"/>
      </w:pPr>
      <w:r>
        <w:t>base-uri -- Controls the URL that can be used in the &lt;base&gt; element. Without this, an attacker can change the base URL to hijack relative resource paths.</w:t>
      </w:r>
    </w:p>
    <w:p>
      <w:pPr>
        <w:widowControl/>
        <w:spacing w:after="80"/>
      </w:pPr>
      <w:r>
        <w:rPr>
          <w:b/>
        </w:rPr>
        <w:t xml:space="preserve">3. Bonus points for restrictive policies:  </w:t>
      </w:r>
      <w:r>
        <w:t>The score starts at 50 (for having CSP at all) and can earn additional points for best-practice configurations.</w:t>
      </w:r>
    </w:p>
    <w:p>
      <w:pPr>
        <w:pStyle w:val="ListParagraph"/>
        <w:widowControl/>
        <w:spacing w:after="40"/>
      </w:pPr>
      <w:r>
        <w:t>+20 points if script-src uses 'self' without 'unsafe-inline' or 'unsafe-eval' (a genuinely restrictive policy).</w:t>
      </w:r>
    </w:p>
    <w:p>
      <w:pPr>
        <w:pStyle w:val="ListParagraph"/>
        <w:widowControl/>
        <w:spacing w:after="40"/>
      </w:pPr>
      <w:r>
        <w:t>+10 points if the frame-ancestors directive is present (anti-clickjacking).</w:t>
      </w:r>
    </w:p>
    <w:p>
      <w:pPr>
        <w:pStyle w:val="ListParagraph"/>
        <w:widowControl/>
        <w:spacing w:after="40"/>
      </w:pPr>
      <w:r>
        <w:t>+10 points if object-src is set to 'none' (blocks legacy plugins).</w:t>
      </w:r>
    </w:p>
    <w:p>
      <w:pPr>
        <w:pStyle w:val="ListParagraph"/>
        <w:widowControl/>
        <w:spacing w:after="40"/>
      </w:pPr>
      <w:r>
        <w:t>+10 points if base-uri is set to 'none' (prevents base-tag hijacking).</w:t>
      </w:r>
    </w:p>
    <w:p>
      <w:pPr>
        <w:widowControl/>
        <w:spacing w:after="80"/>
      </w:pPr>
      <w:r>
        <w:t>The CSP quality score feeds into the overall HTTP Security Headers percentage. Specifically, the quality score (0--100) is divided by 10 to produce a 0--10 point bonus that is added to the earned header weights. This means a perfect CSP contributes up to 20 points in total (10 for presence, 10 for quality) out of the overall 100-point budget.</w:t>
      </w:r>
    </w:p>
    <w:p>
      <w:pPr>
        <w:keepNext/>
        <w:widowControl/>
        <w:spacing w:after="80"/>
      </w:pPr>
      <w:r>
        <w:rPr>
          <w:b/>
          <w:color w:val="008000"/>
        </w:rPr>
        <w:t xml:space="preserve">TIP: </w:t>
      </w:r>
      <w:r>
        <w:t>Deploying CSP is an iterative process. Start with a report-only policy (Content-Security-Policy-Report-Only) to identify which resources your site loads, then tighten the policy gradually. Many sites begin with 'unsafe-inline' enabled and remove it once inline scripts have been refactored to use nonces or hashes.</w:t>
      </w:r>
    </w:p>
    <w:p>
      <w:pPr>
        <w:widowControl/>
        <w:spacing w:after="80"/>
      </w:pPr>
      <w:r>
        <w:rPr>
          <w:b/>
        </w:rPr>
        <w:t xml:space="preserve">Why it matters for insurance:  </w:t>
      </w:r>
      <w:r>
        <w:t>HTTP security headers are the browser's built-in defence layer. They cost nothing to implement (they are server configuration changes, not software purchases) yet dramatically reduce the attack surface for cross-site scripting, clickjacking, and data exfiltration. A site missing most security headers signals that basic hardening has not been performed, which is a strong predictor of other security gaps.</w:t>
      </w:r>
    </w:p>
    <w:p>
      <w:pPr>
        <w:widowControl/>
        <w:spacing w:after="80"/>
      </w:pPr>
      <w:r>
        <w:rPr>
          <w:b/>
        </w:rPr>
        <w:t xml:space="preserve">Common findings:  </w:t>
      </w:r>
      <w:r>
        <w:t>The most frequently missing headers are Content-Security-Policy and Permissions-Policy. Many sites implement HSTS and X-Content-Type-Options but overlook the more complex CSP header. When CSP is present, the most common quality issue is the use of 'unsafe-inline', which is often added to avoid breaking inline scripts during deployment.</w:t>
      </w:r>
    </w:p>
    <w:p>
      <w:pPr>
        <w:widowControl/>
        <w:spacing w:after="80"/>
      </w:pPr>
      <w:r>
        <w:rPr>
          <w:b/>
        </w:rPr>
        <w:t xml:space="preserve">Limitations:  </w:t>
      </w:r>
      <w:r>
        <w:t>The scanner evaluates the headers returned by the domain's home page. Some applications set different headers on different routes (for example, an API endpoint may have different CSP rules than the public marketing site). The scanner does not crawl the entire site to collect headers from every page. Additionally, some security headers may be set by a reverse proxy or CDN rather than the application itself; the scanner reports what it observes regardless of where the header originates.</w:t>
      </w:r>
    </w:p>
    <w:p>
      <w:pPr>
        <w:keepNext/>
        <w:spacing w:before="200" w:after="60"/>
      </w:pPr>
      <w:r>
        <w:rPr>
          <w:b/>
          <w:color w:val="003366"/>
          <w:sz w:val="26"/>
        </w:rPr>
        <w:t>4.2.3  WAF / DDoS Protection</w:t>
      </w:r>
    </w:p>
    <w:p>
      <w:pPr>
        <w:widowControl/>
        <w:spacing w:after="80"/>
      </w:pPr>
      <w:r>
        <w:rPr>
          <w:b/>
        </w:rPr>
        <w:t xml:space="preserve">What it checks:  </w:t>
      </w:r>
      <w:r>
        <w:t>The scanner sends an HTTPS request to the domain and examines the response for signatures that indicate a Web Application Firewall (WAF) or DDoS protection service is in place. Detection is based on three categories of evidence: HTTP response headers unique to the WAF vendor, cookies set by the WAF, and characteristic content in the response body.</w:t>
      </w:r>
    </w:p>
    <w:p>
      <w:pPr>
        <w:widowControl/>
        <w:spacing w:after="80"/>
      </w:pPr>
      <w:r>
        <w:t>The scanner recognises the following WAF and protection services:</w:t>
      </w:r>
    </w:p>
    <w:p>
      <w:pPr>
        <w:pStyle w:val="ListParagraph"/>
        <w:widowControl/>
        <w:spacing w:after="40"/>
      </w:pPr>
      <w:r>
        <w:t>Cloudflare -- Detected via cf-ray header, cf-cache-status header, and related cookies.</w:t>
      </w:r>
    </w:p>
    <w:p>
      <w:pPr>
        <w:pStyle w:val="ListParagraph"/>
        <w:widowControl/>
        <w:spacing w:after="40"/>
      </w:pPr>
      <w:r>
        <w:t>AWS WAF / CloudFront -- Detected via x-amz-cf-id header, x-amzn-requestid header, and AWS load-balancer cookies.</w:t>
      </w:r>
    </w:p>
    <w:p>
      <w:pPr>
        <w:pStyle w:val="ListParagraph"/>
        <w:widowControl/>
        <w:spacing w:after="40"/>
      </w:pPr>
      <w:r>
        <w:t>Imperva / Incapsula -- Detected via x-iinfo header, x-cdn header, and incapsula session cookies.</w:t>
      </w:r>
    </w:p>
    <w:p>
      <w:pPr>
        <w:pStyle w:val="ListParagraph"/>
        <w:widowControl/>
        <w:spacing w:after="40"/>
      </w:pPr>
      <w:r>
        <w:t>Akamai -- Detected via x-akamai-transformed header and Akamai bot-management cookies.</w:t>
      </w:r>
    </w:p>
    <w:p>
      <w:pPr>
        <w:pStyle w:val="ListParagraph"/>
        <w:widowControl/>
        <w:spacing w:after="40"/>
      </w:pPr>
      <w:r>
        <w:t>Sucuri -- Detected via x-sucuri-id header, x-sucuri-cache header, and body content.</w:t>
      </w:r>
    </w:p>
    <w:p>
      <w:pPr>
        <w:pStyle w:val="ListParagraph"/>
        <w:widowControl/>
        <w:spacing w:after="40"/>
      </w:pPr>
      <w:r>
        <w:t>F5 BIG-IP ASM -- Detected via proprietary headers and F5 session cookies.</w:t>
      </w:r>
    </w:p>
    <w:p>
      <w:pPr>
        <w:pStyle w:val="ListParagraph"/>
        <w:widowControl/>
        <w:spacing w:after="40"/>
      </w:pPr>
      <w:r>
        <w:t>Barracuda -- Detected via barracuda session cookies.</w:t>
      </w:r>
    </w:p>
    <w:p>
      <w:pPr>
        <w:widowControl/>
        <w:spacing w:after="80"/>
      </w:pPr>
      <w:r>
        <w:rPr>
          <w:b/>
        </w:rPr>
        <w:t xml:space="preserve">How to read the result:  </w:t>
      </w:r>
      <w:r>
        <w:t>The report indicates whether a WAF was detected (Yes or No) and, if yes, names the specific product or products identified. In some cases, multiple layers of protection may be detected simultaneously (for example, Cloudflare CDN with an Imperva WAF behind it).</w:t>
      </w:r>
    </w:p>
    <w:p>
      <w:pPr>
        <w:widowControl/>
        <w:spacing w:after="80"/>
      </w:pPr>
      <w:r>
        <w:rPr>
          <w:b/>
        </w:rPr>
        <w:t xml:space="preserve">Why it matters for insurance:  </w:t>
      </w:r>
      <w:r>
        <w:t>A Web Application Firewall sits between the internet and the web application, filtering out malicious requests such as SQL injection attempts, cross-site scripting payloads, and volumetric DDoS traffic. Without a WAF, the application is directly exposed to every automated attack tool on the internet. WAF presence is a strong signal that the organisation takes perimeter security seriously.</w:t>
      </w:r>
    </w:p>
    <w:p>
      <w:pPr>
        <w:widowControl/>
        <w:spacing w:after="80"/>
      </w:pPr>
      <w:r>
        <w:t>From an insurance perspective, the absence of a WAF is considered a material risk factor. Modern WAF services are available as cloud-based solutions (such as Cloudflare, AWS WAF, and Sucuri) at relatively low cost, making their absence difficult to justify for any internet-facing application.</w:t>
      </w:r>
    </w:p>
    <w:p>
      <w:pPr>
        <w:widowControl/>
        <w:spacing w:after="80"/>
      </w:pPr>
      <w:r>
        <w:rPr>
          <w:b/>
        </w:rPr>
        <w:t xml:space="preserve">Common findings:  </w:t>
      </w:r>
      <w:r>
        <w:t>Many South African SME websites are hosted on shared hosting platforms that do not include WAF protection. Sites using Cloudflare as a DNS proxy will typically show WAF detected even if the paid WAF rules are not enabled, because Cloudflare's free tier includes basic DDoS mitigation. Self-hosted sites on dedicated servers or VPS instances frequently have no WAF in place.</w:t>
      </w:r>
    </w:p>
    <w:p>
      <w:pPr>
        <w:widowControl/>
        <w:spacing w:after="80"/>
      </w:pPr>
      <w:r>
        <w:rPr>
          <w:b/>
        </w:rPr>
        <w:t xml:space="preserve">Limitations:  </w:t>
      </w:r>
      <w:r>
        <w:t>WAF detection is based on observable response characteristics. A WAF that is configured to suppress all identifying headers and cookies may not be detected (a false negative). Conversely, a CDN that shares infrastructure with a WAF vendor may trigger a false positive. The scanner reports the presence of WAF indicators, not the quality or configuration of the WAF rules themselves. An organisation could have Cloudflare enabled with all WAF rules disabled, and the scanner would still report WAF detected.</w:t>
      </w:r>
    </w:p>
    <w:p>
      <w:pPr>
        <w:widowControl/>
        <w:spacing w:after="80"/>
      </w:pPr>
      <w:r>
        <w:rPr>
          <w:b/>
          <w:color w:val="003399"/>
        </w:rPr>
        <w:t xml:space="preserve">NOTE: </w:t>
      </w:r>
      <w:r>
        <w:t>The scanner does not perform active WAF bypass testing or attempt to trigger WAF rules. Detection is purely passive, based on response analysis. This is intentional: active testing could disrupt the target website and would raise ethical and legal concerns.</w:t>
      </w:r>
    </w:p>
    <w:p>
      <w:pPr>
        <w:keepNext/>
        <w:spacing w:before="200" w:after="60"/>
      </w:pPr>
      <w:r>
        <w:rPr>
          <w:b/>
          <w:color w:val="003366"/>
          <w:sz w:val="26"/>
        </w:rPr>
        <w:t>4.2.4  Website Security</w:t>
      </w:r>
    </w:p>
    <w:p>
      <w:pPr>
        <w:widowControl/>
        <w:spacing w:after="80"/>
      </w:pPr>
      <w:r>
        <w:rPr>
          <w:b/>
        </w:rPr>
        <w:t xml:space="preserve">What it checks:  </w:t>
      </w:r>
      <w:r>
        <w:t>This checker evaluates four aspects of general website hygiene: HTTPS enforcement, mixed content, content management system (CMS) detection, and cookie security flags. The result is a composite score from 0 to 100%.</w:t>
      </w:r>
    </w:p>
    <w:p>
      <w:pPr>
        <w:widowControl/>
        <w:spacing w:after="80"/>
      </w:pPr>
      <w:r>
        <w:t>The following elements are evaluated:</w:t>
      </w:r>
    </w:p>
    <w:p>
      <w:pPr>
        <w:widowControl/>
        <w:spacing w:after="80"/>
      </w:pPr>
      <w:r>
        <w:rPr>
          <w:b/>
        </w:rPr>
        <w:t xml:space="preserve">HTTPS enforcement (-40 points if missing):  </w:t>
      </w:r>
      <w:r>
        <w:t>The scanner connects to the domain via plain HTTP (port 80) and checks whether the server redirects to HTTPS. If it does not, any data transmitted by visitors (including login credentials and personal information) can be intercepted in transit. This is the most heavily weighted component because it is the most fundamental requirement for secure web communication.</w:t>
      </w:r>
    </w:p>
    <w:p>
      <w:pPr>
        <w:widowControl/>
        <w:spacing w:after="80"/>
      </w:pPr>
      <w:r>
        <w:rPr>
          <w:b/>
        </w:rPr>
        <w:t xml:space="preserve">Mixed content (-25 points if detected):  </w:t>
      </w:r>
      <w:r>
        <w:t>Even when the main page is served over HTTPS, it may load images, scripts, stylesheets, or iframes over plain HTTP. This is called mixed content. Browsers display warnings (or block the content entirely), and an attacker can tamper with the insecure resources. The scanner examines the page source for any script, image, link, or iframe tags that reference HTTP URLs.</w:t>
      </w:r>
    </w:p>
    <w:p>
      <w:pPr>
        <w:widowControl/>
        <w:spacing w:after="80"/>
      </w:pPr>
      <w:r>
        <w:rPr>
          <w:b/>
        </w:rPr>
        <w:t xml:space="preserve">Cookie security flags:  </w:t>
      </w:r>
      <w:r>
        <w:t>The scanner examines all cookies set by the domain and checks for two critical flags.</w:t>
      </w:r>
    </w:p>
    <w:p>
      <w:pPr>
        <w:pStyle w:val="ListParagraph"/>
        <w:widowControl/>
        <w:spacing w:after="40"/>
      </w:pPr>
      <w:r>
        <w:t>Secure flag (-20 points if missing on any cookie):  Ensures the cookie is only transmitted over HTTPS. Without it, a cookie (potentially containing a session token) can be intercepted on an insecure connection.</w:t>
      </w:r>
    </w:p>
    <w:p>
      <w:pPr>
        <w:pStyle w:val="ListParagraph"/>
        <w:widowControl/>
        <w:spacing w:after="40"/>
      </w:pPr>
      <w:r>
        <w:t>HttpOnly flag (-15 points if missing on any cookie):  Prevents JavaScript from accessing the cookie. Without it, a cross-site scripting attack can steal session cookies directly from the browser.</w:t>
      </w:r>
    </w:p>
    <w:p>
      <w:pPr>
        <w:widowControl/>
        <w:spacing w:after="80"/>
      </w:pPr>
      <w:r>
        <w:rPr>
          <w:b/>
        </w:rPr>
        <w:t xml:space="preserve">CMS detection (informational):  </w:t>
      </w:r>
      <w:r>
        <w:t>The scanner identifies the content management system in use by looking for known signatures in the page source and response headers. Currently detected platforms include WordPress, Joomla, Drupal, Wix, Shopify, Squarespace, and Magento. For WordPress sites, the scanner also attempts to identify the version number. CMS detection does not directly affect the score but is reported as context. Certain CMS platforms (particularly self-hosted WordPress with plugins) have a higher historical rate of vulnerabilities.</w:t>
      </w:r>
    </w:p>
    <w:p>
      <w:pPr>
        <w:widowControl/>
        <w:spacing w:after="80"/>
      </w:pPr>
      <w:r>
        <w:t>Score calculation:</w:t>
      </w:r>
    </w:p>
    <w:p>
      <w:pPr>
        <w:pStyle w:val="ListParagraph"/>
        <w:widowControl/>
        <w:spacing w:after="40"/>
      </w:pPr>
      <w:r>
        <w:t>Starting score: 100</w:t>
      </w:r>
    </w:p>
    <w:p>
      <w:pPr>
        <w:pStyle w:val="ListParagraph"/>
        <w:widowControl/>
        <w:spacing w:after="40"/>
      </w:pPr>
      <w:r>
        <w:t>HTTPS not enforced: -40 points</w:t>
      </w:r>
    </w:p>
    <w:p>
      <w:pPr>
        <w:pStyle w:val="ListParagraph"/>
        <w:widowControl/>
        <w:spacing w:after="40"/>
      </w:pPr>
      <w:r>
        <w:t>Mixed content detected: -25 points</w:t>
      </w:r>
    </w:p>
    <w:p>
      <w:pPr>
        <w:pStyle w:val="ListParagraph"/>
        <w:widowControl/>
        <w:spacing w:after="40"/>
      </w:pPr>
      <w:r>
        <w:t>Cookies missing Secure flag: -20 points</w:t>
      </w:r>
    </w:p>
    <w:p>
      <w:pPr>
        <w:pStyle w:val="ListParagraph"/>
        <w:widowControl/>
        <w:spacing w:after="40"/>
      </w:pPr>
      <w:r>
        <w:t>Cookies missing HttpOnly flag: -15 points</w:t>
      </w:r>
    </w:p>
    <w:p>
      <w:pPr>
        <w:pStyle w:val="ListParagraph"/>
        <w:widowControl/>
        <w:spacing w:after="40"/>
      </w:pPr>
      <w:r>
        <w:t>Final score: maximum of 0 and the result (score cannot go negative)</w:t>
      </w:r>
    </w:p>
    <w:p>
      <w:pPr>
        <w:widowControl/>
        <w:spacing w:after="80"/>
      </w:pPr>
      <w:r>
        <w:rPr>
          <w:b/>
        </w:rPr>
        <w:t xml:space="preserve">Why it matters for insurance:  </w:t>
      </w:r>
      <w:r>
        <w:t>Website security hygiene reflects the organisation's baseline security awareness. HTTPS enforcement, in particular, is considered table stakes in the modern web. Sites that fail to enforce HTTPS or serve mixed content are signalling a lack of attention to security fundamentals, which often correlates with deeper issues in application security, patching discipline, and incident-response readiness.</w:t>
      </w:r>
    </w:p>
    <w:p>
      <w:pPr>
        <w:widowControl/>
        <w:spacing w:after="80"/>
      </w:pPr>
      <w:r>
        <w:rPr>
          <w:b/>
        </w:rPr>
        <w:t xml:space="preserve">Common findings:  </w:t>
      </w:r>
      <w:r>
        <w:t>Most modern hosting providers and CMS platforms enforce HTTPS by default, so this check passes for the majority of sites scanned. Mixed content is the most common issue, often caused by legacy images or third-party widgets that still use HTTP URLs. Cookie security flags are frequently missing on smaller sites that use default CMS configurations without hardening. WordPress is by far the most commonly detected CMS among South African SME domains.</w:t>
      </w:r>
    </w:p>
    <w:p>
      <w:pPr>
        <w:widowControl/>
        <w:spacing w:after="80"/>
      </w:pPr>
      <w:r>
        <w:rPr>
          <w:b/>
        </w:rPr>
        <w:t xml:space="preserve">Limitations:  </w:t>
      </w:r>
      <w:r>
        <w:t>The scanner evaluates only the home page. Mixed content or insecure cookies on internal pages or authenticated sections will not be detected. Cookie analysis depends on which cookies are set during an unauthenticated visit; session cookies that are only issued after login are not evaluated. CMS version detection relies on publicly visible signatures, which can be hidden by security plugins or server configuration.</w:t>
      </w:r>
    </w:p>
    <w:p>
      <w:pPr>
        <w:keepNext/>
        <w:widowControl/>
        <w:spacing w:after="80"/>
      </w:pPr>
      <w:r>
        <w:rPr>
          <w:b/>
          <w:color w:val="008000"/>
        </w:rPr>
        <w:t xml:space="preserve">TIP: </w:t>
      </w:r>
      <w:r>
        <w:t>If the report shows cookies missing the Secure or HttpOnly flags, check your web server or CMS configuration. In WordPress, security plugins such as Wordfence or iThemes Security can enforce these flags with a single setting. For Apache or Nginx, the fix is typically a one-line configuration change.</w:t>
      </w:r>
    </w:p>
    <w:p>
      <w:r>
        <w:br w:type="page"/>
      </w:r>
    </w:p>
    <w:p>
      <w:pPr>
        <w:keepNext/>
        <w:spacing w:before="240" w:after="80"/>
      </w:pPr>
      <w:r>
        <w:rPr>
          <w:b/>
          <w:color w:val="003366"/>
          <w:sz w:val="32"/>
        </w:rPr>
        <w:t>4.3  Information Security</w:t>
      </w:r>
    </w:p>
    <w:p>
      <w:pPr>
        <w:keepNext/>
        <w:spacing w:before="200" w:after="60"/>
      </w:pPr>
      <w:r>
        <w:rPr>
          <w:b/>
          <w:color w:val="003366"/>
          <w:sz w:val="26"/>
        </w:rPr>
        <w:t>4.3.1  Information Disclosure</w:t>
      </w:r>
    </w:p>
    <w:p>
      <w:pPr>
        <w:widowControl/>
        <w:spacing w:after="80"/>
      </w:pPr>
      <w:r>
        <w:t>The Information Disclosure check probes your website for sensitive files and endpoints that should never be publicly accessible. Attackers routinely scan the internet for these files because a single exposed configuration file can hand over database credentials, API keys, or an entire copy of your source code. This check simulates exactly what an attacker would do and reports anything it finds.</w:t>
      </w:r>
    </w:p>
    <w:p>
      <w:pPr>
        <w:widowControl/>
        <w:spacing w:after="80"/>
      </w:pPr>
      <w:r>
        <w:rPr>
          <w:b/>
        </w:rPr>
        <w:t xml:space="preserve">How It Works: </w:t>
      </w:r>
      <w:r>
        <w:t>The scanner sends HTTP requests to a curated list of commonly exposed file paths on your web server. If the server responds with the file contents (rather than a 403 Forbidden or 404 Not Found), the finding is recorded and scored according to its severity.</w:t>
      </w:r>
    </w:p>
    <w:p>
      <w:pPr>
        <w:widowControl/>
        <w:spacing w:after="80"/>
      </w:pPr>
      <w:r>
        <w:rPr>
          <w:b/>
        </w:rPr>
        <w:t xml:space="preserve">Scoring: </w:t>
      </w:r>
      <w:r>
        <w:t>You start at 100% and lose points for every exposed file. A Critical finding deducts 20 points and a Medium finding deducts 10 points. If multiple files are exposed the penalties accumulate, so a site with several leaked files can quickly drop to 0%.</w:t>
      </w:r>
    </w:p>
    <w:p>
      <w:pPr>
        <w:widowControl/>
        <w:spacing w:after="80"/>
      </w:pPr>
      <w:r>
        <w:rPr>
          <w:b/>
        </w:rPr>
        <w:t>Files and Endpoints Probed</w:t>
      </w:r>
      <w:r/>
    </w:p>
    <w:p>
      <w:pPr>
        <w:widowControl/>
        <w:spacing w:after="80"/>
      </w:pPr>
      <w:r>
        <w:rPr>
          <w:b/>
        </w:rPr>
        <w:t xml:space="preserve">.env (Environment Variables) — Critical: </w:t>
      </w:r>
      <w:r>
        <w:t>This file typically stores database passwords, API keys, mail server credentials, and third-party service tokens. If exposed, an attacker gains immediate access to every connected system. This is one of the most damaging single-file exposures possible.</w:t>
      </w:r>
    </w:p>
    <w:p>
      <w:pPr>
        <w:widowControl/>
        <w:spacing w:after="80"/>
      </w:pPr>
      <w:r>
        <w:rPr>
          <w:b/>
        </w:rPr>
        <w:t xml:space="preserve">.git/HEAD and .git/config (Source Code Metadata) — Critical: </w:t>
      </w:r>
      <w:r>
        <w:t>These files are part of the Git version-control system. When the .git directory is accessible, an attacker can reconstruct your entire source code repository, including historical commits that may contain passwords, internal comments, and proprietary business logic.</w:t>
      </w:r>
    </w:p>
    <w:p>
      <w:pPr>
        <w:widowControl/>
        <w:spacing w:after="80"/>
      </w:pPr>
      <w:r>
        <w:rPr>
          <w:b/>
        </w:rPr>
        <w:t xml:space="preserve">wp-config.php.bak (WordPress Configuration Backup) — Critical: </w:t>
      </w:r>
      <w:r>
        <w:t>WordPress stores its database host, username, password, and secret keys in wp-config.php. Backup copies (with .bak, .old, or ~ suffixes) are served as plain text by most web servers, revealing every credential needed to take over the site and its database.</w:t>
      </w:r>
    </w:p>
    <w:p>
      <w:pPr>
        <w:widowControl/>
        <w:spacing w:after="80"/>
      </w:pPr>
      <w:r>
        <w:rPr>
          <w:b/>
        </w:rPr>
        <w:t xml:space="preserve">.htpasswd (Apache Password File) — Critical: </w:t>
      </w:r>
      <w:r>
        <w:t>Contains hashed usernames and passwords used by the Apache web server for basic authentication. The hashes can be cracked offline in minutes with modern tools, giving an attacker valid login credentials.</w:t>
      </w:r>
    </w:p>
    <w:p>
      <w:pPr>
        <w:widowControl/>
        <w:spacing w:after="80"/>
      </w:pPr>
      <w:r>
        <w:rPr>
          <w:b/>
        </w:rPr>
        <w:t xml:space="preserve">backup.sql / dump.sql / db.sql (Database Dumps) — Critical: </w:t>
      </w:r>
      <w:r>
        <w:t>SQL dump files contain a complete copy of your database, including customer records, email addresses, hashed (or sometimes plaintext) passwords, financial data, and any other information stored in your application. A single exposed dump file can constitute a full data breach.</w:t>
      </w:r>
    </w:p>
    <w:p>
      <w:pPr>
        <w:widowControl/>
        <w:spacing w:after="80"/>
      </w:pPr>
      <w:r>
        <w:rPr>
          <w:b/>
        </w:rPr>
        <w:t xml:space="preserve">phpinfo.php (PHP Information Page) — Medium: </w:t>
      </w:r>
      <w:r>
        <w:t>Displays the full PHP configuration of the server, including file paths, loaded modules, environment variables, and sometimes database connection strings. Attackers use this information to tailor exploits to your exact server setup.</w:t>
      </w:r>
    </w:p>
    <w:p>
      <w:pPr>
        <w:widowControl/>
        <w:spacing w:after="80"/>
      </w:pPr>
      <w:r>
        <w:rPr>
          <w:b/>
        </w:rPr>
        <w:t xml:space="preserve">server-status (Apache Status Page) — Medium: </w:t>
      </w:r>
      <w:r>
        <w:t>Exposes real-time information about every active connection to the web server, including client IP addresses, requested URLs, and virtual host names. This is useful reconnaissance for planning further attacks.</w:t>
      </w:r>
    </w:p>
    <w:p>
      <w:pPr>
        <w:widowControl/>
        <w:spacing w:after="80"/>
      </w:pPr>
      <w:r>
        <w:rPr>
          <w:b/>
        </w:rPr>
        <w:t xml:space="preserve">.DS_Store (macOS Directory Metadata) — Medium: </w:t>
      </w:r>
      <w:r>
        <w:t>Created automatically by macOS Finder, this file lists every file and folder in the directory. Attackers parse it to discover hidden files, admin panels, or backup directories that are not linked from the website.</w:t>
      </w:r>
    </w:p>
    <w:p>
      <w:pPr>
        <w:widowControl/>
        <w:spacing w:after="80"/>
      </w:pPr>
      <w:r>
        <w:rPr>
          <w:b/>
        </w:rPr>
        <w:t xml:space="preserve">web.config (IIS Configuration) — Medium: </w:t>
      </w:r>
      <w:r>
        <w:t>The configuration file for Microsoft IIS web servers. May contain connection strings, authentication settings, URL rewrite rules, and custom error pages that reveal internal architecture.</w:t>
      </w:r>
    </w:p>
    <w:p>
      <w:pPr>
        <w:widowControl/>
        <w:spacing w:after="80"/>
      </w:pPr>
      <w:r>
        <w:rPr>
          <w:b/>
        </w:rPr>
        <w:t xml:space="preserve">Debug Endpoints — Medium: </w:t>
      </w:r>
      <w:r>
        <w:t>Development and debugging endpoints (such as /debug, /trace, or framework-specific diagnostic pages) expose internal application state, stack traces, and configuration details that are invaluable to an attacker.</w:t>
      </w:r>
    </w:p>
    <w:p>
      <w:pPr>
        <w:widowControl/>
        <w:spacing w:after="80"/>
      </w:pPr>
      <w:r>
        <w:rPr>
          <w:b/>
        </w:rPr>
        <w:t xml:space="preserve">Spring Boot Actuator Endpoints — Critical: </w:t>
      </w:r>
      <w:r>
        <w:t>Java Spring Boot applications expose management endpoints (such as /actuator/env, /actuator/configprops, and /actuator/heapdump) that can reveal environment variables, configuration properties, and even a full memory dump of the running application. Unsecured actuator endpoints are a well-known path to remote code execution.</w:t>
      </w:r>
    </w:p>
    <w:p>
      <w:pPr>
        <w:keepNext/>
        <w:widowControl/>
        <w:spacing w:after="80"/>
      </w:pPr>
      <w:r>
        <w:rPr>
          <w:b/>
          <w:color w:val="008000"/>
        </w:rPr>
        <w:t xml:space="preserve">TIP: </w:t>
      </w:r>
      <w:r>
        <w:t>Ensure your web server is configured to deny access to hidden files (those starting with a dot), backup files, and any development or debugging endpoints. A simple rule in your web server or CDN configuration can block all of these at once.</w:t>
      </w:r>
    </w:p>
    <w:p>
      <w:pPr>
        <w:widowControl/>
        <w:spacing w:after="80"/>
      </w:pPr>
      <w:r>
        <w:rPr>
          <w:b/>
          <w:color w:val="B40000"/>
        </w:rPr>
        <w:t xml:space="preserve">WARNING: </w:t>
      </w:r>
      <w:r>
        <w:t>A single exposed .env or database dump file can result in a complete compromise of your application, your database, and every connected third-party service. Treat any finding in this section as urgent.</w:t>
      </w:r>
    </w:p>
    <w:p>
      <w:pPr>
        <w:widowControl/>
        <w:spacing w:after="80"/>
      </w:pPr>
      <w:r>
        <w:rPr>
          <w:b/>
        </w:rPr>
        <w:t xml:space="preserve">Insurance Relevance: </w:t>
      </w:r>
      <w:r>
        <w:t>Underwriters view exposed credentials and database files as evidence of poor security hygiene. Findings here directly increase the assessed likelihood of a data breach, which is the most expensive category of cyber insurance claim.</w:t>
      </w:r>
    </w:p>
    <w:p>
      <w:pPr>
        <w:widowControl/>
        <w:spacing w:after="80"/>
      </w:pPr>
      <w:r>
        <w:rPr>
          <w:b/>
        </w:rPr>
        <w:t xml:space="preserve">Common Findings: </w:t>
      </w:r>
      <w:r>
        <w:t>The most frequently discovered files are .env (especially on Laravel and Node.js applications), .git directories on sites deployed via Git, and phpinfo.php left behind after initial server setup.</w:t>
      </w:r>
    </w:p>
    <w:p>
      <w:pPr>
        <w:widowControl/>
        <w:spacing w:after="80"/>
      </w:pPr>
      <w:r>
        <w:rPr>
          <w:b/>
        </w:rPr>
        <w:t xml:space="preserve">Limitations: </w:t>
      </w:r>
      <w:r>
        <w:t>The scanner checks a curated list of well-known paths. Custom file names or non-standard backup locations are not tested. The check also relies on HTTP response codes; a server that returns 200 OK for all paths (a soft 404) may produce false positives that are filtered where possible but cannot be entirely eliminated.</w:t>
      </w:r>
    </w:p>
    <w:p>
      <w:pPr>
        <w:keepNext/>
        <w:spacing w:before="240" w:after="80"/>
      </w:pPr>
      <w:r>
        <w:rPr>
          <w:b/>
          <w:color w:val="003366"/>
          <w:sz w:val="32"/>
        </w:rPr>
        <w:t>4.4  Email Security</w:t>
      </w:r>
    </w:p>
    <w:p>
      <w:pPr>
        <w:widowControl/>
        <w:spacing w:after="80"/>
      </w:pPr>
      <w:r>
        <w:t>Email remains the primary attack vector for phishing, business email compromise (BEC), and malware delivery. The scanner evaluates two layers of email security: the foundational authentication records that every domain should have, and the advanced hardening mechanisms that represent current best practice.</w:t>
      </w:r>
    </w:p>
    <w:p>
      <w:pPr>
        <w:keepNext/>
        <w:spacing w:before="200" w:after="60"/>
      </w:pPr>
      <w:r>
        <w:rPr>
          <w:b/>
          <w:color w:val="003366"/>
          <w:sz w:val="26"/>
        </w:rPr>
        <w:t>4.4.1  Email Authentication (SPF / DKIM / DMARC)</w:t>
      </w:r>
    </w:p>
    <w:p>
      <w:pPr>
        <w:widowControl/>
        <w:spacing w:after="80"/>
      </w:pPr>
      <w:r>
        <w:rPr>
          <w:b/>
        </w:rPr>
        <w:t xml:space="preserve">Score: </w:t>
      </w:r>
      <w:r>
        <w:t>0 to 10. Points are awarded for each correctly configured record and deducted for missing or misconfigured entries.</w:t>
      </w:r>
    </w:p>
    <w:p>
      <w:pPr>
        <w:widowControl/>
        <w:spacing w:after="80"/>
      </w:pPr>
      <w:r>
        <w:t>These three DNS-based records work together to prove that an email genuinely came from your organisation and has not been tampered with in transit. Without them, anyone on the internet can send emails that appear to come from your domain, making phishing and BEC attacks trivial.</w:t>
      </w:r>
    </w:p>
    <w:p>
      <w:pPr>
        <w:widowControl/>
        <w:spacing w:after="80"/>
      </w:pPr>
      <w:r>
        <w:rPr>
          <w:b/>
        </w:rPr>
        <w:t xml:space="preserve">SPF (Sender Policy Framework): </w:t>
      </w:r>
      <w:r>
        <w:t>An SPF record is a DNS TXT entry that lists the mail servers authorised to send email on behalf of your domain. When a receiving mail server gets a message claiming to be from your domain, it checks the SPF record to verify that the sending server is on the approved list. If the server is not listed, the message can be rejected or flagged as suspicious.</w:t>
      </w:r>
    </w:p>
    <w:p>
      <w:pPr>
        <w:pStyle w:val="ListParagraph"/>
        <w:widowControl/>
        <w:spacing w:after="40"/>
      </w:pPr>
      <w:r>
        <w:t>Prevents attackers from sending email that appears to come from your domain.</w:t>
      </w:r>
    </w:p>
    <w:p>
      <w:pPr>
        <w:pStyle w:val="ListParagraph"/>
        <w:widowControl/>
        <w:spacing w:after="40"/>
      </w:pPr>
      <w:r>
        <w:t>Should end with -all (hard fail) rather than ~all (soft fail) for strongest protection.</w:t>
      </w:r>
    </w:p>
    <w:p>
      <w:pPr>
        <w:pStyle w:val="ListParagraph"/>
        <w:widowControl/>
        <w:spacing w:after="40"/>
      </w:pPr>
      <w:r>
        <w:t>Overly broad SPF records (such as including large cloud provider IP ranges) weaken protection.</w:t>
      </w:r>
    </w:p>
    <w:p>
      <w:pPr>
        <w:widowControl/>
        <w:spacing w:after="80"/>
      </w:pPr>
      <w:r>
        <w:rPr>
          <w:b/>
        </w:rPr>
        <w:t xml:space="preserve">DKIM (DomainKeys Identified Mail): </w:t>
      </w:r>
      <w:r>
        <w:t>DKIM adds a cryptographic signature to every outgoing email. The sending server signs the message with a private key, and the receiving server verifies the signature using a public key published in your DNS. This proves that the email has not been altered in transit and genuinely originated from your mail infrastructure.</w:t>
      </w:r>
    </w:p>
    <w:p>
      <w:pPr>
        <w:pStyle w:val="ListParagraph"/>
        <w:widowControl/>
        <w:spacing w:after="40"/>
      </w:pPr>
      <w:r>
        <w:t>The scanner checks up to 40 common DKIM selector names to locate your published key.</w:t>
      </w:r>
    </w:p>
    <w:p>
      <w:pPr>
        <w:pStyle w:val="ListParagraph"/>
        <w:widowControl/>
        <w:spacing w:after="40"/>
      </w:pPr>
      <w:r>
        <w:t>A valid DKIM signature significantly improves email deliverability.</w:t>
      </w:r>
    </w:p>
    <w:p>
      <w:pPr>
        <w:pStyle w:val="ListParagraph"/>
        <w:widowControl/>
        <w:spacing w:after="40"/>
      </w:pPr>
      <w:r>
        <w:t>Without DKIM, recipients have no way to verify that your emails are authentic.</w:t>
      </w:r>
    </w:p>
    <w:p>
      <w:pPr>
        <w:widowControl/>
        <w:spacing w:after="80"/>
      </w:pPr>
      <w:r>
        <w:rPr>
          <w:b/>
        </w:rPr>
        <w:t xml:space="preserve">DMARC (Domain-based Message Authentication, Reporting and Conformance): </w:t>
      </w:r>
      <w:r>
        <w:t>DMARC ties SPF and DKIM together with a policy that tells receiving servers what to do when authentication fails. The three policy levels are:</w:t>
      </w:r>
    </w:p>
    <w:p>
      <w:pPr>
        <w:pStyle w:val="ListParagraph"/>
        <w:widowControl/>
        <w:spacing w:after="40"/>
      </w:pPr>
      <w:r>
        <w:t>none — Monitor only. Failing messages are still delivered. This is a starting point for collecting data but provides no protection.</w:t>
      </w:r>
    </w:p>
    <w:p>
      <w:pPr>
        <w:pStyle w:val="ListParagraph"/>
        <w:widowControl/>
        <w:spacing w:after="40"/>
      </w:pPr>
      <w:r>
        <w:t>quarantine — Failing messages are sent to the recipient’s spam or junk folder. Provides moderate protection.</w:t>
      </w:r>
    </w:p>
    <w:p>
      <w:pPr>
        <w:pStyle w:val="ListParagraph"/>
        <w:widowControl/>
        <w:spacing w:after="40"/>
      </w:pPr>
      <w:r>
        <w:t>reject — Failing messages are blocked entirely. This is the strongest setting and the recommended target for all organisations.</w:t>
      </w:r>
    </w:p>
    <w:p>
      <w:pPr>
        <w:widowControl/>
        <w:spacing w:after="80"/>
      </w:pPr>
      <w:r>
        <w:t>DMARC also enables aggregate and forensic reporting, giving you visibility into who is sending email using your domain and whether legitimate messages are passing authentication.</w:t>
      </w:r>
    </w:p>
    <w:p>
      <w:pPr>
        <w:widowControl/>
        <w:spacing w:after="80"/>
      </w:pPr>
      <w:r>
        <w:rPr>
          <w:b/>
        </w:rPr>
        <w:t xml:space="preserve">MX Records: </w:t>
      </w:r>
      <w:r>
        <w:t>The scanner verifies that your domain has valid MX (Mail Exchanger) records pointing to operational mail servers. Missing or misconfigured MX records mean your domain cannot receive email, which also affects DMARC report delivery.</w:t>
      </w:r>
    </w:p>
    <w:p>
      <w:pPr>
        <w:keepNext/>
        <w:widowControl/>
        <w:spacing w:after="80"/>
      </w:pPr>
      <w:r>
        <w:rPr>
          <w:b/>
          <w:color w:val="008000"/>
        </w:rPr>
        <w:t xml:space="preserve">TIP: </w:t>
      </w:r>
      <w:r>
        <w:t>If you do not send email from your domain (for example, a domain used only for a website), you should still publish SPF, DKIM, and DMARC records with restrictive policies. This prevents attackers from abusing your domain for phishing.</w:t>
      </w:r>
    </w:p>
    <w:p>
      <w:pPr>
        <w:widowControl/>
        <w:spacing w:after="80"/>
      </w:pPr>
      <w:r>
        <w:rPr>
          <w:b/>
          <w:color w:val="B40000"/>
        </w:rPr>
        <w:t xml:space="preserve">WARNING: </w:t>
      </w:r>
      <w:r>
        <w:t>A domain with no DMARC record or a DMARC policy of 'none' offers no protection against email spoofing. Attackers actively scan for these domains and use them in targeted phishing campaigns. Business email compromise attacks that exploit missing DMARC are among the most financially damaging cyber incidents.</w:t>
      </w:r>
    </w:p>
    <w:p>
      <w:pPr>
        <w:widowControl/>
        <w:spacing w:after="80"/>
      </w:pPr>
      <w:r>
        <w:rPr>
          <w:b/>
        </w:rPr>
        <w:t xml:space="preserve">Insurance Relevance: </w:t>
      </w:r>
      <w:r>
        <w:t>Email authentication is one of the first things cyber insurers check. A missing or weak DMARC policy is a strong predictor of phishing susceptibility. Many insurers now require at least a DMARC quarantine policy as a condition of coverage, and some offer premium discounts for domains with a reject policy.</w:t>
      </w:r>
    </w:p>
    <w:p>
      <w:pPr>
        <w:widowControl/>
        <w:spacing w:after="80"/>
      </w:pPr>
      <w:r>
        <w:rPr>
          <w:b/>
        </w:rPr>
        <w:t xml:space="preserve">Common Findings: </w:t>
      </w:r>
      <w:r>
        <w:t>The most frequent issue is a DMARC policy set to 'none' (monitoring only), often because the organisation started the deployment process but never progressed to enforcement. Missing DKIM records are also common, particularly when the email provider was configured without completing the DNS verification step.</w:t>
      </w:r>
    </w:p>
    <w:p>
      <w:pPr>
        <w:widowControl/>
        <w:spacing w:after="80"/>
      </w:pPr>
      <w:r>
        <w:rPr>
          <w:b/>
        </w:rPr>
        <w:t xml:space="preserve">Limitations: </w:t>
      </w:r>
      <w:r>
        <w:t>The scanner checks 40 well-known DKIM selector names. If your provider uses a unique or custom selector not in this list, the DKIM check may report the key as missing even though it exists. SPF evaluation does not perform recursive include lookups beyond the first level, so deeply nested SPF configurations may not be fully validated.</w:t>
      </w:r>
    </w:p>
    <w:p>
      <w:pPr>
        <w:keepNext/>
        <w:spacing w:before="200" w:after="60"/>
      </w:pPr>
      <w:r>
        <w:rPr>
          <w:b/>
          <w:color w:val="003366"/>
          <w:sz w:val="26"/>
        </w:rPr>
        <w:t>4.4.2  Advanced Email Hardening (MTA-STS / DANE / BIMI / TLS-RPT)</w:t>
      </w:r>
    </w:p>
    <w:p>
      <w:pPr>
        <w:widowControl/>
        <w:spacing w:after="80"/>
      </w:pPr>
      <w:r>
        <w:rPr>
          <w:b/>
        </w:rPr>
        <w:t xml:space="preserve">Score: </w:t>
      </w:r>
      <w:r>
        <w:t>0 to 10. Points are awarded for each advanced mechanism that is correctly deployed.</w:t>
      </w:r>
    </w:p>
    <w:p>
      <w:pPr>
        <w:widowControl/>
        <w:spacing w:after="80"/>
      </w:pPr>
      <w:r>
        <w:t>While SPF, DKIM, and DMARC address who sent an email and whether it was tampered with, they do not protect the email while it travels between mail servers. The advanced mechanisms in this section represent the next generation of email security, ensuring that messages are encrypted in transit, that the receiving server’s identity is verified, and that your brand is visually authenticated in the recipient’s inbox.</w:t>
      </w:r>
    </w:p>
    <w:p>
      <w:pPr>
        <w:widowControl/>
        <w:spacing w:after="80"/>
      </w:pPr>
      <w:r>
        <w:rPr>
          <w:b/>
        </w:rPr>
        <w:t xml:space="preserve">MTA-STS (Mail Transfer Agent Strict Transport Security): </w:t>
      </w:r>
      <w:r>
        <w:t>MTA-STS forces all inbound email to your domain to be delivered over an encrypted TLS connection. Without MTA-STS, a man-in-the-middle attacker can intercept the connection between mail servers and downgrade it to unencrypted plaintext, reading or modifying every email in transit. MTA-STS is published as a combination of a DNS TXT record and a policy file hosted on your web server.</w:t>
      </w:r>
    </w:p>
    <w:p>
      <w:pPr>
        <w:pStyle w:val="ListParagraph"/>
        <w:widowControl/>
        <w:spacing w:after="40"/>
      </w:pPr>
      <w:r>
        <w:t>Prevents TLS downgrade attacks on email delivery.</w:t>
      </w:r>
    </w:p>
    <w:p>
      <w:pPr>
        <w:pStyle w:val="ListParagraph"/>
        <w:widowControl/>
        <w:spacing w:after="40"/>
      </w:pPr>
      <w:r>
        <w:t>Requires a valid HTTPS certificate on the policy endpoint.</w:t>
      </w:r>
    </w:p>
    <w:p>
      <w:pPr>
        <w:pStyle w:val="ListParagraph"/>
        <w:widowControl/>
        <w:spacing w:after="40"/>
      </w:pPr>
      <w:r>
        <w:t>Relatively simple to deploy and supported by all major email providers.</w:t>
      </w:r>
    </w:p>
    <w:p>
      <w:pPr>
        <w:widowControl/>
        <w:spacing w:after="80"/>
      </w:pPr>
      <w:r>
        <w:rPr>
          <w:b/>
        </w:rPr>
        <w:t xml:space="preserve">BIMI (Brand Indicators for Message Identification): </w:t>
      </w:r>
      <w:r>
        <w:t>BIMI allows your organisation’s verified logo to appear next to your emails in the recipient’s inbox. It requires a DMARC policy of quarantine or reject, a published BIMI DNS record, and (for full support) a Verified Mark Certificate (VMC) from a certificate authority. BIMI increases brand trust and makes spoofed emails visually obvious because they will not display your logo.</w:t>
      </w:r>
    </w:p>
    <w:p>
      <w:pPr>
        <w:pStyle w:val="ListParagraph"/>
        <w:widowControl/>
        <w:spacing w:after="40"/>
      </w:pPr>
      <w:r>
        <w:t>Serves as a visual trust indicator for email recipients.</w:t>
      </w:r>
    </w:p>
    <w:p>
      <w:pPr>
        <w:pStyle w:val="ListParagraph"/>
        <w:widowControl/>
        <w:spacing w:after="40"/>
      </w:pPr>
      <w:r>
        <w:t>Requires DMARC enforcement as a prerequisite.</w:t>
      </w:r>
    </w:p>
    <w:p>
      <w:pPr>
        <w:pStyle w:val="ListParagraph"/>
        <w:widowControl/>
        <w:spacing w:after="40"/>
      </w:pPr>
      <w:r>
        <w:t>Supported by Gmail, Apple Mail, Yahoo, and an expanding list of providers.</w:t>
      </w:r>
    </w:p>
    <w:p>
      <w:pPr>
        <w:widowControl/>
        <w:spacing w:after="80"/>
      </w:pPr>
      <w:r>
        <w:rPr>
          <w:b/>
        </w:rPr>
        <w:t xml:space="preserve">DANE / TLSA (DNS-Based Authentication of Named Entities): </w:t>
      </w:r>
      <w:r>
        <w:t>DANE uses DNSSEC-signed TLSA records to pin the TLS certificate of your mail server directly in DNS. This means that a sending server can verify your mail server’s certificate without relying on the public certificate authority system. DANE provides the strongest possible assurance that the connection is going to the genuine mail server and not an impostor.</w:t>
      </w:r>
    </w:p>
    <w:p>
      <w:pPr>
        <w:pStyle w:val="ListParagraph"/>
        <w:widowControl/>
        <w:spacing w:after="40"/>
      </w:pPr>
      <w:r>
        <w:t>Requires DNSSEC to be enabled on your domain (a prerequisite that many domains lack).</w:t>
      </w:r>
    </w:p>
    <w:p>
      <w:pPr>
        <w:pStyle w:val="ListParagraph"/>
        <w:widowControl/>
        <w:spacing w:after="40"/>
      </w:pPr>
      <w:r>
        <w:t>Provides certificate pinning that is independent of certificate authorities.</w:t>
      </w:r>
    </w:p>
    <w:p>
      <w:pPr>
        <w:pStyle w:val="ListParagraph"/>
        <w:widowControl/>
        <w:spacing w:after="40"/>
      </w:pPr>
      <w:r>
        <w:t>Most effective when both the sending and receiving domains support DANE.</w:t>
      </w:r>
    </w:p>
    <w:p>
      <w:pPr>
        <w:widowControl/>
        <w:spacing w:after="80"/>
      </w:pPr>
      <w:r>
        <w:rPr>
          <w:b/>
        </w:rPr>
        <w:t xml:space="preserve">TLS-RPT (SMTP TLS Reporting — RFC 8460): </w:t>
      </w:r>
      <w:r>
        <w:t>TLS-RPT is a DNS TXT record that tells sending mail servers where to deliver reports about TLS connection failures when delivering email to your domain. If a sending server cannot establish an encrypted connection (for example, because of a certificate mismatch or an MTA-STS policy failure), TLS-RPT ensures you receive a structured report about the failure. This is essential for monitoring and troubleshooting your MTA-STS and DANE deployments.</w:t>
      </w:r>
    </w:p>
    <w:p>
      <w:pPr>
        <w:pStyle w:val="ListParagraph"/>
        <w:widowControl/>
        <w:spacing w:after="40"/>
      </w:pPr>
      <w:r>
        <w:t>Published as a DNS TXT record at _smtp._tls.yourdomain.com.</w:t>
      </w:r>
    </w:p>
    <w:p>
      <w:pPr>
        <w:pStyle w:val="ListParagraph"/>
        <w:widowControl/>
        <w:spacing w:after="40"/>
      </w:pPr>
      <w:r>
        <w:t>Reports are sent as JSON to the email address or HTTPS endpoint specified in the record.</w:t>
      </w:r>
    </w:p>
    <w:p>
      <w:pPr>
        <w:pStyle w:val="ListParagraph"/>
        <w:widowControl/>
        <w:spacing w:after="40"/>
      </w:pPr>
      <w:r>
        <w:t>Without TLS-RPT, MTA-STS and DANE failures are silent and invisible to the domain owner.</w:t>
      </w:r>
    </w:p>
    <w:p>
      <w:pPr>
        <w:pStyle w:val="ListParagraph"/>
        <w:widowControl/>
        <w:spacing w:after="40"/>
      </w:pPr>
      <w:r>
        <w:t>Added in Phase 3 of the scanner to provide complete email transport security visibility.</w:t>
      </w:r>
    </w:p>
    <w:p>
      <w:pPr>
        <w:widowControl/>
        <w:spacing w:after="80"/>
      </w:pPr>
      <w:r>
        <w:rPr>
          <w:b/>
          <w:color w:val="003399"/>
        </w:rPr>
        <w:t xml:space="preserve">NOTE: </w:t>
      </w:r>
      <w:r>
        <w:t>TLS-RPT is the email equivalent of DMARC reporting but for transport encryption. Just as DMARC reports tell you who is spoofing your domain, TLS-RPT reports tell you when encrypted email delivery is failing.</w:t>
      </w:r>
    </w:p>
    <w:p>
      <w:pPr>
        <w:keepNext/>
        <w:widowControl/>
        <w:spacing w:after="80"/>
      </w:pPr>
      <w:r>
        <w:rPr>
          <w:b/>
          <w:color w:val="008000"/>
        </w:rPr>
        <w:t xml:space="preserve">TIP: </w:t>
      </w:r>
      <w:r>
        <w:t>Deploy MTA-STS and TLS-RPT together. MTA-STS enforces encryption, and TLS-RPT tells you when enforcement causes delivery failures. Start MTA-STS in 'testing' mode to receive reports before switching to 'enforce' mode.</w:t>
      </w:r>
    </w:p>
    <w:p>
      <w:pPr>
        <w:widowControl/>
        <w:spacing w:after="80"/>
      </w:pPr>
      <w:r>
        <w:rPr>
          <w:b/>
          <w:color w:val="B40000"/>
        </w:rPr>
        <w:t xml:space="preserve">WARNING: </w:t>
      </w:r>
      <w:r>
        <w:t>Without MTA-STS or DANE, email between your domain and other mail servers may be transmitted in plaintext, even if both servers support TLS. This is because the standard SMTP protocol uses opportunistic encryption that is trivially downgraded by a network attacker.</w:t>
      </w:r>
    </w:p>
    <w:p>
      <w:pPr>
        <w:widowControl/>
        <w:spacing w:after="80"/>
      </w:pPr>
      <w:r>
        <w:rPr>
          <w:b/>
        </w:rPr>
        <w:t xml:space="preserve">Insurance Relevance: </w:t>
      </w:r>
      <w:r>
        <w:t>Advanced email hardening demonstrates mature security posture. While not yet universally required by insurers, the presence of MTA-STS, BIMI, and TLS-RPT signals that an organisation takes proactive steps beyond minimum compliance. As email-borne attacks continue to dominate claim volumes, these controls are increasingly recognised in risk assessments.</w:t>
      </w:r>
    </w:p>
    <w:p>
      <w:pPr>
        <w:widowControl/>
        <w:spacing w:after="80"/>
      </w:pPr>
      <w:r>
        <w:rPr>
          <w:b/>
        </w:rPr>
        <w:t xml:space="preserve">Common Findings: </w:t>
      </w:r>
      <w:r>
        <w:t>Most organisations have not yet deployed any of these advanced mechanisms. MTA-STS is the most commonly adopted because major email providers (including Google and Microsoft) support it natively. DANE adoption remains low because it requires DNSSEC. TLS-RPT and BIMI are the least deployed, often because organisations are not yet aware they exist.</w:t>
      </w:r>
    </w:p>
    <w:p>
      <w:pPr>
        <w:widowControl/>
        <w:spacing w:after="80"/>
      </w:pPr>
      <w:r>
        <w:rPr>
          <w:b/>
        </w:rPr>
        <w:t xml:space="preserve">Limitations: </w:t>
      </w:r>
      <w:r>
        <w:t>The scanner verifies the presence and basic syntax of each DNS record but does not perform a full end-to-end delivery test. MTA-STS policy file validation checks that the file is reachable and correctly formatted but does not test TLS negotiation with every sending server. BIMI logo validation does not verify VMC certificate chains.</w:t>
      </w:r>
    </w:p>
    <w:p>
      <w:pPr>
        <w:keepNext/>
        <w:spacing w:before="240" w:after="80"/>
      </w:pPr>
      <w:r>
        <w:rPr>
          <w:b/>
          <w:color w:val="003366"/>
          <w:sz w:val="32"/>
        </w:rPr>
        <w:t>4.5  Network &amp; Infrastructure</w:t>
      </w:r>
    </w:p>
    <w:p>
      <w:pPr>
        <w:widowControl/>
        <w:spacing w:after="80"/>
      </w:pPr>
      <w:r>
        <w:t>This section examines the network perimeter of your organisation: which ports and services are visible from the internet, what information your servers reveal about themselves, and whether critical infrastructure components are properly secured. Every open port is a potential entry point, and the scanner evaluates each one from the perspective of an attacker or an insurance underwriter.</w:t>
      </w:r>
    </w:p>
    <w:p>
      <w:pPr>
        <w:keepNext/>
        <w:spacing w:before="200" w:after="60"/>
      </w:pPr>
      <w:r>
        <w:rPr>
          <w:b/>
          <w:color w:val="003366"/>
          <w:sz w:val="26"/>
        </w:rPr>
        <w:t>4.5.1  DNS &amp; Open Ports</w:t>
      </w:r>
    </w:p>
    <w:p>
      <w:pPr>
        <w:widowControl/>
        <w:spacing w:after="80"/>
      </w:pPr>
      <w:r>
        <w:t>The open port scan is one of the most important checks in the entire scanner. It enumerates the network services visible on your public IP addresses and classifies each one by risk level. Attackers begin almost every intrusion by scanning for open ports, and so does the scanner.</w:t>
      </w:r>
    </w:p>
    <w:p>
      <w:pPr>
        <w:widowControl/>
        <w:spacing w:after="80"/>
      </w:pPr>
      <w:r>
        <w:rPr>
          <w:b/>
        </w:rPr>
        <w:t xml:space="preserve">How It Works: </w:t>
      </w:r>
      <w:r>
        <w:t>The scanner performs a TCP port scan against your domain’s resolved IP addresses, checking for commonly targeted services. Each discovered open port is classified into one of three risk tiers.</w:t>
      </w:r>
    </w:p>
    <w:p>
      <w:pPr>
        <w:widowControl/>
        <w:spacing w:after="80"/>
      </w:pPr>
      <w:r>
        <w:rPr>
          <w:b/>
        </w:rPr>
        <w:t>Risk Classification</w:t>
      </w:r>
      <w:r/>
    </w:p>
    <w:p>
      <w:pPr>
        <w:widowControl/>
        <w:spacing w:after="80"/>
      </w:pPr>
      <w:r>
        <w:rPr>
          <w:b/>
        </w:rPr>
        <w:t xml:space="preserve">High Risk: </w:t>
      </w:r>
      <w:r>
        <w:t>FTP (port 21), Telnet (port 23), MySQL (port 3306), RDP (port 3389), and VNC (ports 5900-5901). These services are actively targeted by automated attack tools and botnets. FTP and Telnet transmit credentials in plaintext. RDP is the number-one initial access vector for ransomware. MySQL and VNC exposed to the internet are routinely brute-forced.</w:t>
      </w:r>
    </w:p>
    <w:p>
      <w:pPr>
        <w:widowControl/>
        <w:spacing w:after="80"/>
      </w:pPr>
      <w:r>
        <w:rPr>
          <w:b/>
        </w:rPr>
        <w:t xml:space="preserve">Medium Risk: </w:t>
      </w:r>
      <w:r>
        <w:t>SSH (port 22), SMTP (port 25), POP3 (port 110), and IMAP (port 143). These services have legitimate reasons to be internet-facing but require careful configuration. SSH should use key-based authentication and non-standard ports where possible. SMTP, POP3, and IMAP should enforce encryption (STARTTLS or implicit TLS).</w:t>
      </w:r>
    </w:p>
    <w:p>
      <w:pPr>
        <w:widowControl/>
        <w:spacing w:after="80"/>
      </w:pPr>
      <w:r>
        <w:rPr>
          <w:b/>
        </w:rPr>
        <w:t xml:space="preserve">Informational: </w:t>
      </w:r>
      <w:r>
        <w:t>HTTP (port 80) and HTTPS (port 443). These are expected to be open on any web server and are reported for completeness. HTTP should redirect to HTTPS.</w:t>
      </w:r>
    </w:p>
    <w:p>
      <w:pPr>
        <w:widowControl/>
        <w:spacing w:after="80"/>
      </w:pPr>
      <w:r>
        <w:rPr>
          <w:b/>
        </w:rPr>
        <w:t xml:space="preserve">Per-Port Exploit Intelligence: </w:t>
      </w:r>
      <w:r>
        <w:t>For each open port, the scanner provides contextual threat intelligence including the Common Vulnerability Scoring System (CVSS) base score for known vulnerabilities associated with the service, the Exploit Prediction Scoring System (EPSS) probability that the vulnerability will be exploited in the wild, notable CVE references for the service type, and specific insurance risk context explaining why the finding matters to underwriters.</w:t>
      </w:r>
    </w:p>
    <w:p>
      <w:pPr>
        <w:widowControl/>
        <w:spacing w:after="80"/>
      </w:pPr>
      <w:r>
        <w:rPr>
          <w:b/>
        </w:rPr>
        <w:t xml:space="preserve">Server Header Fingerprinting: </w:t>
      </w:r>
      <w:r>
        <w:t>The scanner inspects HTTP response headers to identify the web server software and version (for example, Apache 2.4.51 or nginx 1.22). Detailed version information helps attackers identify servers running outdated or vulnerable software. Best practice is to suppress or generalise server version headers.</w:t>
      </w:r>
    </w:p>
    <w:p>
      <w:pPr>
        <w:widowControl/>
        <w:spacing w:after="80"/>
      </w:pPr>
      <w:r>
        <w:rPr>
          <w:b/>
        </w:rPr>
        <w:t xml:space="preserve">Reverse DNS: </w:t>
      </w:r>
      <w:r>
        <w:t>A reverse DNS (PTR) lookup is performed on each IP address to identify the hostname associated with the server. This helps map infrastructure and can reveal hosting providers, internal naming conventions, or unexpected third-party services.</w:t>
      </w:r>
    </w:p>
    <w:p>
      <w:pPr>
        <w:widowControl/>
        <w:spacing w:after="80"/>
      </w:pPr>
      <w:r>
        <w:rPr>
          <w:b/>
        </w:rPr>
        <w:t xml:space="preserve">Zone Transfer (AXFR) — Phase 3: </w:t>
      </w:r>
      <w:r>
        <w:t>The scanner tests each of your domain’s authoritative name servers for DNS zone transfer vulnerability. A zone transfer (AXFR) is a mechanism designed to replicate DNS records between authorised name servers. If a name server allows zone transfers to any requester, an attacker can download the complete DNS zone file, revealing every subdomain, mail server, internal hostname, and service record for the domain.</w:t>
      </w:r>
    </w:p>
    <w:p>
      <w:pPr>
        <w:pStyle w:val="ListParagraph"/>
        <w:widowControl/>
        <w:spacing w:after="40"/>
      </w:pPr>
      <w:r>
        <w:t>If AXFR succeeds on any name server, the finding is rated CRITICAL.</w:t>
      </w:r>
    </w:p>
    <w:p>
      <w:pPr>
        <w:pStyle w:val="ListParagraph"/>
        <w:widowControl/>
        <w:spacing w:after="40"/>
      </w:pPr>
      <w:r>
        <w:t>A successful zone transfer discloses the entire DNS infrastructure, including internal subdomains that may host development, staging, or administrative systems not intended to be public.</w:t>
      </w:r>
    </w:p>
    <w:p>
      <w:pPr>
        <w:pStyle w:val="ListParagraph"/>
        <w:widowControl/>
        <w:spacing w:after="40"/>
      </w:pPr>
      <w:r>
        <w:t>Each authoritative name server is tested individually because zone transfer restrictions are configured per server.</w:t>
      </w:r>
    </w:p>
    <w:p>
      <w:pPr>
        <w:widowControl/>
        <w:spacing w:after="80"/>
      </w:pPr>
      <w:r>
        <w:rPr>
          <w:b/>
          <w:color w:val="B40000"/>
        </w:rPr>
        <w:t xml:space="preserve">WARNING: </w:t>
      </w:r>
      <w:r>
        <w:t>An open zone transfer is one of the most serious DNS misconfigurations possible. It gives an attacker a complete map of your infrastructure in a single query. Every authoritative name server should restrict zone transfers to explicitly authorised IP addresses.</w:t>
      </w:r>
    </w:p>
    <w:p>
      <w:pPr>
        <w:keepNext/>
        <w:widowControl/>
        <w:spacing w:after="80"/>
      </w:pPr>
      <w:r>
        <w:rPr>
          <w:b/>
          <w:color w:val="008000"/>
        </w:rPr>
        <w:t xml:space="preserve">TIP: </w:t>
      </w:r>
      <w:r>
        <w:t>Ask your DNS provider or hosting company to confirm that zone transfers are restricted. Most managed DNS providers (Cloudflare, AWS Route 53, Azure DNS) disable zone transfers by default, but self-hosted DNS servers frequently have them enabled.</w:t>
      </w:r>
    </w:p>
    <w:p>
      <w:pPr>
        <w:widowControl/>
        <w:spacing w:after="80"/>
      </w:pPr>
      <w:r>
        <w:rPr>
          <w:b/>
        </w:rPr>
        <w:t xml:space="preserve">Insurance Relevance: </w:t>
      </w:r>
      <w:r>
        <w:t>Open ports are a primary factor in cyber risk scoring. Exposed RDP is specifically flagged by most insurers as an automatic risk elevation because of its dominant role in ransomware attacks. Services like Telnet and FTP indicate legacy infrastructure that is difficult to patch and maintain. The presence of exploit intelligence (CVSS and EPSS data) allows underwriters to quantify the specific risk each open port introduces.</w:t>
      </w:r>
    </w:p>
    <w:p>
      <w:pPr>
        <w:widowControl/>
        <w:spacing w:after="80"/>
      </w:pPr>
      <w:r>
        <w:rPr>
          <w:b/>
        </w:rPr>
        <w:t xml:space="preserve">Common Findings: </w:t>
      </w:r>
      <w:r>
        <w:t>SSH open to the internet is the most frequent medium-risk finding. Exposed RDP is alarmingly common on Windows-based infrastructure, particularly for organisations that enabled remote access during the pandemic and never secured it afterwards. Verbose server headers that reveal exact software versions are found on the majority of scanned domains.</w:t>
      </w:r>
    </w:p>
    <w:p>
      <w:pPr>
        <w:widowControl/>
        <w:spacing w:after="80"/>
      </w:pPr>
      <w:r>
        <w:rPr>
          <w:b/>
        </w:rPr>
        <w:t xml:space="preserve">Limitations: </w:t>
      </w:r>
      <w:r>
        <w:t>The port scan covers commonly targeted ports rather than the full 65,535 TCP port range. Services running on non-standard ports may not be detected. UDP services are not scanned. The scan reflects the state at the moment of testing; firewall rules or cloud security group changes made after the scan will not be reflected until the next scan.</w:t>
      </w:r>
    </w:p>
    <w:p>
      <w:pPr>
        <w:keepNext/>
        <w:spacing w:before="200" w:after="60"/>
      </w:pPr>
      <w:r>
        <w:rPr>
          <w:b/>
          <w:color w:val="003366"/>
          <w:sz w:val="26"/>
        </w:rPr>
        <w:t>4.5.2  Database &amp; Service Exposure</w:t>
      </w:r>
    </w:p>
    <w:p>
      <w:pPr>
        <w:widowControl/>
        <w:spacing w:after="80"/>
      </w:pPr>
      <w:r>
        <w:t>Databases and data stores should never be directly accessible from the internet. This check specifically targets high-risk database and service ports that, if exposed, provide an attacker with a direct path to your organisation’s data.</w:t>
      </w:r>
    </w:p>
    <w:p>
      <w:pPr>
        <w:widowControl/>
        <w:spacing w:after="80"/>
      </w:pPr>
      <w:r>
        <w:rPr>
          <w:b/>
        </w:rPr>
        <w:t xml:space="preserve">How It Works: </w:t>
      </w:r>
      <w:r>
        <w:t>The scanner probes for the following database and service ports on your public IP addresses:</w:t>
      </w:r>
    </w:p>
    <w:p>
      <w:pPr>
        <w:pStyle w:val="ListParagraph"/>
        <w:widowControl/>
        <w:spacing w:after="40"/>
      </w:pPr>
      <w:r>
        <w:t>MongoDB (port 27017) — NoSQL databases are frequently deployed without authentication. Tens of thousands of exposed MongoDB instances have been ransomed after attackers deleted the data and demanded payment for its return.</w:t>
      </w:r>
    </w:p>
    <w:p>
      <w:pPr>
        <w:pStyle w:val="ListParagraph"/>
        <w:widowControl/>
        <w:spacing w:after="40"/>
      </w:pPr>
      <w:r>
        <w:t>Redis (port 6379) — An in-memory data store often used for caching and session management. Default Redis installations have no authentication, and an exposed instance can be exploited for remote code execution via crafted commands.</w:t>
      </w:r>
    </w:p>
    <w:p>
      <w:pPr>
        <w:pStyle w:val="ListParagraph"/>
        <w:widowControl/>
        <w:spacing w:after="40"/>
      </w:pPr>
      <w:r>
        <w:t>Elasticsearch (port 9200) — A search and analytics engine that often contains indexed copies of sensitive business data. Exposed Elasticsearch clusters are a leading cause of large-scale data leaks.</w:t>
      </w:r>
    </w:p>
    <w:p>
      <w:pPr>
        <w:pStyle w:val="ListParagraph"/>
        <w:widowControl/>
        <w:spacing w:after="40"/>
      </w:pPr>
      <w:r>
        <w:t>PostgreSQL (port 5432) — A relational database that, if internet-facing, is subject to brute-force password attacks and exploitation of known vulnerabilities.</w:t>
      </w:r>
    </w:p>
    <w:p>
      <w:pPr>
        <w:pStyle w:val="ListParagraph"/>
        <w:widowControl/>
        <w:spacing w:after="40"/>
      </w:pPr>
      <w:r>
        <w:t>Microsoft SQL Server (port 1433) — MSSQL exposed to the internet is a common target for credential stuffing and exploitation. The xp_cmdshell stored procedure can be abused for direct operating system command execution.</w:t>
      </w:r>
    </w:p>
    <w:p>
      <w:pPr>
        <w:pStyle w:val="ListParagraph"/>
        <w:widowControl/>
        <w:spacing w:after="40"/>
      </w:pPr>
      <w:r>
        <w:t>CouchDB (port 5984) — A document-oriented database that exposes an HTTP API. Default configurations may allow unauthenticated read and write access to all databases.</w:t>
      </w:r>
    </w:p>
    <w:p>
      <w:pPr>
        <w:pStyle w:val="ListParagraph"/>
        <w:widowControl/>
        <w:spacing w:after="40"/>
      </w:pPr>
      <w:r>
        <w:t>MySQL (port 3306) — One of the most widely used databases. Exposed MySQL servers are continuously targeted by automated brute-force tools attempting common usernames and passwords.</w:t>
      </w:r>
    </w:p>
    <w:p>
      <w:pPr>
        <w:widowControl/>
        <w:spacing w:after="80"/>
      </w:pPr>
      <w:r>
        <w:t>For each exposed database or service, the scanner provides exploit intelligence including relevant CVE references, CVSS severity scores, EPSS exploitation probability, and insurance risk context.</w:t>
      </w:r>
    </w:p>
    <w:p>
      <w:pPr>
        <w:widowControl/>
        <w:spacing w:after="80"/>
      </w:pPr>
      <w:r>
        <w:rPr>
          <w:b/>
          <w:color w:val="B40000"/>
        </w:rPr>
        <w:t xml:space="preserve">WARNING: </w:t>
      </w:r>
      <w:r>
        <w:t>Any database port accessible from the internet is a critical finding. Databases should be placed behind a firewall and accessed only through your application server or via a VPN. There is no legitimate reason for a production database to accept connections from arbitrary internet addresses.</w:t>
      </w:r>
    </w:p>
    <w:p>
      <w:pPr>
        <w:widowControl/>
        <w:spacing w:after="80"/>
      </w:pPr>
      <w:r>
        <w:rPr>
          <w:b/>
        </w:rPr>
        <w:t xml:space="preserve">Insurance Relevance: </w:t>
      </w:r>
      <w:r>
        <w:t>An exposed database is one of the strongest indicators of imminent breach risk. Underwriters treat this finding as a potential dealbreaker because it represents a direct, unauthenticated (or weakly authenticated) path to data that is almost certainly subject to privacy regulations such as POPIA, GDPR, or PCI-DSS.</w:t>
      </w:r>
    </w:p>
    <w:p>
      <w:pPr>
        <w:widowControl/>
        <w:spacing w:after="80"/>
      </w:pPr>
      <w:r>
        <w:rPr>
          <w:b/>
        </w:rPr>
        <w:t xml:space="preserve">Common Findings: </w:t>
      </w:r>
      <w:r>
        <w:t>MongoDB and Redis are the most frequently exposed services, largely because their default configurations do not require authentication. Elasticsearch clusters are also commonly found, particularly in organisations running log aggregation or search platforms.</w:t>
      </w:r>
    </w:p>
    <w:p>
      <w:pPr>
        <w:widowControl/>
        <w:spacing w:after="80"/>
      </w:pPr>
      <w:r>
        <w:rPr>
          <w:b/>
        </w:rPr>
        <w:t xml:space="preserve">Limitations: </w:t>
      </w:r>
      <w:r>
        <w:t>The scanner detects that the port is open and responding but does not attempt to authenticate or extract data. An open port does not necessarily mean the service is unauthenticated, but the mere fact that it is internet-accessible is itself a significant risk.</w:t>
      </w:r>
    </w:p>
    <w:p>
      <w:pPr>
        <w:keepNext/>
        <w:spacing w:before="200" w:after="60"/>
      </w:pPr>
      <w:r>
        <w:rPr>
          <w:b/>
          <w:color w:val="003366"/>
          <w:sz w:val="26"/>
        </w:rPr>
        <w:t>4.5.3  Cloud &amp; CDN Infrastructure</w:t>
      </w:r>
    </w:p>
    <w:p>
      <w:pPr>
        <w:widowControl/>
        <w:spacing w:after="80"/>
      </w:pPr>
      <w:r>
        <w:t>A Content Delivery Network (CDN) sits between your web server and the internet, caching content closer to users and absorbing malicious traffic before it reaches your infrastructure. The scanner identifies whether your domain uses a CDN and which provider is in place.</w:t>
      </w:r>
    </w:p>
    <w:p>
      <w:pPr>
        <w:widowControl/>
        <w:spacing w:after="80"/>
      </w:pPr>
      <w:r>
        <w:rPr>
          <w:b/>
        </w:rPr>
        <w:t xml:space="preserve">How It Works: </w:t>
      </w:r>
      <w:r>
        <w:t>The scanner examines HTTP response headers, DNS CNAME chains, and IP address ranges to detect known CDN providers including Cloudflare, Amazon Web Services (CloudFront), Akamai, Fastly, Azure CDN, Google Cloud CDN, and others. It also identifies the general hosting type (cloud, shared hosting, dedicated server, or VPS) and the hosting provider.</w:t>
      </w:r>
    </w:p>
    <w:p>
      <w:pPr>
        <w:widowControl/>
        <w:spacing w:after="80"/>
      </w:pPr>
      <w:r>
        <w:rPr>
          <w:b/>
        </w:rPr>
        <w:t>What a CDN Provides:</w:t>
      </w:r>
      <w:r/>
    </w:p>
    <w:p>
      <w:pPr>
        <w:pStyle w:val="ListParagraph"/>
        <w:widowControl/>
        <w:spacing w:after="40"/>
      </w:pPr>
      <w:r>
        <w:t>DDoS Mitigation — The CDN absorbs volumetric attacks that would overwhelm your origin server, maintaining availability during an attack.</w:t>
      </w:r>
    </w:p>
    <w:p>
      <w:pPr>
        <w:pStyle w:val="ListParagraph"/>
        <w:widowControl/>
        <w:spacing w:after="40"/>
      </w:pPr>
      <w:r>
        <w:t>Origin Masking — The CDN hides your actual server IP address, making it significantly harder for attackers to target your infrastructure directly.</w:t>
      </w:r>
    </w:p>
    <w:p>
      <w:pPr>
        <w:pStyle w:val="ListParagraph"/>
        <w:widowControl/>
        <w:spacing w:after="40"/>
      </w:pPr>
      <w:r>
        <w:t>Web Application Firewall (WAF) — Many CDN providers include a WAF that filters common web attacks (SQL injection, cross-site scripting) before they reach your application.</w:t>
      </w:r>
    </w:p>
    <w:p>
      <w:pPr>
        <w:pStyle w:val="ListParagraph"/>
        <w:widowControl/>
        <w:spacing w:after="40"/>
      </w:pPr>
      <w:r>
        <w:t>Performance — Content is served from edge locations geographically close to the user, reducing latency and improving page load times.</w:t>
      </w:r>
    </w:p>
    <w:p>
      <w:pPr>
        <w:widowControl/>
        <w:spacing w:after="80"/>
      </w:pPr>
      <w:r>
        <w:rPr>
          <w:b/>
          <w:color w:val="B40000"/>
        </w:rPr>
        <w:t xml:space="preserve">WARNING: </w:t>
      </w:r>
      <w:r>
        <w:t>If no CDN is detected, your origin server is directly exposed to the internet. This means all traffic, including malicious traffic, hits your server directly. You are fully responsible for absorbing DDoS attacks, filtering web application attacks, and maintaining availability without the buffer that a CDN provides.</w:t>
      </w:r>
    </w:p>
    <w:p>
      <w:pPr>
        <w:widowControl/>
        <w:spacing w:after="80"/>
      </w:pPr>
      <w:r>
        <w:rPr>
          <w:b/>
        </w:rPr>
        <w:t xml:space="preserve">Insurance Relevance: </w:t>
      </w:r>
      <w:r>
        <w:t>CDN usage is a positive signal for underwriters. It demonstrates investment in infrastructure resilience and reduces the likelihood of successful DDoS attacks, which can trigger business interruption claims. The specific CDN provider may also indicate the availability of enterprise-grade WAF and bot management capabilities.</w:t>
      </w:r>
    </w:p>
    <w:p>
      <w:pPr>
        <w:widowControl/>
        <w:spacing w:after="80"/>
      </w:pPr>
      <w:r>
        <w:rPr>
          <w:b/>
        </w:rPr>
        <w:t xml:space="preserve">Common Findings: </w:t>
      </w:r>
      <w:r>
        <w:t>Cloudflare is the most frequently detected CDN, followed by AWS CloudFront. Organisations using shared hosting plans often have no CDN in place. Some domains use a CDN for their main website but expose subdomains (such as API endpoints or mail servers) directly.</w:t>
      </w:r>
    </w:p>
    <w:p>
      <w:pPr>
        <w:widowControl/>
        <w:spacing w:after="80"/>
      </w:pPr>
      <w:r>
        <w:rPr>
          <w:b/>
        </w:rPr>
        <w:t xml:space="preserve">Limitations: </w:t>
      </w:r>
      <w:r>
        <w:t>CDN detection is based on observable indicators. Some CDN configurations (particularly enterprise setups with custom CNAME records) may not be detected. The scanner identifies that a CDN is present but does not evaluate its configuration, WAF rules, or DDoS mitigation capacity.</w:t>
      </w:r>
    </w:p>
    <w:p>
      <w:pPr>
        <w:keepNext/>
        <w:spacing w:before="200" w:after="60"/>
      </w:pPr>
      <w:r>
        <w:rPr>
          <w:b/>
          <w:color w:val="003366"/>
          <w:sz w:val="26"/>
        </w:rPr>
        <w:t>4.5.4  VPN &amp; Remote Access</w:t>
      </w:r>
    </w:p>
    <w:p>
      <w:pPr>
        <w:widowControl/>
        <w:spacing w:after="80"/>
      </w:pPr>
      <w:r>
        <w:t>Remote access is essential for modern organisations, but how it is implemented has a direct impact on security posture. The scanner checks for exposed remote access services and identifies the method your organisation uses to enable remote work.</w:t>
      </w:r>
    </w:p>
    <w:p>
      <w:pPr>
        <w:widowControl/>
        <w:spacing w:after="80"/>
      </w:pPr>
      <w:r>
        <w:rPr>
          <w:b/>
        </w:rPr>
        <w:t xml:space="preserve">RDP Exposure (Port 3389): </w:t>
      </w:r>
      <w:r>
        <w:t>The Remote Desktop Protocol is the single most exploited initial access vector for ransomware. The scanner checks whether port 3389 is open on your public IP addresses. An exposed RDP service is rated as a critical finding because automated attack tools continuously scan the entire internet for open RDP, and compromised RDP credentials are bought and sold on criminal marketplaces.</w:t>
      </w:r>
    </w:p>
    <w:p>
      <w:pPr>
        <w:pStyle w:val="ListParagraph"/>
        <w:widowControl/>
        <w:spacing w:after="40"/>
      </w:pPr>
      <w:r>
        <w:t>RDP exposed directly to the internet is a critical finding regardless of whether it is patched.</w:t>
      </w:r>
    </w:p>
    <w:p>
      <w:pPr>
        <w:pStyle w:val="ListParagraph"/>
        <w:widowControl/>
        <w:spacing w:after="40"/>
      </w:pPr>
      <w:r>
        <w:t>Even with strong passwords, RDP is vulnerable to brute-force attacks, credential stuffing, and zero-day exploits.</w:t>
      </w:r>
    </w:p>
    <w:p>
      <w:pPr>
        <w:pStyle w:val="ListParagraph"/>
        <w:widowControl/>
        <w:spacing w:after="40"/>
      </w:pPr>
      <w:r>
        <w:t>RDP should always be accessed through a VPN, a jump server, or a zero-trust access solution.</w:t>
      </w:r>
    </w:p>
    <w:p>
      <w:pPr>
        <w:widowControl/>
        <w:spacing w:after="80"/>
      </w:pPr>
      <w:r>
        <w:rPr>
          <w:b/>
        </w:rPr>
        <w:t xml:space="preserve">VPN Gateway Detection: </w:t>
      </w:r>
      <w:r>
        <w:t>The scanner identifies known VPN and remote access gateways by checking for characteristic ports, HTTP response headers, and TLS certificate attributes associated with common VPN solutions. Detected platforms include Citrix Gateway (NetScaler), Fortinet FortiGate, Pulse Secure (now Ivanti Connect Secure), Palo Alto GlobalProtect, Cisco AnyConnect, SonicWall, and WireGuard.</w:t>
      </w:r>
    </w:p>
    <w:p>
      <w:pPr>
        <w:widowControl/>
        <w:spacing w:after="80"/>
      </w:pPr>
      <w:r>
        <w:t>The presence of a recognised VPN gateway is generally a positive finding, as it indicates that remote access is channelled through a controlled and authenticated entry point. However, VPN gateways themselves are high-value targets and must be kept rigorously updated. Recent critical vulnerabilities in Citrix, Fortinet, Pulse Secure, and Palo Alto products have been widely exploited in ransomware campaigns.</w:t>
      </w:r>
    </w:p>
    <w:p>
      <w:pPr>
        <w:widowControl/>
        <w:spacing w:after="80"/>
      </w:pPr>
      <w:r>
        <w:rPr>
          <w:b/>
          <w:color w:val="003399"/>
        </w:rPr>
        <w:t xml:space="preserve">NOTE: </w:t>
      </w:r>
      <w:r>
        <w:t>If no VPN gateway is detected and RDP is not exposed, the scanner reports that the remote access method is unknown. This does not necessarily mean there is a problem. Your organisation may use a cloud-based zero-trust solution, a software-defined perimeter, or another method that does not leave a detectable network signature.</w:t>
      </w:r>
    </w:p>
    <w:p>
      <w:pPr>
        <w:widowControl/>
        <w:spacing w:after="80"/>
      </w:pPr>
      <w:r>
        <w:rPr>
          <w:b/>
          <w:color w:val="B40000"/>
        </w:rPr>
        <w:t xml:space="preserve">WARNING: </w:t>
      </w:r>
      <w:r>
        <w:t>Exposed RDP with no VPN is the highest-risk remote access configuration. This is the primary entry point for the majority of ransomware incidents. If the scanner detects this combination, it should be treated as an emergency requiring immediate remediation.</w:t>
      </w:r>
    </w:p>
    <w:p>
      <w:pPr>
        <w:keepNext/>
        <w:widowControl/>
        <w:spacing w:after="80"/>
      </w:pPr>
      <w:r>
        <w:rPr>
          <w:b/>
          <w:color w:val="008000"/>
        </w:rPr>
        <w:t xml:space="preserve">TIP: </w:t>
      </w:r>
      <w:r>
        <w:t>If your organisation uses RDP, place it behind a VPN or a remote desktop gateway with multi-factor authentication. Network Level Authentication (NLA) should be enabled as a minimum, but NLA alone is not sufficient to make RDP safe for direct internet exposure.</w:t>
      </w:r>
    </w:p>
    <w:p>
      <w:pPr>
        <w:widowControl/>
        <w:spacing w:after="80"/>
      </w:pPr>
      <w:r>
        <w:rPr>
          <w:b/>
        </w:rPr>
        <w:t xml:space="preserve">Insurance Relevance: </w:t>
      </w:r>
      <w:r>
        <w:t>RDP exposure is one of the most heavily weighted factors in cyber insurance risk assessments. Many insurers will decline coverage or impose exclusions if RDP is exposed to the internet. The presence of a recognised, current-generation VPN gateway is a positive factor, but underwriters may also ask about patch cadence for the VPN appliance itself, given the frequency of critical vulnerabilities in these products.</w:t>
      </w:r>
    </w:p>
    <w:p>
      <w:pPr>
        <w:widowControl/>
        <w:spacing w:after="80"/>
      </w:pPr>
      <w:r>
        <w:rPr>
          <w:b/>
        </w:rPr>
        <w:t xml:space="preserve">Common Findings: </w:t>
      </w:r>
      <w:r>
        <w:t>Exposed RDP remains disturbingly common, particularly among small and medium businesses that set up remote access during the pandemic using simple port forwarding. Fortinet and Citrix gateways are the most frequently detected VPN solutions. A significant number of scanned domains show no detectable VPN or remote access footprint.</w:t>
      </w:r>
    </w:p>
    <w:p>
      <w:pPr>
        <w:widowControl/>
        <w:spacing w:after="80"/>
      </w:pPr>
      <w:r>
        <w:rPr>
          <w:b/>
        </w:rPr>
        <w:t xml:space="preserve">Limitations: </w:t>
      </w:r>
      <w:r>
        <w:t>VPN detection relies on network signatures that may not be present if the VPN terminates on a different IP address or subdomain than the one being scanned. Cloud-based VPN solutions (such as Zscaler or Cloudflare Access) operate at the DNS or application layer and may not be detectable via port scanning. The scanner does not test VPN authentication strength or check for known vulnerabilities in the detected VPN product.</w:t>
      </w:r>
    </w:p>
    <w:p>
      <w:r>
        <w:br w:type="page"/>
      </w:r>
    </w:p>
    <w:p>
      <w:pPr>
        <w:keepNext/>
        <w:spacing w:before="240" w:after="80"/>
      </w:pPr>
      <w:r>
        <w:rPr>
          <w:b/>
          <w:color w:val="003366"/>
          <w:sz w:val="32"/>
        </w:rPr>
        <w:t>4.6  Exposure &amp; Reputation</w:t>
      </w:r>
    </w:p>
    <w:p>
      <w:pPr>
        <w:widowControl/>
        <w:spacing w:after="80"/>
      </w:pPr>
      <w:r>
        <w:t>The Exposure &amp; Reputation category is the largest in the scanner, comprising eleven distinct sub-checkers that together paint a comprehensive picture of a domain's threat-intelligence footprint. While the preceding categories examine how a domain is configured, these checks ask a different question: what does the outside world already know about this domain, and how has it been affected by breaches, malware, blacklisting, and criminal activity?</w:t>
      </w:r>
    </w:p>
    <w:p>
      <w:pPr>
        <w:widowControl/>
        <w:spacing w:after="80"/>
      </w:pPr>
      <w:r>
        <w:t>For insurance underwriting this category is arguably the most impactful. A company may have perfect TLS and DNS configurations, but if employee credentials are circulating on dark-web markets or the domain's IP is blacklisted for spam, the residual risk is material. Exposure findings often correlate directly with the likelihood of a future claim — particularly credential-stuffing attacks, business-email compromise, and ransomware intrusions.</w:t>
      </w:r>
    </w:p>
    <w:p>
      <w:pPr>
        <w:widowControl/>
        <w:spacing w:after="80"/>
      </w:pPr>
      <w:r>
        <w:t>Several checkers in this category rely on paid or credit-based APIs (Dehashed, IntelX). These are toggleable in the scanner UI and will degrade gracefully when disabled, showing a 'no_api_key' status rather than failing the scan.</w:t>
      </w:r>
    </w:p>
    <w:p>
      <w:pPr>
        <w:keepNext/>
        <w:spacing w:before="200" w:after="60"/>
      </w:pPr>
      <w:r>
        <w:rPr>
          <w:b/>
          <w:color w:val="003366"/>
          <w:sz w:val="26"/>
        </w:rPr>
        <w:t>4.6.1  Credential Exposure (HIBP)</w:t>
      </w:r>
    </w:p>
    <w:p>
      <w:pPr>
        <w:widowControl/>
        <w:spacing w:after="80"/>
      </w:pPr>
      <w:r>
        <w:rPr>
          <w:b/>
        </w:rPr>
        <w:t xml:space="preserve">What it checks: </w:t>
      </w:r>
      <w:r>
        <w:t>The scanner queries the Have I Been Pwned (HIBP) breaches-by-domain API to determine whether email addresses belonging to the target domain appear in any of the 700+ known data breaches catalogued by HIBP. The API returns the number of breaches, the date of the most recent breach, and the data classes exposed in each incident (passwords, email addresses, names, phone numbers, physical addresses, dates of birth, IP addresses, and more).</w:t>
      </w:r>
    </w:p>
    <w:p>
      <w:pPr>
        <w:widowControl/>
        <w:spacing w:after="80"/>
      </w:pPr>
      <w:r>
        <w:rPr>
          <w:b/>
        </w:rPr>
        <w:t xml:space="preserve">How it works: </w:t>
      </w:r>
      <w:r>
        <w:t>A single GET request is sent to the HIBP v3 API endpoint with the target domain as a query parameter. When an HIBP API key is configured the scanner uses authenticated access for higher rate limits; without a key the free tier is used. The response contains an array of breach objects, each including the breach name, date, record count (PwnCount), and the list of DataClasses that were exposed. The scanner aggregates these into a deduplicated set of data classes and identifies the most recent breach date.</w:t>
      </w:r>
    </w:p>
    <w:p>
      <w:pPr>
        <w:widowControl/>
        <w:spacing w:after="80"/>
      </w:pPr>
      <w:r>
        <w:rPr>
          <w:b/>
        </w:rPr>
        <w:t xml:space="preserve">Why it matters for insurance: </w:t>
      </w:r>
      <w:r>
        <w:t>Credential exposure is one of the strongest predictors of future compromise. If employee passwords leaked in a breach and were never rotated, attackers can use credential-stuffing tools to gain access to corporate systems. Breaches that include passwords, security questions, or phone numbers are especially dangerous because they enable multi-vector attacks — password reuse, SIM-swapping, and social-engineering of help desks.</w:t>
      </w:r>
    </w:p>
    <w:p>
      <w:pPr>
        <w:widowControl/>
        <w:spacing w:after="80"/>
      </w:pPr>
      <w:r>
        <w:rPr>
          <w:b/>
        </w:rPr>
        <w:t xml:space="preserve">Scoring: </w:t>
      </w:r>
      <w:r>
        <w:t>The score starts at 100 and is reduced based on the number of breaches found. A single breach results in a moderate penalty; multiple breaches with password exposure result in steeper deductions. The recency of breaches is also considered — a breach from 2024 is weighted more heavily than one from 2015 because credentials are more likely to still be valid.</w:t>
      </w:r>
    </w:p>
    <w:p>
      <w:pPr>
        <w:widowControl/>
        <w:spacing w:after="80"/>
      </w:pPr>
      <w:r>
        <w:t>Common findings include:</w:t>
      </w:r>
    </w:p>
    <w:p>
      <w:pPr>
        <w:pStyle w:val="ListParagraph"/>
        <w:widowControl/>
        <w:spacing w:after="40"/>
      </w:pPr>
      <w:r>
        <w:t>Domain found in 3 known data breach(es) — this is a typical result for established businesses. The breach names, dates, and exposed data types are listed in the report.</w:t>
      </w:r>
    </w:p>
    <w:p>
      <w:pPr>
        <w:pStyle w:val="ListParagraph"/>
        <w:widowControl/>
        <w:spacing w:after="40"/>
      </w:pPr>
      <w:r>
        <w:t>Data classes exposed: Email addresses, Passwords, Names, Phone numbers — the more sensitive data classes present, the higher the risk to the organisation.</w:t>
      </w:r>
    </w:p>
    <w:p>
      <w:pPr>
        <w:pStyle w:val="ListParagraph"/>
        <w:widowControl/>
        <w:spacing w:after="40"/>
      </w:pPr>
      <w:r>
        <w:t>Most recent breach: 2024-01-15 — recent breaches are flagged prominently because the exposed credentials may still be in active use.</w:t>
      </w:r>
    </w:p>
    <w:p>
      <w:pPr>
        <w:widowControl/>
        <w:spacing w:after="80"/>
      </w:pPr>
      <w:r>
        <w:rPr>
          <w:b/>
          <w:color w:val="003399"/>
        </w:rPr>
        <w:t xml:space="preserve">NOTE: </w:t>
      </w:r>
      <w:r>
        <w:t>HIBP only reports breaches where the domain's email addresses appeared. It does not indicate whether specific individuals' passwords were exposed — that detail comes from the Dehashed checker (Section 4.6.6). HIBP provides the breadth view; Dehashed provides the depth.</w:t>
      </w:r>
    </w:p>
    <w:p>
      <w:pPr>
        <w:keepNext/>
        <w:widowControl/>
        <w:spacing w:after="80"/>
      </w:pPr>
      <w:r>
        <w:rPr>
          <w:b/>
          <w:color w:val="008000"/>
        </w:rPr>
        <w:t xml:space="preserve">TIP: </w:t>
      </w:r>
      <w:r>
        <w:t>If HIBP reports breaches with 'Passwords' in the data classes, treat this as a HIGH-priority finding. Recommend the client force password resets for all accounts and enable MFA organisation-wide.</w:t>
      </w:r>
    </w:p>
    <w:p>
      <w:pPr>
        <w:keepNext/>
        <w:spacing w:before="200" w:after="60"/>
      </w:pPr>
      <w:r>
        <w:rPr>
          <w:b/>
          <w:color w:val="003366"/>
          <w:sz w:val="26"/>
        </w:rPr>
        <w:t>4.6.2  IP/Domain Reputation (DNSBL)</w:t>
      </w:r>
    </w:p>
    <w:p>
      <w:pPr>
        <w:widowControl/>
        <w:spacing w:after="80"/>
      </w:pPr>
      <w:r>
        <w:rPr>
          <w:b/>
        </w:rPr>
        <w:t xml:space="preserve">What it checks: </w:t>
      </w:r>
      <w:r>
        <w:t>The scanner queries multiple DNS-based blackhole lists (DNSBLs) to determine whether the domain's IP address or the domain name itself is listed. A listing indicates that the IP or domain has been associated with spam, malware distribution, or other malicious activity at some point.</w:t>
      </w:r>
    </w:p>
    <w:p>
      <w:pPr>
        <w:widowControl/>
        <w:spacing w:after="80"/>
      </w:pPr>
      <w:r>
        <w:rPr>
          <w:b/>
        </w:rPr>
        <w:t xml:space="preserve">How it works: </w:t>
      </w:r>
      <w:r>
        <w:t>For IP-based checks, the scanner reverses the IP address octets and performs DNS A-record lookups against five major blacklists: Spamhaus ZEN (zen.spamhaus.org), SpamCop (bl.spamcop.net), SORBS (dnsbl.sorbs.net), Barracuda (b.barracudacentral.org), and UCEProtect (dnsbl-1.uceprotect.net). For domain-based checks, it queries Spamhaus DBL (dbl.spamhaus.org) and URIBL (uribl.com). A successful DNS resolution means the IP or domain is listed.</w:t>
      </w:r>
    </w:p>
    <w:p>
      <w:pPr>
        <w:widowControl/>
        <w:spacing w:after="80"/>
      </w:pPr>
      <w:r>
        <w:rPr>
          <w:b/>
        </w:rPr>
        <w:t xml:space="preserve">Why it matters for insurance: </w:t>
      </w:r>
      <w:r>
        <w:t>A blacklisted IP or domain signals a history of compromise or abuse. Even if the current owner is legitimate, a listing on Spamhaus or Barracuda means the infrastructure has been used to send spam or distribute malware — either by the current tenant or a previous one. Blacklisting also destroys email deliverability, which can be a business-continuity issue for companies that rely on email for client communication.</w:t>
      </w:r>
    </w:p>
    <w:p>
      <w:pPr>
        <w:widowControl/>
        <w:spacing w:after="80"/>
      </w:pPr>
      <w:r>
        <w:rPr>
          <w:b/>
        </w:rPr>
        <w:t xml:space="preserve">Scoring: </w:t>
      </w:r>
      <w:r>
        <w:t>A clean DNSBL check (no listings) leaves the score at 100. Each listing on a major blacklist (Spamhaus, Barracuda) results in a significant penalty. Multiple listings compound the deduction. The DNSBL weight in the overall score is 6%, reflecting its importance as an indicator of active or recent compromise.</w:t>
      </w:r>
    </w:p>
    <w:p>
      <w:pPr>
        <w:widowControl/>
        <w:spacing w:after="80"/>
      </w:pPr>
      <w:r>
        <w:t>Common findings include:</w:t>
      </w:r>
    </w:p>
    <w:p>
      <w:pPr>
        <w:pStyle w:val="ListParagraph"/>
        <w:widowControl/>
        <w:spacing w:after="40"/>
      </w:pPr>
      <w:r>
        <w:t>Domain/IP listed on 1 blacklist(s): zen.spamhaus.org — this is the most common single listing and indicates the IP has been flagged for spam or malware activity.</w:t>
      </w:r>
    </w:p>
    <w:p>
      <w:pPr>
        <w:pStyle w:val="ListParagraph"/>
        <w:widowControl/>
        <w:spacing w:after="40"/>
      </w:pPr>
      <w:r>
        <w:t>Listed on dnsbl.sorbs.net — SORBS listings often indicate the IP is on a dynamic/residential range or has been an open relay.</w:t>
      </w:r>
    </w:p>
    <w:p>
      <w:pPr>
        <w:pStyle w:val="ListParagraph"/>
        <w:widowControl/>
        <w:spacing w:after="40"/>
      </w:pPr>
      <w:r>
        <w:t>No listings found — this is the desired result and confirms the domain's infrastructure has a clean reputation.</w:t>
      </w:r>
    </w:p>
    <w:p>
      <w:pPr>
        <w:widowControl/>
        <w:spacing w:after="80"/>
      </w:pPr>
      <w:r>
        <w:rPr>
          <w:b/>
          <w:color w:val="B40000"/>
        </w:rPr>
        <w:t xml:space="preserve">WARNING: </w:t>
      </w:r>
      <w:r>
        <w:t>A Spamhaus listing is particularly serious because many enterprise email gateways reject mail from Spamhaus-listed IPs outright. If a client's domain is listed, their business emails may be silently dropped by recipients.</w:t>
      </w:r>
    </w:p>
    <w:p>
      <w:pPr>
        <w:widowControl/>
        <w:spacing w:after="80"/>
      </w:pPr>
      <w:r>
        <w:rPr>
          <w:b/>
          <w:color w:val="003399"/>
        </w:rPr>
        <w:t xml:space="preserve">NOTE: </w:t>
      </w:r>
      <w:r>
        <w:t>Shared-hosting environments can produce false positives: another tenant on the same IP may have caused the listing. The scanner reports the finding regardless because the risk to the client is real — they share the reputational damage.</w:t>
      </w:r>
    </w:p>
    <w:p>
      <w:pPr>
        <w:keepNext/>
        <w:spacing w:before="200" w:after="60"/>
      </w:pPr>
      <w:r>
        <w:rPr>
          <w:b/>
          <w:color w:val="003366"/>
          <w:sz w:val="26"/>
        </w:rPr>
        <w:t>4.6.3  Exposed Admin Panels</w:t>
      </w:r>
    </w:p>
    <w:p>
      <w:pPr>
        <w:widowControl/>
        <w:spacing w:after="80"/>
      </w:pPr>
      <w:r>
        <w:rPr>
          <w:b/>
        </w:rPr>
        <w:t xml:space="preserve">What it checks: </w:t>
      </w:r>
      <w:r>
        <w:t>The scanner probes the domain for 46 common administrative, configuration, and development paths across three risk tiers. Critical paths include .env files, .git/HEAD, wp-config.php, database dumps (backup.sql, dump.sql), and .htpasswd files. High-risk paths include /admin, /administrator, /wp-admin, /wp-login.php, /phpmyadmin, /cpanel, /jenkins, /grafana, /kibana, /portainer, /gitlab, and API user endpoints. Medium-risk paths include /server-status, /actuator, /swagger-ui, /phpinfo.php, and similar information-disclosure endpoints.</w:t>
      </w:r>
    </w:p>
    <w:p>
      <w:pPr>
        <w:widowControl/>
        <w:spacing w:after="80"/>
      </w:pPr>
      <w:r>
        <w:rPr>
          <w:b/>
        </w:rPr>
        <w:t xml:space="preserve">How it works: </w:t>
      </w:r>
      <w:r>
        <w:t>HTTPS GET requests are sent to each path with a four-second timeout and redirects disabled. Up to 15 paths are probed concurrently using a thread pool. An HTTP 200 response means the path is directly accessible — this is a confirmed exposure. For critical paths, HTTP 401 and 403 responses are also flagged because they confirm the path exists (a server that returns 403 on /.env has admitted the file is there, even if it is access-controlled). Non-critical paths only flag on HTTP 200.</w:t>
      </w:r>
    </w:p>
    <w:p>
      <w:pPr>
        <w:widowControl/>
        <w:spacing w:after="80"/>
      </w:pPr>
      <w:r>
        <w:rPr>
          <w:b/>
        </w:rPr>
        <w:t xml:space="preserve">Why it matters for insurance: </w:t>
      </w:r>
      <w:r>
        <w:t>Exposed admin panels are a direct attack surface. An accessible /wp-admin or /phpmyadmin page is an invitation for brute-force attacks. Exposed .env files frequently contain database credentials, API keys, and secret tokens in plaintext. Exposed .git/HEAD allows attackers to reconstruct the entire source code repository. These findings represent some of the lowest-effort, highest-reward attack vectors available to adversaries.</w:t>
      </w:r>
    </w:p>
    <w:p>
      <w:pPr>
        <w:widowControl/>
        <w:spacing w:after="80"/>
      </w:pPr>
      <w:r>
        <w:rPr>
          <w:b/>
        </w:rPr>
        <w:t xml:space="preserve">Scoring: </w:t>
      </w:r>
      <w:r>
        <w:t>Each exposed path carries a penalty based on its risk tier. Critical findings (exposed .env, .git, database dumps) incur the heaviest penalties. High-risk findings (admin login pages) carry moderate penalties. Medium-risk findings (server-status, swagger) carry lighter penalties. A single exposed .env file can reduce the score by 25 points or more.</w:t>
      </w:r>
    </w:p>
    <w:p>
      <w:pPr>
        <w:widowControl/>
        <w:spacing w:after="80"/>
      </w:pPr>
      <w:r>
        <w:t>Common findings include:</w:t>
      </w:r>
    </w:p>
    <w:p>
      <w:pPr>
        <w:pStyle w:val="ListParagraph"/>
        <w:widowControl/>
        <w:spacing w:after="40"/>
      </w:pPr>
      <w:r>
        <w:t>/.env — HTTP 200 (CRITICAL): The environment file is publicly readable. This typically exposes database host, username, password, API keys, and application secrets.</w:t>
      </w:r>
    </w:p>
    <w:p>
      <w:pPr>
        <w:pStyle w:val="ListParagraph"/>
        <w:widowControl/>
        <w:spacing w:after="40"/>
      </w:pPr>
      <w:r>
        <w:t>/wp-admin — HTTP 200: The WordPress administration panel is accessible from the public internet without IP restriction.</w:t>
      </w:r>
    </w:p>
    <w:p>
      <w:pPr>
        <w:pStyle w:val="ListParagraph"/>
        <w:widowControl/>
        <w:spacing w:after="40"/>
      </w:pPr>
      <w:r>
        <w:t>/server-status — HTTP 200 (MEDIUM): Apache mod_status is enabled, leaking active connections, client IPs, and request URLs.</w:t>
      </w:r>
    </w:p>
    <w:p>
      <w:pPr>
        <w:pStyle w:val="ListParagraph"/>
        <w:widowControl/>
        <w:spacing w:after="40"/>
      </w:pPr>
      <w:r>
        <w:t>/.git/HEAD — HTTP 403: The Git repository metadata exists on the server. While blocked, its presence confirms a deployment practice that may expose source code if misconfigured.</w:t>
      </w:r>
    </w:p>
    <w:p>
      <w:pPr>
        <w:widowControl/>
        <w:spacing w:after="80"/>
      </w:pPr>
      <w:r>
        <w:rPr>
          <w:b/>
          <w:color w:val="B40000"/>
        </w:rPr>
        <w:t xml:space="preserve">WARNING: </w:t>
      </w:r>
      <w:r>
        <w:t>An exposed .env file is one of the most critical findings the scanner can produce. It should be treated as an active compromise — all secrets in that file must be rotated immediately.</w:t>
      </w:r>
    </w:p>
    <w:p>
      <w:pPr>
        <w:keepNext/>
        <w:widowControl/>
        <w:spacing w:after="80"/>
      </w:pPr>
      <w:r>
        <w:rPr>
          <w:b/>
          <w:color w:val="008000"/>
        </w:rPr>
        <w:t xml:space="preserve">TIP: </w:t>
      </w:r>
      <w:r>
        <w:t>Recommend clients restrict all admin paths to internal IPs or require VPN access. Default admin URLs should be renamed where the platform supports it (e.g., renaming /wp-admin to a custom path).</w:t>
      </w:r>
    </w:p>
    <w:p>
      <w:pPr>
        <w:keepNext/>
        <w:spacing w:before="200" w:after="60"/>
      </w:pPr>
      <w:r>
        <w:rPr>
          <w:b/>
          <w:color w:val="003366"/>
          <w:sz w:val="26"/>
        </w:rPr>
        <w:t>4.6.4  Subdomain Exposure (CT Logs)</w:t>
      </w:r>
    </w:p>
    <w:p>
      <w:pPr>
        <w:widowControl/>
        <w:spacing w:after="80"/>
      </w:pPr>
      <w:r>
        <w:rPr>
          <w:b/>
        </w:rPr>
        <w:t xml:space="preserve">What it checks: </w:t>
      </w:r>
      <w:r>
        <w:t>The scanner discovers subdomains through two methods: Certificate Transparency (CT) log scanning via crt.sh and DNS brute-force resolution of 50+ common prefixes (www, mail, vpn, dev, staging, test, admin, api, beta, backup, jenkins, gitlab, jira, grafana, kibana, phpmyadmin, cpanel, owa, exchange, and many more). Discovered subdomains are classified as 'risky' if they contain keywords associated with development, administration, or internal infrastructure.</w:t>
      </w:r>
    </w:p>
    <w:p>
      <w:pPr>
        <w:widowControl/>
        <w:spacing w:after="80"/>
      </w:pPr>
      <w:r>
        <w:rPr>
          <w:b/>
        </w:rPr>
        <w:t xml:space="preserve">How it works: </w:t>
      </w:r>
      <w:r>
        <w:t>First, a query to crt.sh retrieves all certificates ever issued for the domain and its subdomains from public Certificate Transparency logs. This reveals subdomains the organisation may have forgotten about — old staging servers, decommissioned APIs, and test environments. Second, the scanner resolves each of the 50+ brute-force prefixes via DNS to catch subdomains that may not have certificates. Each discovered subdomain is tagged with risk keywords (dev, staging, test, admin, backup, database, internal, vpn, etc.).</w:t>
      </w:r>
    </w:p>
    <w:p>
      <w:pPr>
        <w:widowControl/>
        <w:spacing w:after="80"/>
      </w:pPr>
      <w:r>
        <w:rPr>
          <w:b/>
        </w:rPr>
        <w:t xml:space="preserve">Phase 3 — Subdomain Takeover Detection: </w:t>
      </w:r>
      <w:r>
        <w:t>For every discovered subdomain, the scanner checks the CNAME record to determine whether it points to a third-party cloud service. If the CNAME target matches one of 28 known takeover signatures (GitHub Pages, AWS S3, Heroku, Azure Web Sites, Azure Blob, Azure Traffic Manager, Netlify, Vercel, Shopify, Ghost, Surge, Bitbucket, WordPress.com, Pantheon, Unbounce, Zendesk, Fastly, Fly.io, Render, and others), the scanner checks whether the target is dangling — meaning the CNAME points to a service endpoint that no longer exists. A dangling CNAME is confirmed by either NXDOMAIN resolution or an HTTP response matching the service's known 'not configured' fingerprint (e.g., 'There isn't a GitHub Pages site here' or 'NoSuchBucket' for S3). A confirmed dangling CNAME means an attacker can claim the endpoint and serve arbitrary content on the organisation's subdomain.</w:t>
      </w:r>
    </w:p>
    <w:p>
      <w:pPr>
        <w:widowControl/>
        <w:spacing w:after="80"/>
      </w:pPr>
      <w:r>
        <w:rPr>
          <w:b/>
        </w:rPr>
        <w:t xml:space="preserve">Why it matters for insurance: </w:t>
      </w:r>
      <w:r>
        <w:t>Forgotten subdomains are one of the most common entry points in real-world breaches. A staging server with default credentials, a dev environment with debug mode enabled, or a decommissioned app with unpatched vulnerabilities — all are discovered by attackers using the same techniques this scanner employs. Subdomain takeover is particularly dangerous because it allows an attacker to host phishing pages on a legitimate subdomain (e.g., login.staging.example.com), bypassing email security filters and SSL certificate warnings that would normally alert users.</w:t>
      </w:r>
    </w:p>
    <w:p>
      <w:pPr>
        <w:widowControl/>
        <w:spacing w:after="80"/>
      </w:pPr>
      <w:r>
        <w:rPr>
          <w:b/>
        </w:rPr>
        <w:t xml:space="preserve">Scoring: </w:t>
      </w:r>
      <w:r>
        <w:t>The subdomain checker carries a 2% weight in the overall score. Risky subdomains (containing keywords like dev, staging, admin, backup) each incur a penalty. Confirmed subdomain takeover vulnerabilities carry the heaviest penalty — a single takeover-vulnerable subdomain can significantly reduce the score because it represents an immediately exploitable issue.</w:t>
      </w:r>
    </w:p>
    <w:p>
      <w:pPr>
        <w:widowControl/>
        <w:spacing w:after="80"/>
      </w:pPr>
      <w:r>
        <w:t>Common findings include:</w:t>
      </w:r>
    </w:p>
    <w:p>
      <w:pPr>
        <w:pStyle w:val="ListParagraph"/>
        <w:widowControl/>
        <w:spacing w:after="40"/>
      </w:pPr>
      <w:r>
        <w:t>12 subdomains discovered, 4 classified as risky (dev.example.com, staging.example.com, test.example.com, admin.example.com).</w:t>
      </w:r>
    </w:p>
    <w:p>
      <w:pPr>
        <w:pStyle w:val="ListParagraph"/>
        <w:widowControl/>
        <w:spacing w:after="40"/>
      </w:pPr>
      <w:r>
        <w:t>SUBDOMAIN TAKEOVER: old-blog.example.com CNAME points to example.github.io — endpoint unclaimed. An attacker can register this GitHub Pages repository and serve content on the subdomain.</w:t>
      </w:r>
    </w:p>
    <w:p>
      <w:pPr>
        <w:pStyle w:val="ListParagraph"/>
        <w:widowControl/>
        <w:spacing w:after="40"/>
      </w:pPr>
      <w:r>
        <w:t>vpn.example.com, owa.example.com — internal service subdomains are publicly resolvable, revealing the organisation's internal infrastructure topology.</w:t>
      </w:r>
    </w:p>
    <w:p>
      <w:pPr>
        <w:widowControl/>
        <w:spacing w:after="80"/>
      </w:pPr>
      <w:r>
        <w:rPr>
          <w:b/>
          <w:color w:val="B40000"/>
        </w:rPr>
        <w:t xml:space="preserve">WARNING: </w:t>
      </w:r>
      <w:r>
        <w:t>Subdomain takeover vulnerabilities should be treated as CRITICAL. The remediation is simple — remove the dangling CNAME record from DNS — but the risk of phishing or malware hosting is immediate.</w:t>
      </w:r>
    </w:p>
    <w:p>
      <w:pPr>
        <w:keepNext/>
        <w:widowControl/>
        <w:spacing w:after="80"/>
      </w:pPr>
      <w:r>
        <w:rPr>
          <w:b/>
          <w:color w:val="008000"/>
        </w:rPr>
        <w:t xml:space="preserve">TIP: </w:t>
      </w:r>
      <w:r>
        <w:t>Advise clients to maintain a subdomain inventory and review it quarterly. Any subdomain pointing to a third-party service should be removed when that service is decommissioned.</w:t>
      </w:r>
    </w:p>
    <w:p>
      <w:pPr>
        <w:keepNext/>
        <w:spacing w:before="200" w:after="60"/>
      </w:pPr>
      <w:r>
        <w:rPr>
          <w:b/>
          <w:color w:val="003366"/>
          <w:sz w:val="26"/>
        </w:rPr>
        <w:t>4.6.5  CVE / Known Vulnerabilities (Shodan)</w:t>
      </w:r>
    </w:p>
    <w:p>
      <w:pPr>
        <w:widowControl/>
        <w:spacing w:after="80"/>
      </w:pPr>
      <w:r>
        <w:rPr>
          <w:b/>
        </w:rPr>
        <w:t xml:space="preserve">What it checks: </w:t>
      </w:r>
      <w:r>
        <w:t>The scanner queries Shodan to identify known CVE vulnerabilities associated with each of the domain's IP addresses. It uses two data sources: Shodan InternetDB (free, no API key required) for basic CVE lists and open ports, and the full Shodan API (when a key is configured) for detailed service banners, OS detection, ISP/ASN information, and per-port service identification. Each discovered CVE is then enriched from multiple sources.</w:t>
      </w:r>
    </w:p>
    <w:p>
      <w:pPr>
        <w:widowControl/>
        <w:spacing w:after="80"/>
      </w:pPr>
      <w:r>
        <w:rPr>
          <w:b/>
        </w:rPr>
        <w:t xml:space="preserve">How it works: </w:t>
      </w:r>
      <w:r>
        <w:t>For each IP address resolved from the domain, the scanner first attempts the full Shodan API (if a key is available), then falls back to InternetDB. The returned CVE list is enriched with: (1) CVSS scores from the NVD (National Vulnerability Database), including the full CVSS vector string and exploitability indicators (network-accessible, low-complexity, no privileges required); (2) CISA KEV (Known Exploited Vulnerabilities) status, which flags CVEs that are confirmed to be actively exploited in the wild; (3) EPSS (Exploit Prediction Scoring System) probability from FIRST.org, which estimates the likelihood a CVE will be exploited in the next 30 days; (4) exploit maturity classification (weaponized, poc_public, or theoretical) based on cross-referencing Metasploit modules and ExploitDB entries; and (5) OSV.dev enrichment that adds version-to-vulnerability matching. The scanner also calculates patch management metrics: the oldest unpatched CVE, the average CVE age, and an age-band distribution.</w:t>
      </w:r>
    </w:p>
    <w:p>
      <w:pPr>
        <w:widowControl/>
        <w:spacing w:after="80"/>
      </w:pPr>
      <w:r>
        <w:rPr>
          <w:b/>
        </w:rPr>
        <w:t xml:space="preserve">Why it matters for insurance: </w:t>
      </w:r>
      <w:r>
        <w:t>Unpatched vulnerabilities with public exploits are the single most common initial access vector in ransomware attacks. A CVE that is listed in CISA KEV is not a theoretical risk — it is being actively exploited by threat actors right now. EPSS scores above 0.5 (50% exploitation probability in 30 days) demand immediate attention. For underwriters, this checker provides the clearest view of whether the organisation keeps its internet-facing infrastructure patched.</w:t>
      </w:r>
    </w:p>
    <w:p>
      <w:pPr>
        <w:widowControl/>
        <w:spacing w:after="80"/>
      </w:pPr>
      <w:r>
        <w:rPr>
          <w:b/>
        </w:rPr>
        <w:t xml:space="preserve">Scoring: </w:t>
      </w:r>
      <w:r>
        <w:t>Scoring is per-IP and based on the severity and exploitability of discovered CVEs. Critical CVEs (CVSS 9.0+) carry the heaviest penalty, especially when combined with CISA KEV status or a weaponized exploit. High CVEs (CVSS 7.0-8.9) carry moderate penalties. The EPSS probability acts as a multiplier — a medium-severity CVE with 80% EPSS is scored more harshly than a high-severity CVE with 1% EPSS. The Shodan checker is one of the highest-weighted components in the overall score calculation.</w:t>
      </w:r>
    </w:p>
    <w:p>
      <w:pPr>
        <w:widowControl/>
        <w:spacing w:after="80"/>
      </w:pPr>
      <w:r>
        <w:t>Common findings include:</w:t>
      </w:r>
    </w:p>
    <w:p>
      <w:pPr>
        <w:pStyle w:val="ListParagraph"/>
        <w:widowControl/>
        <w:spacing w:after="40"/>
      </w:pPr>
      <w:r>
        <w:t>Per-IP vulnerability cards listing each CVE with its CVSS score, severity badge, EPSS percentage, and exploit maturity status.</w:t>
      </w:r>
    </w:p>
    <w:p>
      <w:pPr>
        <w:pStyle w:val="ListParagraph"/>
        <w:widowControl/>
        <w:spacing w:after="40"/>
      </w:pPr>
      <w:r>
        <w:t>CVE-2024-XXXXX — CVSS 9.8 (CRITICAL) — CISA KEV: Yes — EPSS: 94.2% — Exploit: weaponized. This is the worst-case scenario: a critical vulnerability with a public weaponized exploit that is known to be actively exploited.</w:t>
      </w:r>
    </w:p>
    <w:p>
      <w:pPr>
        <w:pStyle w:val="ListParagraph"/>
        <w:widowControl/>
        <w:spacing w:after="40"/>
      </w:pPr>
      <w:r>
        <w:t>Patch management posture: oldest unpatched CVE is 847 days old, average CVE age is 423 days. Age bands: 0-90 days (2 CVEs), 91-365 days (5 CVEs), 365+ days (8 CVEs).</w:t>
      </w:r>
    </w:p>
    <w:p>
      <w:pPr>
        <w:pStyle w:val="ListParagraph"/>
        <w:widowControl/>
        <w:spacing w:after="40"/>
      </w:pPr>
      <w:r>
        <w:t>Open ports: 22 (SSH), 80 (HTTP), 443 (HTTPS), 3306 (MySQL), 8080 (HTTP-alt). Service banners reveal software versions that may be vulnerable.</w:t>
      </w:r>
    </w:p>
    <w:p>
      <w:pPr>
        <w:widowControl/>
        <w:spacing w:after="80"/>
      </w:pPr>
      <w:r>
        <w:rPr>
          <w:b/>
          <w:color w:val="B40000"/>
        </w:rPr>
        <w:t xml:space="preserve">WARNING: </w:t>
      </w:r>
      <w:r>
        <w:t>Any CVE with CISA KEV status should be treated as requiring immediate patching. These are not theoretical vulnerabilities — they are confirmed to be in active exploitation by ransomware groups, nation-state actors, or criminal organisations.</w:t>
      </w:r>
    </w:p>
    <w:p>
      <w:pPr>
        <w:widowControl/>
        <w:spacing w:after="80"/>
      </w:pPr>
      <w:r>
        <w:rPr>
          <w:b/>
          <w:color w:val="003399"/>
        </w:rPr>
        <w:t xml:space="preserve">NOTE: </w:t>
      </w:r>
      <w:r>
        <w:t>Shodan data reflects what is visible from the internet. Internal vulnerabilities behind firewalls are not detected. The scanner complements (but does not replace) internal vulnerability scanning.</w:t>
      </w:r>
    </w:p>
    <w:p>
      <w:pPr>
        <w:keepNext/>
        <w:widowControl/>
        <w:spacing w:after="80"/>
      </w:pPr>
      <w:r>
        <w:rPr>
          <w:b/>
          <w:color w:val="008000"/>
        </w:rPr>
        <w:t xml:space="preserve">TIP: </w:t>
      </w:r>
      <w:r>
        <w:t>When presenting findings, prioritise by EPSS and KEV status rather than raw CVSS score. A CVSS 7.0 CVE with 90% EPSS is more urgent than a CVSS 9.8 CVE with 0.1% EPSS.</w:t>
      </w:r>
    </w:p>
    <w:p>
      <w:pPr>
        <w:keepNext/>
        <w:spacing w:before="200" w:after="60"/>
      </w:pPr>
      <w:r>
        <w:rPr>
          <w:b/>
          <w:color w:val="003366"/>
          <w:sz w:val="26"/>
        </w:rPr>
        <w:t>4.6.6  Dehashed Credential Leaks</w:t>
      </w:r>
    </w:p>
    <w:p>
      <w:pPr>
        <w:widowControl/>
        <w:spacing w:after="80"/>
      </w:pPr>
      <w:r>
        <w:rPr>
          <w:b/>
        </w:rPr>
        <w:t xml:space="preserve">What it checks: </w:t>
      </w:r>
      <w:r>
        <w:t>Dehashed is a paid, credit-based API that searches aggregated credential leak databases for entries associated with the target domain. Unlike HIBP (which reports breaches at the domain level), Dehashed returns individual credential records — including email addresses, passwords (plaintext or hashed), usernames, names, and IP addresses. This checker is toggleable in the scanner UI because it consumes API credits.</w:t>
      </w:r>
    </w:p>
    <w:p>
      <w:pPr>
        <w:widowControl/>
        <w:spacing w:after="80"/>
      </w:pPr>
      <w:r>
        <w:rPr>
          <w:b/>
        </w:rPr>
        <w:t xml:space="preserve">How it works: </w:t>
      </w:r>
      <w:r>
        <w:t>The scanner sends a POST request to the Dehashed v2 API (falling back to the v1 GET endpoint if v2 is unavailable) with a domain search query. The response includes up to 100 credential records per page, along with a total count. The scanner processes each record to extract: unique email addresses, password presence, breach source names, and breach details.</w:t>
      </w:r>
    </w:p>
    <w:p>
      <w:pPr>
        <w:widowControl/>
        <w:spacing w:after="80"/>
      </w:pPr>
      <w:r>
        <w:rPr>
          <w:b/>
        </w:rPr>
        <w:t xml:space="preserve">Phase 3 — Credential Type Parsing: </w:t>
      </w:r>
      <w:r>
        <w:t>For every record that contains a password or hashed_password field, the scanner classifies the credential type. Plaintext passwords are identified when the password field contains a readable string that does not match any known hash pattern. Hashed passwords are identified using regex patterns for seven hash types: bcrypt ($2a$/$2b$/$2y$ prefix), argon2 ($argon2i$/$argon2d$/$argon2id$ prefix), scrypt ($s0$ prefix), SHA-512 (128 hex characters), SHA-256 (64 hex characters), SHA-1 (40 hex characters), and MD5/NTLM (32 hex characters). Hash types are further classified as weak (MD5, SHA-1, NTLM — easily cracked) or strong (bcrypt, argon2, scrypt, SHA-256, SHA-512 — computationally expensive to crack). The scanner also splits findings into corporate email addresses (matching the target domain) versus personal email addresses (Gmail, Yahoo, etc.).</w:t>
      </w:r>
    </w:p>
    <w:p>
      <w:pPr>
        <w:widowControl/>
        <w:spacing w:after="80"/>
      </w:pPr>
      <w:r>
        <w:rPr>
          <w:b/>
        </w:rPr>
        <w:t xml:space="preserve">Scoring: </w:t>
      </w:r>
      <w:r>
        <w:t>Enhanced scoring assigns different penalties per credential type. Plaintext passwords incur -5 points per record (the credentials are immediately usable). Weak hashes (MD5, SHA-1, NTLM) incur -3 points per record (crackable in minutes to hours). Strong hashes (bcrypt, argon2) incur -1 point per record (resistant to brute-force but still exposed). The overall Dehashed weight is 3% of the total score.</w:t>
      </w:r>
    </w:p>
    <w:p>
      <w:pPr>
        <w:widowControl/>
        <w:spacing w:after="80"/>
      </w:pPr>
      <w:r>
        <w:t>Common findings include:</w:t>
      </w:r>
    </w:p>
    <w:p>
      <w:pPr>
        <w:pStyle w:val="ListParagraph"/>
        <w:widowControl/>
        <w:spacing w:after="40"/>
      </w:pPr>
      <w:r>
        <w:t>47 credential records found across 6 breach sources, 23 unique email addresses exposed.</w:t>
      </w:r>
    </w:p>
    <w:p>
      <w:pPr>
        <w:pStyle w:val="ListParagraph"/>
        <w:widowControl/>
        <w:spacing w:after="40"/>
      </w:pPr>
      <w:r>
        <w:t>Credential breakdown: 5 plaintext passwords, 12 weak hashes (8 MD5, 4 SHA-1), 30 strong hashes (28 bcrypt, 2 argon2).</w:t>
      </w:r>
    </w:p>
    <w:p>
      <w:pPr>
        <w:pStyle w:val="ListParagraph"/>
        <w:widowControl/>
        <w:spacing w:after="40"/>
      </w:pPr>
      <w:r>
        <w:t>Corporate vs personal split: 18 corporate emails (@example.com), 5 personal emails (Gmail, Yahoo) — corporate addresses represent direct risk to the organisation.</w:t>
      </w:r>
    </w:p>
    <w:p>
      <w:pPr>
        <w:pStyle w:val="ListParagraph"/>
        <w:widowControl/>
        <w:spacing w:after="40"/>
      </w:pPr>
      <w:r>
        <w:t>Breach sources: Collection #1, LinkedIn 2012, Adobe, Exploit.in, Anti Public Combo List — multiple sources increase the likelihood that credentials overlap with active accounts.</w:t>
      </w:r>
    </w:p>
    <w:p>
      <w:pPr>
        <w:widowControl/>
        <w:spacing w:after="80"/>
      </w:pPr>
      <w:r>
        <w:rPr>
          <w:b/>
          <w:color w:val="B40000"/>
        </w:rPr>
        <w:t xml:space="preserve">WARNING: </w:t>
      </w:r>
      <w:r>
        <w:t>Plaintext passwords in Dehashed results mean the credentials are immediately usable by any attacker. This is a CRITICAL finding that warrants immediate password resets for all affected accounts.</w:t>
      </w:r>
    </w:p>
    <w:p>
      <w:pPr>
        <w:widowControl/>
        <w:spacing w:after="80"/>
      </w:pPr>
      <w:r>
        <w:rPr>
          <w:b/>
          <w:color w:val="003399"/>
        </w:rPr>
        <w:t xml:space="preserve">NOTE: </w:t>
      </w:r>
      <w:r>
        <w:t>Dehashed is credit-based and can be toggled off in the scanner settings. When disabled, the checker returns status 'no_api_key' and does not contribute to the score. The Credential Risk Assessment (Section 4.6.9) will still function using the other three credential sources.</w:t>
      </w:r>
    </w:p>
    <w:p>
      <w:pPr>
        <w:keepNext/>
        <w:spacing w:before="200" w:after="60"/>
      </w:pPr>
      <w:r>
        <w:rPr>
          <w:b/>
          <w:color w:val="003366"/>
          <w:sz w:val="26"/>
        </w:rPr>
        <w:t>4.6.7  Infostealer Detection (Hudson Rock)</w:t>
      </w:r>
    </w:p>
    <w:p>
      <w:pPr>
        <w:widowControl/>
        <w:spacing w:after="80"/>
      </w:pPr>
      <w:r>
        <w:rPr>
          <w:b/>
        </w:rPr>
        <w:t xml:space="preserve">What it checks: </w:t>
      </w:r>
      <w:r>
        <w:t>Hudson Rock's free OSINT API checks whether employee devices associated with the domain are CURRENTLY infected with infostealer malware — specifically Raccoon Stealer, RedLine Stealer, Vidar, and similar credential-harvesting trojans. This is not historical data: it reflects active, ongoing compromise.</w:t>
      </w:r>
    </w:p>
    <w:p>
      <w:pPr>
        <w:widowControl/>
        <w:spacing w:after="80"/>
      </w:pPr>
      <w:r>
        <w:rPr>
          <w:b/>
        </w:rPr>
        <w:t xml:space="preserve">How it works: </w:t>
      </w:r>
      <w:r>
        <w:t>A single GET request to the Hudson Rock Cavalier API with the domain returns three counts: compromised_employees (devices where the corporate email was used to log in, and the device is currently infected), compromised_users (user accounts compromised via infostealer), and third_party_exposures (credentials exposed through partner or supply-chain compromise). The scanner reports all three categories and totals.</w:t>
      </w:r>
    </w:p>
    <w:p>
      <w:pPr>
        <w:widowControl/>
        <w:spacing w:after="80"/>
      </w:pPr>
      <w:r>
        <w:rPr>
          <w:b/>
        </w:rPr>
        <w:t xml:space="preserve">Why it matters for insurance: </w:t>
      </w:r>
      <w:r>
        <w:t>An active infostealer infection is the single most critical credential finding the scanner can produce. Unlike a historical breach where passwords may have been rotated, an infostealer is exfiltrating credentials in real time — every new password the user sets is immediately captured. Infostealers harvest saved browser passwords, session cookies (enabling session hijacking that bypasses MFA), autofill data, crypto wallets, and VPN configurations. This data is sold on dark-web markets within hours of collection.</w:t>
      </w:r>
    </w:p>
    <w:p>
      <w:pPr>
        <w:widowControl/>
        <w:spacing w:after="80"/>
      </w:pPr>
      <w:r>
        <w:rPr>
          <w:b/>
        </w:rPr>
        <w:t xml:space="preserve">Scoring: </w:t>
      </w:r>
      <w:r>
        <w:t>Compromised employees are the most severe finding: each infected employee device reduces the score by 30 points (to a minimum of 0). Compromised users reduce the score by 10 points each. Third-party exposures reduce the score by 5 points each. A single compromised employee device will typically push the score into critical territory.</w:t>
      </w:r>
    </w:p>
    <w:p>
      <w:pPr>
        <w:widowControl/>
        <w:spacing w:after="80"/>
      </w:pPr>
      <w:r>
        <w:t>Common findings include:</w:t>
      </w:r>
    </w:p>
    <w:p>
      <w:pPr>
        <w:pStyle w:val="ListParagraph"/>
        <w:widowControl/>
        <w:spacing w:after="40"/>
      </w:pPr>
      <w:r>
        <w:t>CRITICAL: 2 employee device(s) infected with infostealer malware — credentials are actively being sold on dark web markets. Immediate incident response required.</w:t>
      </w:r>
    </w:p>
    <w:p>
      <w:pPr>
        <w:pStyle w:val="ListParagraph"/>
        <w:widowControl/>
        <w:spacing w:after="40"/>
      </w:pPr>
      <w:r>
        <w:t>3 user account(s) compromised via infostealer — force password resets and enable MFA for affected accounts.</w:t>
      </w:r>
    </w:p>
    <w:p>
      <w:pPr>
        <w:pStyle w:val="ListParagraph"/>
        <w:widowControl/>
        <w:spacing w:after="40"/>
      </w:pPr>
      <w:r>
        <w:t>5 third-party exposure(s) detected — review supply chain partners and shared credential access.</w:t>
      </w:r>
    </w:p>
    <w:p>
      <w:pPr>
        <w:pStyle w:val="ListParagraph"/>
        <w:widowControl/>
        <w:spacing w:after="40"/>
      </w:pPr>
      <w:r>
        <w:t>No infostealer infections detected — this is the desired result and indicates no currently active credential theft.</w:t>
      </w:r>
    </w:p>
    <w:p>
      <w:pPr>
        <w:widowControl/>
        <w:spacing w:after="80"/>
      </w:pPr>
      <w:r>
        <w:rPr>
          <w:b/>
          <w:color w:val="B40000"/>
        </w:rPr>
        <w:t xml:space="preserve">WARNING: </w:t>
      </w:r>
      <w:r>
        <w:t>Any Hudson Rock finding of compromised employees should trigger immediate incident response: isolate affected devices, force password resets for ALL accounts (not just the infected user's), revoke active sessions, and engage a forensics team. Session cookies harvested by infostealers can bypass MFA.</w:t>
      </w:r>
    </w:p>
    <w:p>
      <w:pPr>
        <w:keepNext/>
        <w:widowControl/>
        <w:spacing w:after="80"/>
      </w:pPr>
      <w:r>
        <w:rPr>
          <w:b/>
          <w:color w:val="008000"/>
        </w:rPr>
        <w:t xml:space="preserve">TIP: </w:t>
      </w:r>
      <w:r>
        <w:t>Hudson Rock data is real-time. If a rescan shows the same finding weeks later, it means the infection has not been remediated — escalate the urgency.</w:t>
      </w:r>
    </w:p>
    <w:p>
      <w:pPr>
        <w:keepNext/>
        <w:spacing w:before="200" w:after="60"/>
      </w:pPr>
      <w:r>
        <w:rPr>
          <w:b/>
          <w:color w:val="003366"/>
          <w:sz w:val="26"/>
        </w:rPr>
        <w:t>4.6.8  Dark Web Monitoring (IntelX)</w:t>
      </w:r>
    </w:p>
    <w:p>
      <w:pPr>
        <w:widowControl/>
        <w:spacing w:after="80"/>
      </w:pPr>
      <w:r>
        <w:rPr>
          <w:b/>
        </w:rPr>
        <w:t xml:space="preserve">What it checks: </w:t>
      </w:r>
      <w:r>
        <w:t>Intelligence X (IntelX) searches dark web forums, paste sites (Pastebin and similar), and aggregated leak databases for mentions of the target domain. The results are classified into three categories: dark web mentions (from .onion sites and criminal forums), paste site mentions (from public paste platforms), and leak database entries (from aggregated breach compilations). This checker uses a paid API with credit-based pricing and is toggleable in the scanner UI.</w:t>
      </w:r>
    </w:p>
    <w:p>
      <w:pPr>
        <w:widowControl/>
        <w:spacing w:after="80"/>
      </w:pPr>
      <w:r>
        <w:rPr>
          <w:b/>
        </w:rPr>
        <w:t xml:space="preserve">How it works: </w:t>
      </w:r>
      <w:r>
        <w:t>The scanner uses IntelX's two-step search process. First, a POST request initiates a search with the domain as the search term, requesting up to 40 results sorted by relevance. After a short polling interval, the scanner retrieves results via GET requests. Each result is classified by media type: media types 1 and 2 are paste sites, media type 13 is dark web, and others are classified as leak database entries. The 10 most recent results are preserved for display, including the name, type, media classification, and date.</w:t>
      </w:r>
    </w:p>
    <w:p>
      <w:pPr>
        <w:widowControl/>
        <w:spacing w:after="80"/>
      </w:pPr>
      <w:r>
        <w:rPr>
          <w:b/>
        </w:rPr>
        <w:t xml:space="preserve">Why it matters for insurance: </w:t>
      </w:r>
      <w:r>
        <w:t>Dark web mentions indicate that the domain's data, credentials, or infrastructure is being discussed or traded in criminal communities. This is a leading indicator of imminent attack — if credentials appear on a dark web marketplace, credential-stuffing attacks typically follow within days. Paste site mentions may indicate data dumps where exfiltrated information has been publicly shared. For underwriters, dark web exposure is one of the strongest predictors of a future claim.</w:t>
      </w:r>
    </w:p>
    <w:p>
      <w:pPr>
        <w:widowControl/>
        <w:spacing w:after="80"/>
      </w:pPr>
      <w:r>
        <w:rPr>
          <w:b/>
        </w:rPr>
        <w:t xml:space="preserve">Scoring: </w:t>
      </w:r>
      <w:r>
        <w:t>Dark web mentions carry the heaviest penalty: each mention reduces the score by 15 points. Paste site mentions (when more than 5 are found) reduce the score by 3 points each. The presence of any dark web mention will typically push the Credential Risk Assessment (Section 4.6.9) to HIGH or CRITICAL.</w:t>
      </w:r>
    </w:p>
    <w:p>
      <w:pPr>
        <w:widowControl/>
        <w:spacing w:after="80"/>
      </w:pPr>
      <w:r>
        <w:t>Common findings include:</w:t>
      </w:r>
    </w:p>
    <w:p>
      <w:pPr>
        <w:pStyle w:val="ListParagraph"/>
        <w:widowControl/>
        <w:spacing w:after="40"/>
      </w:pPr>
      <w:r>
        <w:t>3 dark web mention(s) found — credentials or data may be actively traded on criminal forums.</w:t>
      </w:r>
    </w:p>
    <w:p>
      <w:pPr>
        <w:pStyle w:val="ListParagraph"/>
        <w:widowControl/>
        <w:spacing w:after="40"/>
      </w:pPr>
      <w:r>
        <w:t>8 paste site mention(s) — data has been shared on public paste sites (Pastebin, etc.).</w:t>
      </w:r>
    </w:p>
    <w:p>
      <w:pPr>
        <w:pStyle w:val="ListParagraph"/>
        <w:widowControl/>
        <w:spacing w:after="40"/>
      </w:pPr>
      <w:r>
        <w:t>12 reference(s) found in dark web and leak databases — the domain appears in multiple breach compilations.</w:t>
      </w:r>
    </w:p>
    <w:p>
      <w:pPr>
        <w:pStyle w:val="ListParagraph"/>
        <w:widowControl/>
        <w:spacing w:after="40"/>
      </w:pPr>
      <w:r>
        <w:t>Recent results with dates and sources are shown, allowing the underwriter to assess whether the exposure is current or historical.</w:t>
      </w:r>
    </w:p>
    <w:p>
      <w:pPr>
        <w:widowControl/>
        <w:spacing w:after="80"/>
      </w:pPr>
      <w:r>
        <w:rPr>
          <w:b/>
          <w:color w:val="003399"/>
        </w:rPr>
        <w:t xml:space="preserve">NOTE: </w:t>
      </w:r>
      <w:r>
        <w:t>IntelX uses the free tier by default (40 results per search, approximately 500 credits per day). The results represent a sample of available intelligence — commercial IntelX subscriptions would return more comprehensive results.</w:t>
      </w:r>
    </w:p>
    <w:p>
      <w:pPr>
        <w:widowControl/>
        <w:spacing w:after="80"/>
      </w:pPr>
      <w:r>
        <w:rPr>
          <w:b/>
          <w:color w:val="B40000"/>
        </w:rPr>
        <w:t xml:space="preserve">WARNING: </w:t>
      </w:r>
      <w:r>
        <w:t>Dark web mentions combined with Hudson Rock infostealer findings create a compounding risk: stolen credentials are being both actively harvested AND traded. This combination should be treated as an ongoing security incident.</w:t>
      </w:r>
    </w:p>
    <w:p>
      <w:pPr>
        <w:keepNext/>
        <w:spacing w:before="200" w:after="60"/>
      </w:pPr>
      <w:r>
        <w:rPr>
          <w:b/>
          <w:color w:val="003366"/>
          <w:sz w:val="26"/>
        </w:rPr>
        <w:t>4.6.9  Credential Risk Assessment</w:t>
      </w:r>
    </w:p>
    <w:p>
      <w:pPr>
        <w:widowControl/>
        <w:spacing w:after="80"/>
      </w:pPr>
      <w:r>
        <w:rPr>
          <w:b/>
        </w:rPr>
        <w:t xml:space="preserve">What it checks: </w:t>
      </w:r>
      <w:r>
        <w:t>The Credential Risk Assessment is an aggregate classifier that combines data from all four credential intelligence sources — Dehashed, HIBP, Hudson Rock, and IntelX — to produce a single risk classification: CRITICAL, HIGH, MEDIUM, or LOW. It is not a separate API call but rather a synthesis layer that interprets the combined findings.</w:t>
      </w:r>
    </w:p>
    <w:p>
      <w:pPr>
        <w:widowControl/>
        <w:spacing w:after="80"/>
      </w:pPr>
      <w:r>
        <w:rPr>
          <w:b/>
        </w:rPr>
        <w:t xml:space="preserve">How it works: </w:t>
      </w:r>
      <w:r>
        <w:t>The classifier evaluates four factors in priority order. Factor 1 (highest priority): Active infostealer detection from Hudson Rock. Any compromised employees immediately set the risk level to CRITICAL and the active_compromise flag to true, with a 50-point score reduction. Compromised users add a further 20-point reduction. Factor 1b: Dark web exposure from IntelX. Dark web mentions set the level to HIGH (if not already CRITICAL), with each mention reducing the score by 10 points. Paste site mentions above 5 reduce the score by 3 points each. Factor 2: Credential exposure from Dehashed. Records with password exposure set the level to HIGH and reduce the score by 30 points; records without passwords set the level to MEDIUM and reduce by 15 points. Factor 3: Breach recency from HIBP-enriched data. Breaches from 2023 or later elevate the level to HIGH with a 15-point reduction. Breaches that included passwords in their data classes are specifically flagged.</w:t>
      </w:r>
    </w:p>
    <w:p>
      <w:pPr>
        <w:widowControl/>
        <w:spacing w:after="80"/>
      </w:pPr>
      <w:r>
        <w:rPr>
          <w:b/>
        </w:rPr>
        <w:t xml:space="preserve">Risk levels and their meanings: </w:t>
      </w:r>
      <w:r>
        <w:t>CRITICAL — Active infostealer infection detected or credentials being actively traded on the dark web. Immediate incident response required: isolate devices, force all password resets, enable MFA, engage forensics. HIGH — Recent breach (2023+) with password exposure, or dark web mentions detected. Force password resets for identified accounts, enable MFA, implement continuous monitoring. MEDIUM — Historical credential exposure without active compromise indicators. Review affected accounts, enforce MFA, monitor for credential-stuffing attempts. LOW — No active compromise or significant credential exposure detected.</w:t>
      </w:r>
    </w:p>
    <w:p>
      <w:pPr>
        <w:widowControl/>
        <w:spacing w:after="80"/>
      </w:pPr>
      <w:r>
        <w:rPr>
          <w:b/>
        </w:rPr>
        <w:t xml:space="preserve">Why it matters for insurance: </w:t>
      </w:r>
      <w:r>
        <w:t>The Credential Risk Assessment provides the summary verdict that underwriters need. Rather than interpreting four separate data sources, the classifier presents a single risk level with supporting factors. A CRITICAL rating should influence premium pricing or trigger a requirement for remediation before policy binding. A HIGH rating may warrant additional underwriting questions. MEDIUM and LOW ratings provide assurance that credential hygiene is acceptable.</w:t>
      </w:r>
    </w:p>
    <w:p>
      <w:pPr>
        <w:widowControl/>
        <w:spacing w:after="80"/>
      </w:pPr>
      <w:r>
        <w:t>The assessment produces:</w:t>
      </w:r>
    </w:p>
    <w:p>
      <w:pPr>
        <w:pStyle w:val="ListParagraph"/>
        <w:widowControl/>
        <w:spacing w:after="40"/>
      </w:pPr>
      <w:r>
        <w:t>A single risk_level (CRITICAL, HIGH, MEDIUM, or LOW).</w:t>
      </w:r>
    </w:p>
    <w:p>
      <w:pPr>
        <w:pStyle w:val="ListParagraph"/>
        <w:widowControl/>
        <w:spacing w:after="40"/>
      </w:pPr>
      <w:r>
        <w:t>A numerical risk_score (0-100, where 100 is no risk).</w:t>
      </w:r>
    </w:p>
    <w:p>
      <w:pPr>
        <w:pStyle w:val="ListParagraph"/>
        <w:widowControl/>
        <w:spacing w:after="40"/>
      </w:pPr>
      <w:r>
        <w:t>An active_compromise boolean flag.</w:t>
      </w:r>
    </w:p>
    <w:p>
      <w:pPr>
        <w:pStyle w:val="ListParagraph"/>
        <w:widowControl/>
        <w:spacing w:after="40"/>
      </w:pPr>
      <w:r>
        <w:t>A list of risk factors — human-readable explanations of why the risk level was assigned (e.g., 'ACTIVE INFOSTEALER: 2 employee device(s) currently infected — credentials are being exfiltrated in real-time').</w:t>
      </w:r>
    </w:p>
    <w:p>
      <w:pPr>
        <w:pStyle w:val="ListParagraph"/>
        <w:widowControl/>
        <w:spacing w:after="40"/>
      </w:pPr>
      <w:r>
        <w:t>A summary paragraph suitable for inclusion in underwriting reports.</w:t>
      </w:r>
    </w:p>
    <w:p>
      <w:pPr>
        <w:keepNext/>
        <w:widowControl/>
        <w:spacing w:after="80"/>
      </w:pPr>
      <w:r>
        <w:rPr>
          <w:b/>
          <w:color w:val="008000"/>
        </w:rPr>
        <w:t xml:space="preserve">TIP: </w:t>
      </w:r>
      <w:r>
        <w:t>The Credential Risk Assessment is the best single metric to present to underwriters. Lead with the risk level and summary, then drill into the individual sources only if the underwriter wants detail.</w:t>
      </w:r>
    </w:p>
    <w:p>
      <w:pPr>
        <w:widowControl/>
        <w:spacing w:after="80"/>
      </w:pPr>
      <w:r>
        <w:rPr>
          <w:b/>
          <w:color w:val="003399"/>
        </w:rPr>
        <w:t xml:space="preserve">NOTE: </w:t>
      </w:r>
      <w:r>
        <w:t>If Dehashed and IntelX are both disabled (no API keys), the assessment still functions using HIBP and Hudson Rock data. The classification may be less comprehensive but will still capture active compromises and known breaches.</w:t>
      </w:r>
    </w:p>
    <w:p>
      <w:pPr>
        <w:keepNext/>
        <w:spacing w:before="200" w:after="60"/>
      </w:pPr>
      <w:r>
        <w:rPr>
          <w:b/>
          <w:color w:val="003366"/>
          <w:sz w:val="26"/>
        </w:rPr>
        <w:t>4.6.10  VirusTotal Reputation</w:t>
      </w:r>
    </w:p>
    <w:p>
      <w:pPr>
        <w:widowControl/>
        <w:spacing w:after="80"/>
      </w:pPr>
      <w:r>
        <w:rPr>
          <w:b/>
        </w:rPr>
        <w:t xml:space="preserve">What it checks: </w:t>
      </w:r>
      <w:r>
        <w:t>The scanner queries the VirusTotal API v3 to scan the domain against 70+ security engines from vendors including McAfee, Kaspersky, Bitdefender, Sophos, ESET, Fortinet, and many others. Each engine returns a verdict: malicious, suspicious, harmless, or undetected. The API also returns the community reputation score, security-vendor category classifications, popularity rankings, and details of which specific engines flagged the domain.</w:t>
      </w:r>
    </w:p>
    <w:p>
      <w:pPr>
        <w:widowControl/>
        <w:spacing w:after="80"/>
      </w:pPr>
      <w:r>
        <w:rPr>
          <w:b/>
        </w:rPr>
        <w:t xml:space="preserve">How it works: </w:t>
      </w:r>
      <w:r>
        <w:t>A single GET request is sent to the VirusTotal v3 domains endpoint with the API key in the header. The response includes last_analysis_stats (counts of malicious, suspicious, harmless, and undetected verdicts), total_votes (community malicious vs harmless votes), categories (how vendors classify the domain — e.g., 'business', 'phishing', 'malware'), popularity_ranks (Alexa, Cisco Umbrella), and last_analysis_results (per-engine verdict details). The scanner extracts flagging engines — any engine that returned 'malicious' or 'suspicious' — and lists them by name with their specific verdict.</w:t>
      </w:r>
    </w:p>
    <w:p>
      <w:pPr>
        <w:widowControl/>
        <w:spacing w:after="80"/>
      </w:pPr>
      <w:r>
        <w:rPr>
          <w:b/>
        </w:rPr>
        <w:t xml:space="preserve">Why it matters for insurance: </w:t>
      </w:r>
      <w:r>
        <w:t>VirusTotal is the industry standard for domain reputation checking. If multiple security engines flag a domain as malicious, it means the domain has been associated with malware distribution, phishing, command-and-control infrastructure, or other criminal activity. Even a single malicious flag from a reputable engine is cause for investigation. Category classifications like 'phishing' or 'malware' from vendors indicate the domain has been actively blacklisted by endpoint security products — meaning employees at other companies may be blocked from visiting the domain entirely.</w:t>
      </w:r>
    </w:p>
    <w:p>
      <w:pPr>
        <w:widowControl/>
        <w:spacing w:after="80"/>
      </w:pPr>
      <w:r>
        <w:rPr>
          <w:b/>
        </w:rPr>
        <w:t xml:space="preserve">Scoring: </w:t>
      </w:r>
      <w:r>
        <w:t>Malicious flags carry heavy penalties. A single malicious flag is a significant finding; multiple malicious flags indicate confirmed malicious activity. Suspicious flags carry lighter penalties. The scanner also checks category classifications for keywords like 'malware', 'phishing', 'spam', and 'scam' — these carry additional penalties. The VirusTotal weight in the overall score is 5%. The free API tier allows 4 requests per minute and 500 per day.</w:t>
      </w:r>
    </w:p>
    <w:p>
      <w:pPr>
        <w:widowControl/>
        <w:spacing w:after="80"/>
      </w:pPr>
      <w:r>
        <w:t>Common findings include:</w:t>
      </w:r>
    </w:p>
    <w:p>
      <w:pPr>
        <w:pStyle w:val="ListParagraph"/>
        <w:widowControl/>
        <w:spacing w:after="40"/>
      </w:pPr>
      <w:r>
        <w:t>CRITICAL: 3 security engine(s) flagged this domain as MALICIOUS — the flagging engines are listed by name (e.g., Fortinet, Kaspersky, ESET) with their specific verdicts.</w:t>
      </w:r>
    </w:p>
    <w:p>
      <w:pPr>
        <w:pStyle w:val="ListParagraph"/>
        <w:widowControl/>
        <w:spacing w:after="40"/>
      </w:pPr>
      <w:r>
        <w:t>1 security engine(s) flagged this domain as suspicious — a single suspicious flag may be a false positive but warrants investigation.</w:t>
      </w:r>
    </w:p>
    <w:p>
      <w:pPr>
        <w:pStyle w:val="ListParagraph"/>
        <w:widowControl/>
        <w:spacing w:after="40"/>
      </w:pPr>
      <w:r>
        <w:t>Categories: Fortinet classifies the domain as 'phishing' — this means Fortinet endpoint products will block access to the domain for their customers.</w:t>
      </w:r>
    </w:p>
    <w:p>
      <w:pPr>
        <w:pStyle w:val="ListParagraph"/>
        <w:widowControl/>
        <w:spacing w:after="40"/>
      </w:pPr>
      <w:r>
        <w:t>Community reputation score: -5 (negative values indicate the community considers the domain suspicious or malicious).</w:t>
      </w:r>
    </w:p>
    <w:p>
      <w:pPr>
        <w:pStyle w:val="ListParagraph"/>
        <w:widowControl/>
        <w:spacing w:after="40"/>
      </w:pPr>
      <w:r>
        <w:t>0 malicious, 0 suspicious, 68 harmless, 4 undetected — a clean result indicating no security engines have flagged the domain.</w:t>
      </w:r>
    </w:p>
    <w:p>
      <w:pPr>
        <w:widowControl/>
        <w:spacing w:after="80"/>
      </w:pPr>
      <w:r>
        <w:rPr>
          <w:b/>
          <w:color w:val="B40000"/>
        </w:rPr>
        <w:t xml:space="preserve">WARNING: </w:t>
      </w:r>
      <w:r>
        <w:t>Multiple malicious flags from reputable engines (Kaspersky, Bitdefender, Sophos, ESET) should be treated as confirmed malicious activity. This may indicate the domain has been compromised and is hosting malware or phishing content without the owner's knowledge.</w:t>
      </w:r>
    </w:p>
    <w:p>
      <w:pPr>
        <w:keepNext/>
        <w:widowControl/>
        <w:spacing w:after="80"/>
      </w:pPr>
      <w:r>
        <w:rPr>
          <w:b/>
          <w:color w:val="008000"/>
        </w:rPr>
        <w:t xml:space="preserve">TIP: </w:t>
      </w:r>
      <w:r>
        <w:t>A single flag from a lesser-known engine may be a false positive. Focus on flags from tier-1 vendors and look for corroborating evidence from other checkers (DNSBL listings, dark web mentions).</w:t>
      </w:r>
    </w:p>
    <w:p>
      <w:pPr>
        <w:keepNext/>
        <w:spacing w:before="200" w:after="60"/>
      </w:pPr>
      <w:r>
        <w:rPr>
          <w:b/>
          <w:color w:val="003366"/>
          <w:sz w:val="26"/>
        </w:rPr>
        <w:t>4.6.11  Fraudulent Domains (Typosquat)</w:t>
      </w:r>
    </w:p>
    <w:p>
      <w:pPr>
        <w:widowControl/>
        <w:spacing w:after="80"/>
      </w:pPr>
      <w:r>
        <w:rPr>
          <w:b/>
        </w:rPr>
        <w:t xml:space="preserve">What it checks: </w:t>
      </w:r>
      <w:r>
        <w:t>The scanner generates lookalike domain permutations and checks which ones are registered and actively resolving via DNS. These lookalike domains can be used for phishing attacks targeting the organisation's employees, clients, and partners. The scanner employs eight generation techniques: character omission, adjacent character swap, character duplication, homoglyph substitution (visually similar characters like 'o' and '0', 'l' and '1'), adjacent-keyboard typos (fat-finger errors), TLD variants (e.g., .com to .net, .co, .io, .co.za), dot insertion, and hyphen insertion.</w:t>
      </w:r>
    </w:p>
    <w:p>
      <w:pPr>
        <w:widowControl/>
        <w:spacing w:after="80"/>
      </w:pPr>
      <w:r>
        <w:rPr>
          <w:b/>
        </w:rPr>
        <w:t xml:space="preserve">How it works: </w:t>
      </w:r>
      <w:r>
        <w:t>First, the domain is split into its name and TLD components (handling multi-part TLDs like .co.za). The permutation engine generates all variants using the eight techniques above. For homoglyph substitution, the scanner uses a mapping of visually similar characters (a/4/@, b/d/6, e/3, i/1/l/!, o/0, s/5/$, etc.). For keyboard typos, it uses an adjacency map of QWERTY keyboard neighbours. TLD variants are checked across 17 common TLDs including .com, .net, .org, .co, .dev, .online, .io, .info, .co.za, and .africa. Each generated permutation is checked via DNS resolution — if it resolves, the domain is registered and active. Resolved domains are further checked for SSL certificates, which indicate the lookalike is actively being used (possibly for phishing with a convincing HTTPS connection). Each permutation includes a visual similarity percentage.</w:t>
      </w:r>
    </w:p>
    <w:p>
      <w:pPr>
        <w:widowControl/>
        <w:spacing w:after="80"/>
      </w:pPr>
      <w:r>
        <w:rPr>
          <w:b/>
        </w:rPr>
        <w:t xml:space="preserve">Why it matters for insurance: </w:t>
      </w:r>
      <w:r>
        <w:t>Typosquatting is one of the most common techniques used in phishing and business-email compromise (BEC) attacks. An attacker registers a domain like examp1e.com (with a '1' instead of 'l') or example.co (dropping the 'm') and sends emails that appear to come from the legitimate organisation. These domains bypass SPF/DKIM/DMARC checks because they are separate domains with their own valid DNS records. Staff and clients who do not scrutinise the sender address carefully may fall victim to credential harvesting, invoice fraud, or malware delivery.</w:t>
      </w:r>
    </w:p>
    <w:p>
      <w:pPr>
        <w:widowControl/>
        <w:spacing w:after="80"/>
      </w:pPr>
      <w:r>
        <w:rPr>
          <w:b/>
        </w:rPr>
        <w:t xml:space="preserve">Scoring: </w:t>
      </w:r>
      <w:r>
        <w:t>Each resolved lookalike domain incurs a penalty, with higher penalties for domains with high visual similarity (above 90%) or those that have active SSL certificates. TLD variants of the exact domain name (e.g., example.net when the real domain is example.com) carry the highest risk because they are the most convincing to victims.</w:t>
      </w:r>
    </w:p>
    <w:p>
      <w:pPr>
        <w:widowControl/>
        <w:spacing w:after="80"/>
      </w:pPr>
      <w:r>
        <w:t>Common findings include:</w:t>
      </w:r>
    </w:p>
    <w:p>
      <w:pPr>
        <w:pStyle w:val="ListParagraph"/>
        <w:widowControl/>
        <w:spacing w:after="40"/>
      </w:pPr>
      <w:r>
        <w:t>7 lookalike domains resolving: examp1e.com (homoglyph, 90% similarity), examlpe.com (char-swap, 86%), example.net (tld-variant, 85%), example.co (tld-variant, 85%), exaample.com (char-duplicate, 88%).</w:t>
      </w:r>
    </w:p>
    <w:p>
      <w:pPr>
        <w:pStyle w:val="ListParagraph"/>
        <w:widowControl/>
        <w:spacing w:after="40"/>
      </w:pPr>
      <w:r>
        <w:t>3 of 7 lookalike domains have active SSL certificates — these are the highest-risk variants as they can serve convincing HTTPS phishing pages.</w:t>
      </w:r>
    </w:p>
    <w:p>
      <w:pPr>
        <w:pStyle w:val="ListParagraph"/>
        <w:widowControl/>
        <w:spacing w:after="40"/>
      </w:pPr>
      <w:r>
        <w:t>No lookalike domains resolving — this is uncommon for popular domains but indicates low typosquatting risk.</w:t>
      </w:r>
    </w:p>
    <w:p>
      <w:pPr>
        <w:keepNext/>
        <w:widowControl/>
        <w:spacing w:after="80"/>
      </w:pPr>
      <w:r>
        <w:rPr>
          <w:b/>
          <w:color w:val="008000"/>
        </w:rPr>
        <w:t xml:space="preserve">TIP: </w:t>
      </w:r>
      <w:r>
        <w:t>Advise clients to proactively register high-similarity variants of their domain (especially TLD variants and single-character homoglyphs) as a defensive measure. This is significantly cheaper than responding to a phishing campaign.</w:t>
      </w:r>
    </w:p>
    <w:p>
      <w:pPr>
        <w:widowControl/>
        <w:spacing w:after="80"/>
      </w:pPr>
      <w:r>
        <w:rPr>
          <w:b/>
          <w:color w:val="003399"/>
        </w:rPr>
        <w:t xml:space="preserve">NOTE: </w:t>
      </w:r>
      <w:r>
        <w:t>Not every resolved lookalike domain is malicious — some may be legitimately owned by other businesses or parked by domain speculators. The scanner flags them as potential risks for investigation, not confirmed threats.</w:t>
      </w:r>
    </w:p>
    <w:p>
      <w:pPr>
        <w:widowControl/>
        <w:spacing w:after="80"/>
      </w:pPr>
      <w:r>
        <w:rPr>
          <w:b/>
          <w:color w:val="B40000"/>
        </w:rPr>
        <w:t xml:space="preserve">WARNING: </w:t>
      </w:r>
      <w:r>
        <w:t>Lookalike domains with SSL certificates that were recently issued (within the last 30 days) are the most suspicious — they suggest someone is actively setting up infrastructure for an attack.</w:t>
      </w:r>
    </w:p>
    <w:p>
      <w:pPr>
        <w:keepNext/>
        <w:spacing w:before="200" w:after="60"/>
      </w:pPr>
      <w:r>
        <w:rPr>
          <w:b/>
          <w:color w:val="003366"/>
          <w:sz w:val="26"/>
        </w:rPr>
        <w:t>4.6.12  Supply-Chain / Related Domains (S-1)</w:t>
      </w:r>
    </w:p>
    <w:p>
      <w:pPr>
        <w:widowControl/>
        <w:spacing w:after="80"/>
      </w:pPr>
      <w:r>
        <w:rPr>
          <w:b/>
        </w:rPr>
        <w:t xml:space="preserve">What it checks: </w:t>
      </w:r>
      <w:r>
        <w:t>When the broker declares sibling, supplier, or group-related domains in the scan request, this checker scans each declared domain in LITE mode (SSL/TLS certificate posture, DNS-port exposure, and information disclosure paths). Findings are rolled up worst-of-N into a single supply-chain category that feeds both the headline risk score and the civil-liability uplift in the financial-impact model.</w:t>
      </w:r>
    </w:p>
    <w:p>
      <w:pPr>
        <w:widowControl/>
        <w:spacing w:after="80"/>
      </w:pPr>
      <w:r>
        <w:rPr>
          <w:b/>
        </w:rPr>
        <w:t xml:space="preserve">How it works: </w:t>
      </w:r>
      <w:r>
        <w:t>The broker provides the related_domains list as part of the scan request body. Each sibling is probed in parallel with a 45-second wall-clock budget per domain (capped at 10 siblings to bound scan time). For each sibling the scanner computes a LITE score (0-100) combining SSL grade, DNS-port risk, and info-disclosure findings. The worst-performing sibling drives the category traffic-light. Critical findings (e.g. exposed .env, exposed database dumps) are flagged separately and feed into the catastrophe-tail inflation in the FAIR Monte Carlo.</w:t>
      </w:r>
    </w:p>
    <w:p>
      <w:pPr>
        <w:widowControl/>
        <w:spacing w:after="80"/>
      </w:pPr>
      <w:r>
        <w:rPr>
          <w:b/>
        </w:rPr>
        <w:t xml:space="preserve">Why it matters for insurance: </w:t>
      </w:r>
      <w:r>
        <w:t>Under aggregator-liability theory a breach at a declared supplier can be imputed back to the insured. The Lloyd's Talbot mrcourier case is the canonical precedent — Talbot's insured was held liable for downstream losses originating at an undeclared supplier. Surfacing declared siblings during underwriting lets the broker price the civil-liability channel explicitly and prevents the 'undeclared supplier' blind spot that has empirically driven multi-percentile claim jumps.</w:t>
      </w:r>
    </w:p>
    <w:p>
      <w:pPr>
        <w:widowControl/>
        <w:spacing w:after="80"/>
      </w:pPr>
      <w:r>
        <w:rPr>
          <w:b/>
        </w:rPr>
        <w:t xml:space="preserve">Scoring: </w:t>
      </w:r>
      <w:r>
        <w:t>Score = worst-of-N LITE score across all scanned siblings. The category contributes up to +0.03 to the RSI ransomware base (operational pivot path) and up to +0.04 to the vulnerability uplift in the financial model (civil-liability inflator). Critical findings on any sibling also drive the catastrophe tail K_TAIL_SC widening at P75-P99.6.</w:t>
      </w:r>
    </w:p>
    <w:p>
      <w:pPr>
        <w:widowControl/>
        <w:spacing w:after="80"/>
      </w:pPr>
      <w:r>
        <w:rPr>
          <w:b/>
          <w:color w:val="003399"/>
        </w:rPr>
        <w:t xml:space="preserve">NOTE: </w:t>
      </w:r>
      <w:r>
        <w:t>v1.0 is broker-declared only. v1.1 (deferred) adds auto-discovery via cert SAN, WHOIS registrant match, and analytics-ID correlation — the broker confirms auto-detected siblings via the same pre-flight UI used for regulatory flags.</w:t>
      </w:r>
    </w:p>
    <w:p>
      <w:pPr>
        <w:keepNext/>
        <w:spacing w:before="200" w:after="60"/>
      </w:pPr>
      <w:r>
        <w:rPr>
          <w:b/>
          <w:color w:val="003366"/>
          <w:sz w:val="26"/>
        </w:rPr>
        <w:t>4.6.13  Exposed Dependency Manifests (S-3)</w:t>
      </w:r>
    </w:p>
    <w:p>
      <w:pPr>
        <w:widowControl/>
        <w:spacing w:after="80"/>
      </w:pPr>
      <w:r>
        <w:rPr>
          <w:b/>
        </w:rPr>
        <w:t xml:space="preserve">What it checks: </w:t>
      </w:r>
      <w:r>
        <w:t>The scanner probes the web root for exposed dependency manifest files across seven ecosystems: Node (package.json, package-lock.json, yarn.lock), PHP (composer.json, composer.lock), Python (requirements.txt, Pipfile, Pipfile.lock), Ruby (Gemfile, Gemfile.lock), Go (go.mod, go.sum), Rust (Cargo.toml, Cargo.lock), and Java (pom.xml). For each exposed file the scanner parses the dependency map and reports the count by ecosystem.</w:t>
      </w:r>
    </w:p>
    <w:p>
      <w:pPr>
        <w:widowControl/>
        <w:spacing w:after="80"/>
      </w:pPr>
      <w:r>
        <w:rPr>
          <w:b/>
        </w:rPr>
        <w:t xml:space="preserve">How it works: </w:t>
      </w:r>
      <w:r>
        <w:t>Each manifest path is probed in parallel with HEAD-then-GET to minimise WAF noise. A 200 response with parseable manifest content is treated as 'exposed'. Lockfiles (which carry exact pinned versions) are classified as 'critical' severity because they directly enable OSV-chained CVE discovery; manifest files (which carry only SemVer ranges) are 'high' because they still leak the dependency list.</w:t>
      </w:r>
    </w:p>
    <w:p>
      <w:pPr>
        <w:widowControl/>
        <w:spacing w:after="80"/>
      </w:pPr>
      <w:r>
        <w:rPr>
          <w:b/>
        </w:rPr>
        <w:t xml:space="preserve">Why it matters for insurance: </w:t>
      </w:r>
      <w:r>
        <w:t>Exposed lockfiles eliminate the reconnaissance step from a ransomware-via-vulnerable-dependency attack. The attacker downloads package-lock.json, feeds it to OSV.dev, and receives a working list of CVEs with public exploits — no scanning, no fingerprinting required. Patchstack 2024 data shows 11.6% of WordPress plugin CVEs are actively exploited; the same pattern applies to npm/Composer/PyPI.</w:t>
      </w:r>
    </w:p>
    <w:p>
      <w:pPr>
        <w:widowControl/>
        <w:spacing w:after="80"/>
      </w:pPr>
      <w:r>
        <w:rPr>
          <w:b/>
        </w:rPr>
        <w:t xml:space="preserve">Scoring: </w:t>
      </w:r>
      <w:r>
        <w:t>Penalty = 30 per critical lockfile + 15 per manifest, capped at -100. Contributes up to +0.04 to RSI raw base. Remediation is cheap (deny /package*.json, /*.lock at the web server) so the remediation panel weights this finding for rapid action.</w:t>
      </w:r>
    </w:p>
    <w:p>
      <w:pPr>
        <w:keepNext/>
        <w:spacing w:before="200" w:after="60"/>
      </w:pPr>
      <w:r>
        <w:rPr>
          <w:b/>
          <w:color w:val="003366"/>
          <w:sz w:val="26"/>
        </w:rPr>
        <w:t>4.6.14  Third-Party JavaScript (S-2)</w:t>
      </w:r>
    </w:p>
    <w:p>
      <w:pPr>
        <w:widowControl/>
        <w:spacing w:after="80"/>
      </w:pPr>
      <w:r>
        <w:rPr>
          <w:b/>
        </w:rPr>
        <w:t xml:space="preserve">What it checks: </w:t>
      </w:r>
      <w:r>
        <w:t>The scanner fetches the homepage HTML and enumerates every &lt;script src=...&gt; tag pointing at a third-party origin. For each external script it tracks whether a Subresource Integrity (SRI) hash is present and whether the host appears on the known-compromised CDN list (currently polyfill.io 2024 sale, bootcss/bootcdn 2018 Magecart). Hosts on the known-CDN allow-list (googleapis, gstatic, cloudflare, cloudfront, akamaihd, fastly, azureedge, jsdelivr, unpkg, cdnjs, etc.) are labelled but not penalised on the CDN signal alone.</w:t>
      </w:r>
    </w:p>
    <w:p>
      <w:pPr>
        <w:widowControl/>
        <w:spacing w:after="80"/>
      </w:pPr>
      <w:r>
        <w:rPr>
          <w:b/>
        </w:rPr>
        <w:t xml:space="preserve">How it works: </w:t>
      </w:r>
      <w:r>
        <w:t>Script tag parsing uses a forgiving regex (case-insensitive, handles single/double quotes, supports protocol-relative URLs and relative paths). The host is resolved via urlparse; first-party hosts (same apex or sub-domain) are excluded. Each third-party script is matched against the KNOWN_COMPROMISED_HOSTS dict (suffix-match) and the KNOWN_CDN_SUFFIXES tuple.</w:t>
      </w:r>
    </w:p>
    <w:p>
      <w:pPr>
        <w:widowControl/>
        <w:spacing w:after="80"/>
      </w:pPr>
      <w:r>
        <w:rPr>
          <w:b/>
        </w:rPr>
        <w:t xml:space="preserve">Why it matters for insurance: </w:t>
      </w:r>
      <w:r>
        <w:t>Every external script runs with the same privileges as the insured's own code — it can read forms, intercept payment fields, and exfiltrate data. SRI hashes pin each script to a known good version, so an upstream CDN hijack (Magecart 2018, polyfill.io 2024) cannot silently replace the script. Polyfill.io alone compromised 100,000+ sites including Hulu, Mercedes-Benz, WarnerBros, and JSTOR. This is the single biggest predictor of card-skimming and form-skimming breaches.</w:t>
      </w:r>
    </w:p>
    <w:p>
      <w:pPr>
        <w:widowControl/>
        <w:spacing w:after="80"/>
      </w:pPr>
      <w:r>
        <w:rPr>
          <w:b/>
        </w:rPr>
        <w:t xml:space="preserve">Scoring: </w:t>
      </w:r>
      <w:r>
        <w:t>Penalty = 60 per known-compromised host (capped) + 10-20 based on SRI coverage on third-party scripts + 5 if &gt;15 distinct third-party origins (consolidation signal). Contributes up to +0.05 RSI raw and +0.06 to the financial-model vulnerability uplift (Magecart channel).</w:t>
      </w:r>
    </w:p>
    <w:p>
      <w:pPr>
        <w:keepNext/>
        <w:spacing w:before="200" w:after="60"/>
      </w:pPr>
      <w:r>
        <w:rPr>
          <w:b/>
          <w:color w:val="003366"/>
          <w:sz w:val="26"/>
        </w:rPr>
        <w:t>4.6.15  Email-Vendor Surface (SPF, S-4)</w:t>
      </w:r>
    </w:p>
    <w:p>
      <w:pPr>
        <w:widowControl/>
        <w:spacing w:after="80"/>
      </w:pPr>
      <w:r>
        <w:rPr>
          <w:b/>
        </w:rPr>
        <w:t xml:space="preserve">What it checks: </w:t>
      </w:r>
      <w:r>
        <w:t>The scanner walks the SPF include: chain (depth-5 cap) and classifies each include against 24 known email-SaaS vendor patterns (SendGrid, Mailgun, Mailchimp, Amazon SES, Microsoft 365, Google Workspace, Klaviyo, HubSpot, Salesforce, Marketo, Constant Contact, ActiveCampaign, Mailjet, Postmark, SparkPost, SendinBlue/Brevo, Zendesk, Freshdesk, Intercom, Pardot, Oracle Responsys, Netcore, and SA-local Everlytic). It also fetches the DMARC policy at _dmarc.&lt;domain&gt;.</w:t>
      </w:r>
    </w:p>
    <w:p>
      <w:pPr>
        <w:widowControl/>
        <w:spacing w:after="80"/>
      </w:pPr>
      <w:r>
        <w:rPr>
          <w:b/>
        </w:rPr>
        <w:t xml:space="preserve">Why it matters for insurance: </w:t>
      </w:r>
      <w:r>
        <w:t>Every vendor in the SPF chain is implicitly authorised to send mail as the insured. A compromise at any single vendor (Mailchimp 2022/2023, Constant Contact 2021, Microsoft Storm-0558 2023) becomes a phishing path directly into the insured's customer base. The risk is dramatically larger when DMARC policy is 'none' or absent — CISA BOD 18-01 cohort data shows DMARC p=reject reduces phishing inbox success from 69% to 14% (~80% relative reduction).</w:t>
      </w:r>
    </w:p>
    <w:p>
      <w:pPr>
        <w:widowControl/>
        <w:spacing w:after="80"/>
      </w:pPr>
      <w:r>
        <w:rPr>
          <w:b/>
        </w:rPr>
        <w:t xml:space="preserve">Scoring: </w:t>
      </w:r>
      <w:r>
        <w:t>Penalty graduates with vendor count: +5 at &gt;=3 vendors, +15 at &gt;=6 vendors. An additional +20 penalty fires when DMARC is weak AND there is at least one vendor in the chain. Contributes up to +0.02 RSI raw.</w:t>
      </w:r>
    </w:p>
    <w:p>
      <w:pPr>
        <w:widowControl/>
        <w:spacing w:after="80"/>
      </w:pPr>
      <w:r>
        <w:rPr>
          <w:b/>
          <w:color w:val="003399"/>
        </w:rPr>
        <w:t xml:space="preserve">NOTE: </w:t>
      </w:r>
      <w:r>
        <w:t>A vendor of 'unknown' (not on the classification list) is still counted but separately flagged — broker should review whether the unknown include is legitimate or a stale configuration artefact.</w:t>
      </w:r>
    </w:p>
    <w:p>
      <w:pPr>
        <w:keepNext/>
        <w:spacing w:before="200" w:after="60"/>
      </w:pPr>
      <w:r>
        <w:rPr>
          <w:b/>
          <w:color w:val="003366"/>
          <w:sz w:val="26"/>
        </w:rPr>
        <w:t>4.6.16  CMS Plugin Surface — WordPress (S-10)</w:t>
      </w:r>
    </w:p>
    <w:p>
      <w:pPr>
        <w:widowControl/>
        <w:spacing w:after="80"/>
      </w:pPr>
      <w:r>
        <w:rPr>
          <w:b/>
        </w:rPr>
        <w:t xml:space="preserve">What it checks: </w:t>
      </w:r>
      <w:r>
        <w:t>WordPress-only. A cheap discriminator probes /wp-content/, /wp-login.php, and /wp-includes/; if none respond the checker reports 'skipped' (the site is not WordPress and the card does not render in the report). When WordPress is detected, the scanner enumerates 25 popular plugin slugs by HEADing /wp-content/plugins/&lt;slug&gt;/ and harvests version strings from /wp-content/plugins/&lt;slug&gt;/readme.txt via the 'Stable tag:' header.</w:t>
      </w:r>
    </w:p>
    <w:p>
      <w:pPr>
        <w:widowControl/>
        <w:spacing w:after="80"/>
      </w:pPr>
      <w:r>
        <w:rPr>
          <w:b/>
        </w:rPr>
        <w:t xml:space="preserve">Why it matters for insurance: </w:t>
      </w:r>
      <w:r>
        <w:t>Patchstack 2024 reported 7,633 WordPress vulnerabilities, 96% of which were in plugins; 11.6% are actively exploited in the wild. For SA SMEs this is the dominant external ransomware entry vector per the Sophos State of Ransomware SA 2024 report (69% of SA orgs hit, malicious email + exploitation as top root causes). Readable version strings are directly CVE-chainable — the attacker reads the version from readme.txt and goes straight to the CVE database.</w:t>
      </w:r>
    </w:p>
    <w:p>
      <w:pPr>
        <w:widowControl/>
        <w:spacing w:after="80"/>
      </w:pPr>
      <w:r>
        <w:rPr>
          <w:b/>
        </w:rPr>
        <w:t xml:space="preserve">Scoring: </w:t>
      </w:r>
      <w:r>
        <w:t>Penalty = up to 30 based on plugin count + up to 20 based on versioned-readable count. Contributes up to +0.04 RSI raw (highest single supply-chain RSI factor, reflecting the empirical dominance of WP plugins as an SA SME attack vector).</w:t>
      </w:r>
    </w:p>
    <w:p>
      <w:pPr>
        <w:keepNext/>
        <w:spacing w:before="200" w:after="60"/>
      </w:pPr>
      <w:r>
        <w:rPr>
          <w:b/>
          <w:color w:val="003366"/>
          <w:sz w:val="26"/>
        </w:rPr>
        <w:t>4.6.17  Vendor Breach Correlation (S-5)</w:t>
      </w:r>
    </w:p>
    <w:p>
      <w:pPr>
        <w:widowControl/>
        <w:spacing w:after="80"/>
      </w:pPr>
      <w:r>
        <w:rPr>
          <w:b/>
        </w:rPr>
        <w:t xml:space="preserve">What it checks: </w:t>
      </w:r>
      <w:r>
        <w:t>The scanner re-extracts the email-vendor surface (same SPF include-chain walk as S-4) and cross-references each detected vendor against a curated editorial breach database (vendor_breaches.json). The current database carries 14 confirmed public-record breaches across 10 vendors: Mailchimp (2022 x2 + 2023), Salesforce/Heroku (2022 + 2023), Okta (2022 + 2023), Microsoft 365 (Storm-0558 2023, Midnight Blizzard 2024), HubSpot, Intercom, Zendesk, SendGrid, Constant Contact, and Marketo.</w:t>
      </w:r>
    </w:p>
    <w:p>
      <w:pPr>
        <w:widowControl/>
        <w:spacing w:after="80"/>
      </w:pPr>
      <w:r>
        <w:rPr>
          <w:b/>
        </w:rPr>
        <w:t xml:space="preserve">How it works: </w:t>
      </w:r>
      <w:r>
        <w:t>The database is loaded once per process and indexed by vendor key. Each match has a date, severity (critical/high/medium/low), and exposure_class (e.g. session_tokens, customer_email_lists, mailbox_content). Each match's penalty decays linearly with age over a 5-year lookback window — full SEVERITY_PENALTY at age=0, zero at LOOKBACK_DAYS. Five years is empirically supported because customer-key rotation post-disclosure is typically incomplete years after the incident (Ponemon Third-Party Risk 2023).</w:t>
      </w:r>
    </w:p>
    <w:p>
      <w:pPr>
        <w:widowControl/>
        <w:spacing w:after="80"/>
      </w:pPr>
      <w:r>
        <w:rPr>
          <w:b/>
        </w:rPr>
        <w:t xml:space="preserve">Why it matters for insurance: </w:t>
      </w:r>
      <w:r>
        <w:t>This is the strongest broker-narrative signal in the supply-chain layer: 'your supplier was breached N months ago — have credentials been rotated?'. Case anchors include MOVEit Cl0p 2023 (2,700+ orgs / USD 12-15B aggregate economic impact via ONE vendor breach), Polyfill.io 2024 (100,000+ sites compromised), Storm-0558 (25 orgs incl. US State Department via ONE forged Microsoft key), and the Mailchimp 0ktapus cluster 2022-2023 (668 customer accounts across 3 incidents → downstream phishing at Trezor, DigitalOcean, WooCommerce).</w:t>
      </w:r>
    </w:p>
    <w:p>
      <w:pPr>
        <w:widowControl/>
        <w:spacing w:after="80"/>
      </w:pPr>
      <w:r>
        <w:rPr>
          <w:b/>
        </w:rPr>
        <w:t xml:space="preserve">Scoring: </w:t>
      </w:r>
      <w:r>
        <w:t>Penalty per match = SEVERITY_PENALTY (critical=25, high=15, medium=8, low=3) × linear age decay. Contributes up to +0.04 to the vulnerability uplift in the financial model. The catastrophe-tail percentiles (P75-P99.6) move naturally through the Monte Carlo as the vulnerability uplift shifts the entire distribution rightward — no separate tail-widening is applied on top (an earlier iteration did exactly that and was removed during the 2026-05-27 design review to avoid double-counting the same signal).</w:t>
      </w:r>
    </w:p>
    <w:p>
      <w:pPr>
        <w:widowControl/>
        <w:spacing w:after="80"/>
      </w:pPr>
      <w:r>
        <w:rPr>
          <w:b/>
          <w:color w:val="B40000"/>
        </w:rPr>
        <w:t xml:space="preserve">WARNING: </w:t>
      </w:r>
      <w:r>
        <w:t>Editorial discipline: vendor_breaches.json follows the same rules as darkweb_providers.py — only CONFIRMED public-record incidents are added, each with a citable source field. The broker can defend each row in a FAIS audit.</w:t>
      </w:r>
    </w:p>
    <w:p>
      <w:pPr>
        <w:widowControl/>
        <w:spacing w:after="80"/>
      </w:pPr>
      <w:r>
        <w:rPr>
          <w:b/>
          <w:color w:val="003399"/>
        </w:rPr>
        <w:t xml:space="preserve">NOTE: </w:t>
      </w:r>
      <w:r>
        <w:t>Empirical anchor for the calibration: IBM Cost of a Data Breach 2024 reports supply-chain compromise as the initial attack vector in 12% of breaches (vs Verizon DBIR 2025's 30% third-party 'involvement' figure, which bundles upstream compromise with partner-data exposure and credential reuse). Mandiant M-Trends 2025 puts the strict trojanised-vendor subset at ~3%. The defensible 'upstream root cause' rate lies in the 12-20% band. The FAIR model under-estimates loss-given-breach for the 12% SC-vectored slice — see FIN-9 in the gap analysis for the conditional LGB Pareto refinement that addresses this.</w:t>
      </w:r>
    </w:p>
    <w:p>
      <w:pPr>
        <w:keepNext/>
        <w:spacing w:before="200" w:after="60"/>
      </w:pPr>
      <w:r>
        <w:rPr>
          <w:b/>
          <w:color w:val="003366"/>
          <w:sz w:val="26"/>
        </w:rPr>
        <w:t>4.6.18  Section Summary — Interpreting Exposure Results</w:t>
      </w:r>
    </w:p>
    <w:p>
      <w:pPr>
        <w:widowControl/>
        <w:spacing w:after="80"/>
      </w:pPr>
      <w:r>
        <w:t>The seventeen checkers in this section work together to provide a 360-degree view of a domain's exposure and reputation profile — including the six supply-chain signals (4.6.12-17) that close the historical gap between observed posture and supplier-chain risk. When interpreting results, consider the following priority framework:</w:t>
      </w:r>
    </w:p>
    <w:p>
      <w:pPr>
        <w:widowControl/>
        <w:spacing w:after="80"/>
      </w:pPr>
      <w:r>
        <w:rPr>
          <w:b/>
        </w:rPr>
        <w:t xml:space="preserve">Immediate action required (CRITICAL): </w:t>
      </w:r>
      <w:r>
        <w:t>Active infostealer infections (Hudson Rock), exposed .env files or database dumps (Admin Panels), confirmed subdomain takeover vulnerabilities, CISA KEV-listed CVEs with weaponized exploits, and multiple VirusTotal malicious flags.</w:t>
      </w:r>
    </w:p>
    <w:p>
      <w:pPr>
        <w:widowControl/>
        <w:spacing w:after="80"/>
      </w:pPr>
      <w:r>
        <w:rPr>
          <w:b/>
        </w:rPr>
        <w:t xml:space="preserve">Urgent remediation (HIGH): </w:t>
      </w:r>
      <w:r>
        <w:t>Recent breaches with password exposure (HIBP + Dehashed), dark web mentions (IntelX), plaintext credentials in leak databases, Spamhaus blacklisting (DNSBL), and high-similarity typosquat domains with SSL certificates.</w:t>
      </w:r>
    </w:p>
    <w:p>
      <w:pPr>
        <w:widowControl/>
        <w:spacing w:after="80"/>
      </w:pPr>
      <w:r>
        <w:rPr>
          <w:b/>
        </w:rPr>
        <w:t xml:space="preserve">Scheduled remediation (MEDIUM): </w:t>
      </w:r>
      <w:r>
        <w:t>Historical credential exposure without active indicators, paste-site mentions, accessible admin panels behind authentication, risky subdomains (dev/staging), and medium-severity unpatched CVEs.</w:t>
      </w:r>
    </w:p>
    <w:p>
      <w:pPr>
        <w:widowControl/>
        <w:spacing w:after="80"/>
      </w:pPr>
      <w:r>
        <w:rPr>
          <w:b/>
        </w:rPr>
        <w:t xml:space="preserve">Acceptable risk (LOW): </w:t>
      </w:r>
      <w:r>
        <w:t>No credential exposure, clean DNSBL and VirusTotal results, no exposed admin panels, well-managed subdomains, and a patched vulnerability posture.</w:t>
      </w:r>
    </w:p>
    <w:p>
      <w:pPr>
        <w:keepNext/>
        <w:widowControl/>
        <w:spacing w:after="80"/>
      </w:pPr>
      <w:r>
        <w:rPr>
          <w:b/>
          <w:color w:val="008000"/>
        </w:rPr>
        <w:t xml:space="preserve">TIP: </w:t>
      </w:r>
      <w:r>
        <w:t>When presenting exposure findings to underwriters, lead with the Credential Risk Assessment (Section 4.6.9) as the headline metric, then support it with the individual checker findings. This provides both the summary verdict and the evidentiary basis.</w:t>
      </w:r>
    </w:p>
    <w:p>
      <w:r>
        <w:br w:type="page"/>
      </w:r>
    </w:p>
    <w:p>
      <w:pPr>
        <w:keepNext/>
        <w:spacing w:before="240" w:after="80"/>
      </w:pPr>
      <w:r>
        <w:rPr>
          <w:b/>
          <w:color w:val="003366"/>
          <w:sz w:val="32"/>
        </w:rPr>
        <w:t>4.7  Technology &amp; Governance</w:t>
      </w:r>
    </w:p>
    <w:p>
      <w:pPr>
        <w:widowControl/>
        <w:spacing w:after="80"/>
      </w:pPr>
      <w:r>
        <w:t>The Technology and Governance category groups six checkers that examine the software powering a domain, the maturity of the domain itself, DNS intelligence, privacy and security policy posture, and payment security. Together these paint a picture of how well-managed the organisation's public-facing technology estate is.</w:t>
      </w:r>
    </w:p>
    <w:p>
      <w:pPr>
        <w:keepNext/>
        <w:spacing w:before="200" w:after="60"/>
      </w:pPr>
      <w:r>
        <w:rPr>
          <w:b/>
          <w:color w:val="003366"/>
          <w:sz w:val="26"/>
        </w:rPr>
        <w:t>Technology Stack &amp; End-of-Life Software</w:t>
      </w:r>
    </w:p>
    <w:p>
      <w:pPr>
        <w:widowControl/>
        <w:spacing w:after="80"/>
      </w:pPr>
      <w:r>
        <w:t>This checker fingerprints the technology running behind a website. It identifies content management systems (WordPress, Joomla, Drupal), web server software (Apache, Nginx, IIS, LiteSpeed), JavaScript libraries (jQuery, AngularJS, React, Vue.js), and programming frameworks (PHP, ASP.NET, Ruby on Rails). Detection uses a combination of HTTP response headers, meta tags, JavaScript global variables, and known URL patterns.</w:t>
      </w:r>
    </w:p>
    <w:p>
      <w:pPr>
        <w:widowControl/>
        <w:spacing w:after="80"/>
      </w:pPr>
      <w:r>
        <w:t>The scanner maintains 29 end-of-life (EOL) software signatures that are checked against every detected component. A component is flagged as EOL when its version falls below the vendor's actively supported threshold. For example, jQuery versions below 3.x, PHP below 8.1, or WordPress major releases that no longer receive security updates.</w:t>
      </w:r>
    </w:p>
    <w:p>
      <w:pPr>
        <w:widowControl/>
        <w:spacing w:after="80"/>
      </w:pPr>
      <w:r>
        <w:rPr>
          <w:b/>
          <w:color w:val="B40000"/>
        </w:rPr>
        <w:t xml:space="preserve">WARNING: </w:t>
      </w:r>
      <w:r>
        <w:t>End-of-life software is permanently unpatched. Unlike a missing patch on supported software, there is no fix coming — the vendor has stopped releasing security updates. Attackers specifically target EOL software because exploitation is guaranteed to succeed indefinitely. A single EOL component can undermine every other security control.</w:t>
      </w:r>
    </w:p>
    <w:p>
      <w:pPr>
        <w:widowControl/>
        <w:spacing w:after="80"/>
      </w:pPr>
      <w:r>
        <w:rPr>
          <w:b/>
        </w:rPr>
        <w:t xml:space="preserve">Scoring: </w:t>
      </w:r>
      <w:r>
        <w:t>Each detected EOL component reduces the checker score. A clean stack with no EOL components and current versions scores 100. One EOL component drops the score significantly; multiple EOL components can bring it near zero.</w:t>
      </w:r>
    </w:p>
    <w:p>
      <w:pPr>
        <w:widowControl/>
        <w:spacing w:after="80"/>
      </w:pPr>
      <w:r>
        <w:rPr>
          <w:b/>
        </w:rPr>
        <w:t xml:space="preserve">What this means for you: </w:t>
      </w:r>
      <w:r>
        <w:t>If the report shows EOL software, upgrade or replace it as a priority. Even if no CVEs are currently known, the absence of future patches creates an ever-growing attack surface.</w:t>
      </w:r>
    </w:p>
    <w:p>
      <w:pPr>
        <w:keepNext/>
        <w:widowControl/>
        <w:spacing w:after="80"/>
      </w:pPr>
      <w:r>
        <w:rPr>
          <w:b/>
          <w:color w:val="008000"/>
        </w:rPr>
        <w:t xml:space="preserve">TIP: </w:t>
      </w:r>
      <w:r>
        <w:t>WordPress sites should enable automatic minor updates at a minimum. For plugins and themes, use a staging environment to test major updates before applying them to production.</w:t>
      </w:r>
    </w:p>
    <w:p>
      <w:pPr>
        <w:keepNext/>
        <w:spacing w:before="200" w:after="60"/>
      </w:pPr>
      <w:r>
        <w:rPr>
          <w:b/>
          <w:color w:val="003366"/>
          <w:sz w:val="26"/>
        </w:rPr>
        <w:t>Domain Intelligence (WHOIS)</w:t>
      </w:r>
    </w:p>
    <w:p>
      <w:pPr>
        <w:widowControl/>
        <w:spacing w:after="80"/>
      </w:pPr>
      <w:r>
        <w:t>The WHOIS checker queries domain registration data to extract the registrar, creation date, expiry date, domain age, and whether WHOIS privacy protection is enabled. This information serves as a business maturity proxy — older domains generally belong to more established organisations, while very young domains are statistically more likely to be associated with fraud, phishing, or recently created shell companies.</w:t>
      </w:r>
    </w:p>
    <w:p>
      <w:pPr>
        <w:widowControl/>
        <w:spacing w:after="80"/>
      </w:pPr>
      <w:r>
        <w:rPr>
          <w:b/>
        </w:rPr>
        <w:t xml:space="preserve">Key signals: </w:t>
      </w:r>
      <w:r/>
    </w:p>
    <w:p>
      <w:pPr>
        <w:pStyle w:val="ListParagraph"/>
        <w:widowControl/>
        <w:spacing w:after="40"/>
      </w:pPr>
      <w:r>
        <w:t>Domain age under 1 year — flagged as a risk factor. New domains lack reputation history and are disproportionately used in scam operations.</w:t>
      </w:r>
    </w:p>
    <w:p>
      <w:pPr>
        <w:pStyle w:val="ListParagraph"/>
        <w:widowControl/>
        <w:spacing w:after="40"/>
      </w:pPr>
      <w:r>
        <w:t>Domain age over 5 years — positive trust signal. Long-standing domains indicate business continuity and established operations.</w:t>
      </w:r>
    </w:p>
    <w:p>
      <w:pPr>
        <w:pStyle w:val="ListParagraph"/>
        <w:widowControl/>
        <w:spacing w:after="40"/>
      </w:pPr>
      <w:r>
        <w:t>Domain expiry within 90 days — warning flag. A domain that is about to expire may indicate neglected infrastructure or a business in decline.</w:t>
      </w:r>
    </w:p>
    <w:p>
      <w:pPr>
        <w:pStyle w:val="ListParagraph"/>
        <w:widowControl/>
        <w:spacing w:after="40"/>
      </w:pPr>
      <w:r>
        <w:t>WHOIS privacy enabled — neutral for most organisations. However, for businesses that are legally required to publish contact details (e.g. financial services providers), hidden WHOIS data may raise regulatory questions.</w:t>
      </w:r>
    </w:p>
    <w:p>
      <w:pPr>
        <w:widowControl/>
        <w:spacing w:after="80"/>
      </w:pPr>
      <w:r>
        <w:rPr>
          <w:b/>
          <w:color w:val="003399"/>
        </w:rPr>
        <w:t xml:space="preserve">NOTE: </w:t>
      </w:r>
      <w:r>
        <w:t>Domain age is one input into the overall risk model. A young domain does not automatically mean the organisation is untrustworthy — it simply increases the weight given to other risk indicators.</w:t>
      </w:r>
    </w:p>
    <w:p>
      <w:pPr>
        <w:keepNext/>
        <w:spacing w:before="200" w:after="60"/>
      </w:pPr>
      <w:r>
        <w:rPr>
          <w:b/>
          <w:color w:val="003366"/>
          <w:sz w:val="26"/>
        </w:rPr>
        <w:t>DNS Intelligence (SecurityTrails)</w:t>
      </w:r>
    </w:p>
    <w:p>
      <w:pPr>
        <w:widowControl/>
        <w:spacing w:after="80"/>
      </w:pPr>
      <w:r>
        <w:t>This checker uses the SecurityTrails API (paid) to retrieve historical DNS records, associated domains, MX (mail exchange) records, and NS (name server) records for the target domain. SecurityTrails maintains one of the largest historical DNS databases, providing visibility into how a domain's infrastructure has changed over time.</w:t>
      </w:r>
    </w:p>
    <w:p>
      <w:pPr>
        <w:widowControl/>
        <w:spacing w:after="80"/>
      </w:pPr>
      <w:r>
        <w:rPr>
          <w:b/>
        </w:rPr>
        <w:t xml:space="preserve">What the scanner looks for: </w:t>
      </w:r>
      <w:r/>
    </w:p>
    <w:p>
      <w:pPr>
        <w:pStyle w:val="ListParagraph"/>
        <w:widowControl/>
        <w:spacing w:after="40"/>
      </w:pPr>
      <w:r>
        <w:t>Associated domains — other domains that share the same IP address, name server, or MX record. A high associated domain count (50+) indicates shared hosting, which means the domain shares an IP with many unrelated websites. Shared hosting increases risk because a compromise on any co-hosted site can affect neighbours.</w:t>
      </w:r>
    </w:p>
    <w:p>
      <w:pPr>
        <w:pStyle w:val="ListParagraph"/>
        <w:widowControl/>
        <w:spacing w:after="40"/>
      </w:pPr>
      <w:r>
        <w:t>Historical DNS changes — frequent changes to A records or NS records may indicate infrastructure instability or a recent migration.</w:t>
      </w:r>
    </w:p>
    <w:p>
      <w:pPr>
        <w:pStyle w:val="ListParagraph"/>
        <w:widowControl/>
        <w:spacing w:after="40"/>
      </w:pPr>
      <w:r>
        <w:t>MX record analysis — identifies the email provider (Google Workspace, Microsoft 365, self-hosted). Self-hosted mail servers require more operational security than managed providers.</w:t>
      </w:r>
    </w:p>
    <w:p>
      <w:pPr>
        <w:pStyle w:val="ListParagraph"/>
        <w:widowControl/>
        <w:spacing w:after="40"/>
      </w:pPr>
      <w:r>
        <w:t>NS record analysis — identifies DNS hosting provider. Single NS provider without redundancy is a resilience concern.</w:t>
      </w:r>
    </w:p>
    <w:p>
      <w:pPr>
        <w:keepNext/>
        <w:widowControl/>
        <w:spacing w:after="80"/>
      </w:pPr>
      <w:r>
        <w:rPr>
          <w:b/>
          <w:color w:val="008000"/>
        </w:rPr>
        <w:t xml:space="preserve">TIP: </w:t>
      </w:r>
      <w:r>
        <w:t>If your report shows a high number of associated domains, consider moving to a dedicated IP or a VPS/cloud hosting provider where you control the IP address. This isolates your domain from neighbours' security issues.</w:t>
      </w:r>
    </w:p>
    <w:p>
      <w:pPr>
        <w:widowControl/>
        <w:spacing w:after="80"/>
      </w:pPr>
      <w:r>
        <w:rPr>
          <w:b/>
          <w:color w:val="003399"/>
        </w:rPr>
        <w:t xml:space="preserve">NOTE: </w:t>
      </w:r>
      <w:r>
        <w:t>SecurityTrails is a paid API. If no API key is configured, this checker returns a NO_DATA status and does not affect the overall risk score.</w:t>
      </w:r>
    </w:p>
    <w:p>
      <w:pPr>
        <w:keepNext/>
        <w:spacing w:before="200" w:after="60"/>
      </w:pPr>
      <w:r>
        <w:rPr>
          <w:b/>
          <w:color w:val="003366"/>
          <w:sz w:val="26"/>
        </w:rPr>
        <w:t>Privacy Policy Compliance</w:t>
      </w:r>
    </w:p>
    <w:p>
      <w:pPr>
        <w:widowControl/>
        <w:spacing w:after="80"/>
      </w:pPr>
      <w:r>
        <w:t>The privacy policy checker visits the target website and attempts to locate a privacy policy page. It searches common paths (/privacy, /privacy-policy, /legal/privacy) and footer links. Once found, the policy text is parsed to check for the presence of required sections mandated by data protection regulations, particularly POPIA (the Protection of Personal Information Act) in South Africa.</w:t>
      </w:r>
    </w:p>
    <w:p>
      <w:pPr>
        <w:widowControl/>
        <w:spacing w:after="80"/>
      </w:pPr>
      <w:r>
        <w:rPr>
          <w:b/>
        </w:rPr>
        <w:t xml:space="preserve">Sections checked: </w:t>
      </w:r>
      <w:r/>
    </w:p>
    <w:p>
      <w:pPr>
        <w:pStyle w:val="ListParagraph"/>
        <w:widowControl/>
        <w:spacing w:after="40"/>
      </w:pPr>
      <w:r>
        <w:t>Data collection — Does the policy describe what personal information is collected and the lawful basis for processing?</w:t>
      </w:r>
    </w:p>
    <w:p>
      <w:pPr>
        <w:pStyle w:val="ListParagraph"/>
        <w:widowControl/>
        <w:spacing w:after="40"/>
      </w:pPr>
      <w:r>
        <w:t>Data retention — Does the policy state how long data is kept and the criteria used to determine retention periods?</w:t>
      </w:r>
    </w:p>
    <w:p>
      <w:pPr>
        <w:pStyle w:val="ListParagraph"/>
        <w:widowControl/>
        <w:spacing w:after="40"/>
      </w:pPr>
      <w:r>
        <w:t>Data subject rights — Does the policy inform individuals of their rights to access, correct, and delete their personal information?</w:t>
      </w:r>
    </w:p>
    <w:p>
      <w:pPr>
        <w:pStyle w:val="ListParagraph"/>
        <w:widowControl/>
        <w:spacing w:after="40"/>
      </w:pPr>
      <w:r>
        <w:t>Information officer — Does the policy name or reference an information officer or data protection officer, as required by POPIA Section 55?</w:t>
      </w:r>
    </w:p>
    <w:p>
      <w:pPr>
        <w:pStyle w:val="ListParagraph"/>
        <w:widowControl/>
        <w:spacing w:after="40"/>
      </w:pPr>
      <w:r>
        <w:t>Cross-border transfers — Does the policy address whether personal information is transferred outside South Africa, and the safeguards applied?</w:t>
      </w:r>
    </w:p>
    <w:p>
      <w:pPr>
        <w:widowControl/>
        <w:spacing w:after="80"/>
      </w:pPr>
      <w:r>
        <w:t>The checker calculates a compliance percentage based on how many of these required sections are present. A policy that covers all five areas scores 100%. A missing section reduces the score proportionally. No privacy policy at all results in a score of 0.</w:t>
      </w:r>
    </w:p>
    <w:p>
      <w:pPr>
        <w:widowControl/>
        <w:spacing w:after="80"/>
      </w:pPr>
      <w:r>
        <w:rPr>
          <w:b/>
          <w:color w:val="B40000"/>
        </w:rPr>
        <w:t xml:space="preserve">WARNING: </w:t>
      </w:r>
      <w:r>
        <w:t>Under POPIA, processing personal information without adequate transparency (including a compliant privacy policy) can result in fines of up to R10 million or imprisonment. This is not a theoretical risk — the South African Information Regulator has begun issuing enforcement notices. A missing or incomplete privacy policy is a compliance gap that should be addressed immediately.</w:t>
      </w:r>
    </w:p>
    <w:p>
      <w:pPr>
        <w:keepNext/>
        <w:widowControl/>
        <w:spacing w:after="80"/>
      </w:pPr>
      <w:r>
        <w:rPr>
          <w:b/>
          <w:color w:val="008000"/>
        </w:rPr>
        <w:t xml:space="preserve">TIP: </w:t>
      </w:r>
      <w:r>
        <w:t>Use the compliance percentage in the report as a checklist. If the scanner flags a missing 'data retention' section, for example, work with your legal team to add an explicit retention statement to your privacy policy.</w:t>
      </w:r>
    </w:p>
    <w:p>
      <w:pPr>
        <w:keepNext/>
        <w:spacing w:before="200" w:after="60"/>
      </w:pPr>
      <w:r>
        <w:rPr>
          <w:b/>
          <w:color w:val="003366"/>
          <w:sz w:val="26"/>
        </w:rPr>
        <w:t>Security Policy &amp; Vulnerability Disclosure</w:t>
      </w:r>
    </w:p>
    <w:p>
      <w:pPr>
        <w:widowControl/>
        <w:spacing w:after="80"/>
      </w:pPr>
      <w:r>
        <w:t>This checker looks for three indicators of a mature security posture:</w:t>
      </w:r>
    </w:p>
    <w:p>
      <w:pPr>
        <w:pStyle w:val="ListParagraph"/>
        <w:widowControl/>
        <w:spacing w:after="40"/>
      </w:pPr>
      <w:r>
        <w:t>security.txt — The scanner checks for a machine-readable security contact file at /.well-known/security.txt, as defined by RFC 9116. This file tells security researchers how to report vulnerabilities responsibly. Its presence indicates the organisation has a Vulnerability Disclosure Policy (VDP), which is a hallmark of mature security practices.</w:t>
      </w:r>
    </w:p>
    <w:p>
      <w:pPr>
        <w:pStyle w:val="ListParagraph"/>
        <w:widowControl/>
        <w:spacing w:after="40"/>
      </w:pPr>
      <w:r>
        <w:t>PGP key — If security.txt references a PGP encryption key, it shows the organisation can receive encrypted vulnerability reports, adding another layer of operational maturity.</w:t>
      </w:r>
    </w:p>
    <w:p>
      <w:pPr>
        <w:pStyle w:val="ListParagraph"/>
        <w:widowControl/>
        <w:spacing w:after="40"/>
      </w:pPr>
      <w:r>
        <w:t>robots.txt — While primarily an SEO file, robots.txt can reveal hidden directories or admin paths through its Disallow rules. The scanner checks whether it exists and whether it inadvertently exposes sensitive paths.</w:t>
      </w:r>
    </w:p>
    <w:p>
      <w:pPr>
        <w:widowControl/>
        <w:spacing w:after="80"/>
      </w:pPr>
      <w:r>
        <w:rPr>
          <w:b/>
          <w:color w:val="003399"/>
        </w:rPr>
        <w:t xml:space="preserve">NOTE: </w:t>
      </w:r>
      <w:r>
        <w:t>A Vulnerability Disclosure Policy does not directly prevent attacks, but organisations with a VDP are statistically more likely to learn about and fix vulnerabilities before they are exploited. The scanner treats the presence of security.txt as a positive governance signal.</w:t>
      </w:r>
    </w:p>
    <w:p>
      <w:pPr>
        <w:keepNext/>
        <w:spacing w:before="200" w:after="60"/>
      </w:pPr>
      <w:r>
        <w:rPr>
          <w:b/>
          <w:color w:val="003366"/>
          <w:sz w:val="26"/>
        </w:rPr>
        <w:t>Payment Security (PCI)</w:t>
      </w:r>
    </w:p>
    <w:p>
      <w:pPr>
        <w:widowControl/>
        <w:spacing w:after="80"/>
      </w:pPr>
      <w:r>
        <w:t>The payment security checker scans the target website for payment processing pages and identifies how card payments are handled. It detects both self-hosted payment forms and third-party payment providers.</w:t>
      </w:r>
    </w:p>
    <w:p>
      <w:pPr>
        <w:widowControl/>
        <w:spacing w:after="80"/>
      </w:pPr>
      <w:r>
        <w:rPr>
          <w:b/>
        </w:rPr>
        <w:t xml:space="preserve">Self-hosted payment forms: </w:t>
      </w:r>
      <w:r>
        <w:t>If the website hosts its own payment form (i.e. the card number field is on the organisation's own domain), the full scope of PCI DSS compliance applies. This means the organisation must meet all PCI DSS requirements including quarterly vulnerability scans by an Approved Scanning Vendor (ASV), penetration testing, and extensive documentation. Self-hosted payment forms are flagged as a significant compliance risk.</w:t>
      </w:r>
    </w:p>
    <w:p>
      <w:pPr>
        <w:widowControl/>
        <w:spacing w:after="80"/>
      </w:pPr>
      <w:r>
        <w:rPr>
          <w:b/>
        </w:rPr>
        <w:t xml:space="preserve">Third-party payment providers: </w:t>
      </w:r>
      <w:r>
        <w:t>If the website uses a recognised payment provider such as Stripe, PayFast, PayGate, Peach Payments, or Yoco, the card data never touches the organisation's servers. This dramatically reduces PCI scope, typically to SAQ A or SAQ A-EP level. The scanner treats third-party payment processing as a positive security signal.</w:t>
      </w:r>
    </w:p>
    <w:p>
      <w:pPr>
        <w:widowControl/>
        <w:spacing w:after="80"/>
      </w:pPr>
      <w:r>
        <w:rPr>
          <w:b/>
          <w:color w:val="B40000"/>
        </w:rPr>
        <w:t xml:space="preserve">WARNING: </w:t>
      </w:r>
      <w:r>
        <w:t>If your report flags a self-hosted payment form, this is a critical finding. Handling card data directly exposes you to PCI DSS audit requirements, potential fines from card brands, and significantly higher breach liability. Migrating to a third-party payment provider is almost always the correct remediation.</w:t>
      </w:r>
    </w:p>
    <w:p>
      <w:pPr>
        <w:keepNext/>
        <w:widowControl/>
        <w:spacing w:after="80"/>
      </w:pPr>
      <w:r>
        <w:rPr>
          <w:b/>
          <w:color w:val="008000"/>
        </w:rPr>
        <w:t xml:space="preserve">TIP: </w:t>
      </w:r>
      <w:r>
        <w:t>Even if you use a third-party provider, ensure the payment page is served over TLS 1.2 or later and that your Content Security Policy headers restrict which domains can load scripts. A compromised script on your page can still intercept payment data before it reaches the provider (a Magecart-style attack).</w:t>
      </w:r>
    </w:p>
    <w:p>
      <w:pPr>
        <w:keepNext/>
        <w:spacing w:before="240" w:after="80"/>
      </w:pPr>
      <w:r>
        <w:rPr>
          <w:b/>
          <w:color w:val="003366"/>
          <w:sz w:val="32"/>
        </w:rPr>
        <w:t>4.8  Compliance Framework Mapping</w:t>
      </w:r>
    </w:p>
    <w:p>
      <w:pPr>
        <w:widowControl/>
        <w:spacing w:after="80"/>
      </w:pPr>
      <w:r>
        <w:t>The scanner maps every checker result to four widely-used compliance frameworks. Rather than requiring a separate compliance audit, the scan data is automatically cross-referenced against each framework's controls to produce a per-framework compliance estimate. This section explains each framework, the controls mapped, and how to interpret the results.</w:t>
      </w:r>
    </w:p>
    <w:p>
      <w:pPr>
        <w:keepNext/>
        <w:spacing w:before="200" w:after="60"/>
      </w:pPr>
      <w:r>
        <w:rPr>
          <w:b/>
          <w:color w:val="003366"/>
          <w:sz w:val="26"/>
        </w:rPr>
        <w:t>POPIA (Protection of Personal Information Act)</w:t>
      </w:r>
    </w:p>
    <w:p>
      <w:pPr>
        <w:widowControl/>
        <w:spacing w:after="80"/>
      </w:pPr>
      <w:r>
        <w:t>POPIA is South Africa's data protection law, broadly equivalent to the EU's GDPR. It governs how organisations collect, process, store, and share personal information. Every South African organisation that processes personal information must comply with POPIA.</w:t>
      </w:r>
    </w:p>
    <w:p>
      <w:pPr>
        <w:widowControl/>
        <w:spacing w:after="80"/>
      </w:pPr>
      <w:r>
        <w:rPr>
          <w:b/>
        </w:rPr>
        <w:t xml:space="preserve">Controls mapped from the scan: </w:t>
      </w:r>
      <w:r/>
    </w:p>
    <w:p>
      <w:pPr>
        <w:pStyle w:val="ListParagraph"/>
        <w:widowControl/>
        <w:spacing w:after="40"/>
      </w:pPr>
      <w:r>
        <w:t>S19a — Encryption in Transit: TLS configuration and certificate validity (from the SSL checker). POPIA Section 19 requires appropriate technical measures to secure personal information.</w:t>
      </w:r>
    </w:p>
    <w:p>
      <w:pPr>
        <w:pStyle w:val="ListParagraph"/>
        <w:widowControl/>
        <w:spacing w:after="40"/>
      </w:pPr>
      <w:r>
        <w:t>S19b — Security Headers: HTTP security headers that prevent XSS, clickjacking, and MIME-type attacks.</w:t>
      </w:r>
    </w:p>
    <w:p>
      <w:pPr>
        <w:pStyle w:val="ListParagraph"/>
        <w:widowControl/>
        <w:spacing w:after="40"/>
      </w:pPr>
      <w:r>
        <w:t>S19c — Web Application Security: Secure website configuration and WAF protection.</w:t>
      </w:r>
    </w:p>
    <w:p>
      <w:pPr>
        <w:pStyle w:val="ListParagraph"/>
        <w:widowControl/>
        <w:spacing w:after="40"/>
      </w:pPr>
      <w:r>
        <w:t>S19d — Network Access Control: Restriction of remote access services (RDP, VPN) and closure of high-risk network ports.</w:t>
      </w:r>
    </w:p>
    <w:p>
      <w:pPr>
        <w:pStyle w:val="ListParagraph"/>
        <w:widowControl/>
        <w:spacing w:after="40"/>
      </w:pPr>
      <w:r>
        <w:t>S19e — Email Security: SPF, DMARC, and DKIM configuration to prevent phishing and email impersonation.</w:t>
      </w:r>
    </w:p>
    <w:p>
      <w:pPr>
        <w:pStyle w:val="ListParagraph"/>
        <w:widowControl/>
        <w:spacing w:after="40"/>
      </w:pPr>
      <w:r>
        <w:t>S20a — Privacy Policy: Published privacy policy covering all POPIA-required sections.</w:t>
      </w:r>
    </w:p>
    <w:p>
      <w:pPr>
        <w:pStyle w:val="ListParagraph"/>
        <w:widowControl/>
        <w:spacing w:after="40"/>
      </w:pPr>
      <w:r>
        <w:t>S20b — Data Minimisation: No unnecessary exposure of sensitive files or admin interfaces.</w:t>
      </w:r>
    </w:p>
    <w:p>
      <w:pPr>
        <w:pStyle w:val="ListParagraph"/>
        <w:widowControl/>
        <w:spacing w:after="40"/>
      </w:pPr>
      <w:r>
        <w:t>S21a — Software Currency: All software components actively maintained with no end-of-life versions.</w:t>
      </w:r>
    </w:p>
    <w:p>
      <w:pPr>
        <w:pStyle w:val="ListParagraph"/>
        <w:widowControl/>
        <w:spacing w:after="40"/>
      </w:pPr>
      <w:r>
        <w:t>S22a — Breach History: Historical data breach exposure and notification readiness.</w:t>
      </w:r>
    </w:p>
    <w:p>
      <w:pPr>
        <w:pStyle w:val="ListParagraph"/>
        <w:widowControl/>
        <w:spacing w:after="40"/>
      </w:pPr>
      <w:r>
        <w:t>S22b — Credential Exposure: Leaked credentials in public breach databases (Dehashed).</w:t>
      </w:r>
    </w:p>
    <w:p>
      <w:pPr>
        <w:keepNext/>
        <w:spacing w:before="200" w:after="60"/>
      </w:pPr>
      <w:r>
        <w:rPr>
          <w:b/>
          <w:color w:val="003366"/>
          <w:sz w:val="26"/>
        </w:rPr>
        <w:t>PCI DSS v4.0 (Payment Card Industry Data Security Standard)</w:t>
      </w:r>
    </w:p>
    <w:p>
      <w:pPr>
        <w:widowControl/>
        <w:spacing w:after="80"/>
      </w:pPr>
      <w:r>
        <w:t>PCI DSS is a global standard that applies to any organisation that stores, processes, or transmits payment card data. Even organisations that use third-party payment processors must demonstrate certain baseline controls.</w:t>
      </w:r>
    </w:p>
    <w:p>
      <w:pPr>
        <w:widowControl/>
        <w:spacing w:after="80"/>
      </w:pPr>
      <w:r>
        <w:rPr>
          <w:b/>
        </w:rPr>
        <w:t xml:space="preserve">Controls mapped from the scan: </w:t>
      </w:r>
      <w:r/>
    </w:p>
    <w:p>
      <w:pPr>
        <w:pStyle w:val="ListParagraph"/>
        <w:widowControl/>
        <w:spacing w:after="40"/>
      </w:pPr>
      <w:r>
        <w:t>Req 2a — Default Credentials: Checks for exposed admin panels that may use default or guessable credentials.</w:t>
      </w:r>
    </w:p>
    <w:p>
      <w:pPr>
        <w:pStyle w:val="ListParagraph"/>
        <w:widowControl/>
        <w:spacing w:after="40"/>
      </w:pPr>
      <w:r>
        <w:t>Req 2b — System Hardening: Security headers and information disclosure controls.</w:t>
      </w:r>
    </w:p>
    <w:p>
      <w:pPr>
        <w:pStyle w:val="ListParagraph"/>
        <w:widowControl/>
        <w:spacing w:after="40"/>
      </w:pPr>
      <w:r>
        <w:t>Req 2c — Security Policies: Presence of documented security policies (security.txt).</w:t>
      </w:r>
    </w:p>
    <w:p>
      <w:pPr>
        <w:pStyle w:val="ListParagraph"/>
        <w:widowControl/>
        <w:spacing w:after="40"/>
      </w:pPr>
      <w:r>
        <w:t>Req 4a — TLS Configuration: Strong TLS encryption for cardholder data transmission.</w:t>
      </w:r>
    </w:p>
    <w:p>
      <w:pPr>
        <w:pStyle w:val="ListParagraph"/>
        <w:widowControl/>
        <w:spacing w:after="40"/>
      </w:pPr>
      <w:r>
        <w:t>Req 4b — HTTPS Enforcement: All endpoints handling sensitive data served exclusively over HTTPS.</w:t>
      </w:r>
    </w:p>
    <w:p>
      <w:pPr>
        <w:pStyle w:val="ListParagraph"/>
        <w:widowControl/>
        <w:spacing w:after="40"/>
      </w:pPr>
      <w:r>
        <w:t>Req 6a — Patch Management: Software versions current with no known vulnerabilities.</w:t>
      </w:r>
    </w:p>
    <w:p>
      <w:pPr>
        <w:pStyle w:val="ListParagraph"/>
        <w:widowControl/>
        <w:spacing w:after="40"/>
      </w:pPr>
      <w:r>
        <w:t>Req 6b — Secure Coding: Secure application headers and web application protection.</w:t>
      </w:r>
    </w:p>
    <w:p>
      <w:pPr>
        <w:pStyle w:val="ListParagraph"/>
        <w:widowControl/>
        <w:spacing w:after="40"/>
      </w:pPr>
      <w:r>
        <w:t>Req 8a — Payment Security: PCI-compliant payment processing (third-party vs. self-hosted).</w:t>
      </w:r>
    </w:p>
    <w:p>
      <w:pPr>
        <w:pStyle w:val="ListParagraph"/>
        <w:widowControl/>
        <w:spacing w:after="40"/>
      </w:pPr>
      <w:r>
        <w:t>Req 11a — Vulnerability Scanning: External vulnerability scan results from Shodan CVE analysis.</w:t>
      </w:r>
    </w:p>
    <w:p>
      <w:pPr>
        <w:pStyle w:val="ListParagraph"/>
        <w:widowControl/>
        <w:spacing w:after="40"/>
      </w:pPr>
      <w:r>
        <w:t>Req 11b — Threat Monitoring: VirusTotal reputation and DNSBL blacklist monitoring.</w:t>
      </w:r>
    </w:p>
    <w:p>
      <w:pPr>
        <w:keepNext/>
        <w:spacing w:before="200" w:after="60"/>
      </w:pPr>
      <w:r>
        <w:rPr>
          <w:b/>
          <w:color w:val="003366"/>
          <w:sz w:val="26"/>
        </w:rPr>
        <w:t>ISO 27001 (Information Security Management)</w:t>
      </w:r>
    </w:p>
    <w:p>
      <w:pPr>
        <w:widowControl/>
        <w:spacing w:after="80"/>
      </w:pPr>
      <w:r>
        <w:t>ISO 27001 is the international standard for information security management systems (ISMS). It provides a systematic approach to managing sensitive information through risk assessment and controls. Many enterprise clients and government tenders require ISO 27001 certification.</w:t>
      </w:r>
    </w:p>
    <w:p>
      <w:pPr>
        <w:widowControl/>
        <w:spacing w:after="80"/>
      </w:pPr>
      <w:r>
        <w:rPr>
          <w:b/>
        </w:rPr>
        <w:t xml:space="preserve">Controls mapped from the scan: </w:t>
      </w:r>
      <w:r/>
    </w:p>
    <w:p>
      <w:pPr>
        <w:pStyle w:val="ListParagraph"/>
        <w:widowControl/>
        <w:spacing w:after="40"/>
      </w:pPr>
      <w:r>
        <w:t>A.8a — Asset Inventory: Technology stack detection and external IP enumeration.</w:t>
      </w:r>
    </w:p>
    <w:p>
      <w:pPr>
        <w:pStyle w:val="ListParagraph"/>
        <w:widowControl/>
        <w:spacing w:after="40"/>
      </w:pPr>
      <w:r>
        <w:t>A.8b — Attack Surface: Subdomain discovery and attack surface mapping.</w:t>
      </w:r>
    </w:p>
    <w:p>
      <w:pPr>
        <w:pStyle w:val="ListParagraph"/>
        <w:widowControl/>
        <w:spacing w:after="40"/>
      </w:pPr>
      <w:r>
        <w:t>A.12a — Network Security: Open port analysis, DNS infrastructure, and service hardening.</w:t>
      </w:r>
    </w:p>
    <w:p>
      <w:pPr>
        <w:pStyle w:val="ListParagraph"/>
        <w:widowControl/>
        <w:spacing w:after="40"/>
      </w:pPr>
      <w:r>
        <w:t>A.12b — Remote Access: RDP, VPN, and remote access protocol security.</w:t>
      </w:r>
    </w:p>
    <w:p>
      <w:pPr>
        <w:pStyle w:val="ListParagraph"/>
        <w:widowControl/>
        <w:spacing w:after="40"/>
      </w:pPr>
      <w:r>
        <w:t>A.12c — Malware and Reputation: DNSBL blacklisting and VirusTotal malware detection.</w:t>
      </w:r>
    </w:p>
    <w:p>
      <w:pPr>
        <w:pStyle w:val="ListParagraph"/>
        <w:widowControl/>
        <w:spacing w:after="40"/>
      </w:pPr>
      <w:r>
        <w:t>A.12d — DDoS Resilience: WAF detection and CDN/cloud infrastructure.</w:t>
      </w:r>
    </w:p>
    <w:p>
      <w:pPr>
        <w:pStyle w:val="ListParagraph"/>
        <w:widowControl/>
        <w:spacing w:after="40"/>
      </w:pPr>
      <w:r>
        <w:t>A.14a — Encryption Standards: SSL/TLS configuration and certificate management.</w:t>
      </w:r>
    </w:p>
    <w:p>
      <w:pPr>
        <w:pStyle w:val="ListParagraph"/>
        <w:widowControl/>
        <w:spacing w:after="40"/>
      </w:pPr>
      <w:r>
        <w:t>A.14b — Application Security: HTTP security headers and web application hardening.</w:t>
      </w:r>
    </w:p>
    <w:p>
      <w:pPr>
        <w:pStyle w:val="ListParagraph"/>
        <w:widowControl/>
        <w:spacing w:after="40"/>
      </w:pPr>
      <w:r>
        <w:t>A.14c — Payment and Data Handling: Secure payment processing and information disclosure controls.</w:t>
      </w:r>
    </w:p>
    <w:p>
      <w:pPr>
        <w:keepNext/>
        <w:spacing w:before="200" w:after="60"/>
      </w:pPr>
      <w:r>
        <w:rPr>
          <w:b/>
          <w:color w:val="003366"/>
          <w:sz w:val="26"/>
        </w:rPr>
        <w:t>NIST Cybersecurity Framework (CSF) 2.0</w:t>
      </w:r>
    </w:p>
    <w:p>
      <w:pPr>
        <w:widowControl/>
        <w:spacing w:after="80"/>
      </w:pPr>
      <w:r>
        <w:t>NIST CSF 2.0 is the United States' voluntary cybersecurity framework, widely adopted globally. Version 2.0 (released February 2024) added a sixth function — Govern — to the original five. The framework organises cybersecurity activities into six core functions: Govern, Identify, Protect, Detect, Respond, and Recover.</w:t>
      </w:r>
    </w:p>
    <w:p>
      <w:pPr>
        <w:widowControl/>
        <w:spacing w:after="80"/>
      </w:pPr>
      <w:r>
        <w:rPr>
          <w:b/>
        </w:rPr>
        <w:t xml:space="preserve">14 sub-controls mapped from the scan: </w:t>
      </w:r>
      <w:r/>
    </w:p>
    <w:p>
      <w:pPr>
        <w:pStyle w:val="ListParagraph"/>
        <w:widowControl/>
        <w:spacing w:after="40"/>
      </w:pPr>
      <w:r>
        <w:t>GOVERN — GV.1 Security Policy: Documented cybersecurity governance (security.txt).</w:t>
      </w:r>
    </w:p>
    <w:p>
      <w:pPr>
        <w:pStyle w:val="ListParagraph"/>
        <w:widowControl/>
        <w:spacing w:after="40"/>
      </w:pPr>
      <w:r>
        <w:t>GOVERN — GV.2 Privacy Governance: Privacy policy and data protection compliance.</w:t>
      </w:r>
    </w:p>
    <w:p>
      <w:pPr>
        <w:pStyle w:val="ListParagraph"/>
        <w:widowControl/>
        <w:spacing w:after="40"/>
      </w:pPr>
      <w:r>
        <w:t>IDENTIFY — ID.1 Asset Discovery: Technology stack and external IP inventory.</w:t>
      </w:r>
    </w:p>
    <w:p>
      <w:pPr>
        <w:pStyle w:val="ListParagraph"/>
        <w:widowControl/>
        <w:spacing w:after="40"/>
      </w:pPr>
      <w:r>
        <w:t>IDENTIFY — ID.2 Attack Surface Mapping: Subdomain discovery and information disclosure.</w:t>
      </w:r>
    </w:p>
    <w:p>
      <w:pPr>
        <w:pStyle w:val="ListParagraph"/>
        <w:widowControl/>
        <w:spacing w:after="40"/>
      </w:pPr>
      <w:r>
        <w:t>PROTECT — PR.1 Encryption and TLS: Data-in-transit protection.</w:t>
      </w:r>
    </w:p>
    <w:p>
      <w:pPr>
        <w:pStyle w:val="ListParagraph"/>
        <w:widowControl/>
        <w:spacing w:after="40"/>
      </w:pPr>
      <w:r>
        <w:t>PROTECT — PR.2 Security Headers and Hardening: HTTP hardening and web application security.</w:t>
      </w:r>
    </w:p>
    <w:p>
      <w:pPr>
        <w:pStyle w:val="ListParagraph"/>
        <w:widowControl/>
        <w:spacing w:after="40"/>
      </w:pPr>
      <w:r>
        <w:t>PROTECT — PR.3 Perimeter Defence: WAF, firewall rules, and remote access controls.</w:t>
      </w:r>
    </w:p>
    <w:p>
      <w:pPr>
        <w:pStyle w:val="ListParagraph"/>
        <w:widowControl/>
        <w:spacing w:after="40"/>
      </w:pPr>
      <w:r>
        <w:t>PROTECT — PR.4 Email Authentication: SPF, DMARC, DKIM, and MTA-STS.</w:t>
      </w:r>
    </w:p>
    <w:p>
      <w:pPr>
        <w:pStyle w:val="ListParagraph"/>
        <w:widowControl/>
        <w:spacing w:after="40"/>
      </w:pPr>
      <w:r>
        <w:t>DETECT — DE.1 Vulnerability Detection: Shodan CVE analysis and version-based vulnerability scanning.</w:t>
      </w:r>
    </w:p>
    <w:p>
      <w:pPr>
        <w:pStyle w:val="ListParagraph"/>
        <w:widowControl/>
        <w:spacing w:after="40"/>
      </w:pPr>
      <w:r>
        <w:t>DETECT — DE.2 Threat Intelligence: VirusTotal, DNSBL, and exposed admin detection.</w:t>
      </w:r>
    </w:p>
    <w:p>
      <w:pPr>
        <w:pStyle w:val="ListParagraph"/>
        <w:widowControl/>
        <w:spacing w:after="40"/>
      </w:pPr>
      <w:r>
        <w:t>RESPOND — RS.1 Breach Response: Historical breach exposure and credential leak monitoring.</w:t>
      </w:r>
    </w:p>
    <w:p>
      <w:pPr>
        <w:pStyle w:val="ListParagraph"/>
        <w:widowControl/>
        <w:spacing w:after="40"/>
      </w:pPr>
      <w:r>
        <w:t>RESPOND — RS.2 Security Disclosure: Published vulnerability disclosure policy.</w:t>
      </w:r>
    </w:p>
    <w:p>
      <w:pPr>
        <w:pStyle w:val="ListParagraph"/>
        <w:widowControl/>
        <w:spacing w:after="40"/>
      </w:pPr>
      <w:r>
        <w:t>RECOVER — RC.1 Infrastructure Resilience: DNS redundancy and CDN availability.</w:t>
      </w:r>
    </w:p>
    <w:p>
      <w:pPr>
        <w:pStyle w:val="ListParagraph"/>
        <w:widowControl/>
        <w:spacing w:after="40"/>
      </w:pPr>
      <w:r>
        <w:t>RECOVER — RC.2 Communication Recovery: Email infrastructure resilience.</w:t>
      </w:r>
    </w:p>
    <w:p>
      <w:pPr>
        <w:keepNext/>
        <w:spacing w:before="200" w:after="60"/>
      </w:pPr>
      <w:r>
        <w:rPr>
          <w:b/>
          <w:color w:val="003366"/>
          <w:sz w:val="26"/>
        </w:rPr>
        <w:t>How Compliance Scoring Works</w:t>
      </w:r>
    </w:p>
    <w:p>
      <w:pPr>
        <w:widowControl/>
        <w:spacing w:after="80"/>
      </w:pPr>
      <w:r>
        <w:t>The scanner uses a hybrid scoring approach for compliance assessment. Each sub-control (e.g. 'S19a — Encryption in Transit') receives a score of 0 to 100 derived from the checker or checkers that feed into it. If a sub-control is fed by multiple checkers, the scores are averaged. Each sub-control also carries a weight (typically 0.6 to 1.2) reflecting its relative importance within the framework. The framework's overall percentage is then the weighted average of all its sub-control scores.</w:t>
      </w:r>
    </w:p>
    <w:p>
      <w:pPr>
        <w:widowControl/>
        <w:spacing w:after="80"/>
      </w:pPr>
      <w:r>
        <w:rPr>
          <w:b/>
        </w:rPr>
        <w:t xml:space="preserve">Status badges: </w:t>
      </w:r>
      <w:r/>
    </w:p>
    <w:p>
      <w:pPr>
        <w:pStyle w:val="ListParagraph"/>
        <w:widowControl/>
        <w:spacing w:after="40"/>
      </w:pPr>
      <w:r>
        <w:t>PASS (score 70 or above) — The control meets the expected standard based on external evidence.</w:t>
      </w:r>
    </w:p>
    <w:p>
      <w:pPr>
        <w:pStyle w:val="ListParagraph"/>
        <w:widowControl/>
        <w:spacing w:after="40"/>
      </w:pPr>
      <w:r>
        <w:t>PARTIAL (score 40 to 69) — The control is partially implemented but has gaps.</w:t>
      </w:r>
    </w:p>
    <w:p>
      <w:pPr>
        <w:pStyle w:val="ListParagraph"/>
        <w:widowControl/>
        <w:spacing w:after="40"/>
      </w:pPr>
      <w:r>
        <w:t>FAIL (score below 40) — The control is absent or critically deficient.</w:t>
      </w:r>
    </w:p>
    <w:p>
      <w:pPr>
        <w:pStyle w:val="ListParagraph"/>
        <w:widowControl/>
        <w:spacing w:after="40"/>
      </w:pPr>
      <w:r>
        <w:t>NO_DATA — The checker(s) feeding this control did not return data (e.g. paid API not configured, checker timed out). The control is excluded from the weighted average so it does not unfairly penalise the score.</w:t>
      </w:r>
    </w:p>
    <w:p>
      <w:pPr>
        <w:widowControl/>
        <w:spacing w:after="80"/>
      </w:pPr>
      <w:r>
        <w:t>Because this is an external-only assessment (no internal network access, no agent installed, no interviews), the scanner typically covers 60 to 80 percent of each framework's controls. Controls that require internal assessment — such as access management policies, backup procedures, or physical security — cannot be evaluated externally and are marked as NO_DATA.</w:t>
      </w:r>
    </w:p>
    <w:p>
      <w:pPr>
        <w:widowControl/>
        <w:spacing w:after="80"/>
      </w:pPr>
      <w:r>
        <w:rPr>
          <w:b/>
          <w:color w:val="B40000"/>
        </w:rPr>
        <w:t xml:space="preserve">WARNING: </w:t>
      </w:r>
      <w:r>
        <w:t>The compliance percentages in this report are estimates based on externally observable evidence. They are not a substitute for a formal compliance audit. A PASS status on an external scan does not guarantee full compliance with the framework — internal controls must also be assessed. Use these results as a starting point and gap analysis tool, not as a certification claim.</w:t>
      </w:r>
    </w:p>
    <w:p>
      <w:pPr>
        <w:keepNext/>
        <w:widowControl/>
        <w:spacing w:after="80"/>
      </w:pPr>
      <w:r>
        <w:rPr>
          <w:b/>
          <w:color w:val="008000"/>
        </w:rPr>
        <w:t xml:space="preserve">TIP: </w:t>
      </w:r>
      <w:r>
        <w:t>Focus remediation on FAIL controls first, then PARTIAL controls. NO_DATA controls should be assessed through an internal review or formal audit. The scanner's compliance mapping is designed to prioritise the controls that can be validated externally.</w:t>
      </w:r>
    </w:p>
    <w:p>
      <w:pPr>
        <w:keepNext/>
        <w:spacing w:before="240" w:after="80"/>
      </w:pPr>
      <w:r>
        <w:rPr>
          <w:b/>
          <w:color w:val="003366"/>
          <w:sz w:val="32"/>
        </w:rPr>
        <w:t>5.  Insurance Analytics (Deep Dive)</w:t>
      </w:r>
    </w:p>
    <w:p>
      <w:pPr>
        <w:widowControl/>
        <w:spacing w:after="80"/>
      </w:pPr>
      <w:r>
        <w:t>The Insurance Analytics module translates raw scan findings into financially meaningful metrics for cyber insurance underwriting, premium benchmarking, and risk transfer decisions. It consists of four interconnected components: the Ransomware Susceptibility Index (RSI), the Data Breach Index (DBI), a Hybrid Financial Impact model, and a Remediation Roadmap with projected cost savings.</w:t>
      </w:r>
    </w:p>
    <w:p>
      <w:pPr>
        <w:widowControl/>
        <w:spacing w:after="80"/>
      </w:pPr>
      <w:r>
        <w:t>These analytics are designed to be used by insurance brokers, underwriters, and risk managers. They convert technical scan data into the language of insurance — probability, loss magnitude, confidence intervals, and risk reduction ROI.</w:t>
      </w:r>
    </w:p>
    <w:p>
      <w:pPr>
        <w:keepNext/>
        <w:spacing w:before="200" w:after="60"/>
      </w:pPr>
      <w:r>
        <w:rPr>
          <w:b/>
          <w:color w:val="003366"/>
          <w:sz w:val="26"/>
        </w:rPr>
        <w:t>5.1  Ransomware Susceptibility Index (RSI)</w:t>
      </w:r>
    </w:p>
    <w:p>
      <w:pPr>
        <w:widowControl/>
        <w:spacing w:after="80"/>
      </w:pPr>
      <w:r>
        <w:t>The RSI is a 0.0 to 1.0 score that estimates how susceptible an organisation is to a successful ransomware attack, based entirely on externally observable indicators. Higher scores mean higher susceptibility. The RSI is the primary input to the financial impact model's ransomware scenario.</w:t>
      </w:r>
    </w:p>
    <w:p>
      <w:pPr>
        <w:widowControl/>
        <w:spacing w:after="80"/>
      </w:pPr>
      <w:r>
        <w:rPr>
          <w:b/>
        </w:rPr>
        <w:t xml:space="preserve">Base score: </w:t>
      </w:r>
      <w:r>
        <w:t>Every internet-connected organisation starts with a base score of 0.05, representing the inherent risk of having any internet presence. From there, contributing factors are added based on scan findings.</w:t>
      </w:r>
    </w:p>
    <w:p>
      <w:pPr>
        <w:keepNext/>
        <w:spacing w:before="200" w:after="60"/>
      </w:pPr>
      <w:r>
        <w:rPr>
          <w:b/>
          <w:color w:val="003366"/>
          <w:sz w:val="26"/>
        </w:rPr>
        <w:t>RSI Contributing Factors</w:t>
      </w:r>
    </w:p>
    <w:p>
      <w:pPr>
        <w:widowControl/>
        <w:spacing w:after="80"/>
      </w:pPr>
      <w:r>
        <w:rPr>
          <w:b/>
        </w:rPr>
        <w:t xml:space="preserve">Priority 1 — Critical signals (strongest ransomware indicators): </w:t>
      </w:r>
      <w:r/>
    </w:p>
    <w:p>
      <w:pPr>
        <w:pStyle w:val="ListParagraph"/>
        <w:widowControl/>
        <w:spacing w:after="40"/>
      </w:pPr>
      <w:r>
        <w:t>RDP exposed (port 3389): +0.25. This is the single largest contributor because RDP is the number one ransomware entry vector globally. Exposed RDP alone pushes the score to at least 0.30.</w:t>
      </w:r>
    </w:p>
    <w:p>
      <w:pPr>
        <w:pStyle w:val="ListParagraph"/>
        <w:widowControl/>
        <w:spacing w:after="40"/>
      </w:pPr>
      <w:r>
        <w:t>Exposed database ports (MongoDB, Redis, PostgreSQL, MySQL, etc.): +0.10 per exposed database, capped at +0.20. Exposed databases indicate severe network segmentation failures.</w:t>
      </w:r>
    </w:p>
    <w:p>
      <w:pPr>
        <w:pStyle w:val="ListParagraph"/>
        <w:widowControl/>
        <w:spacing w:after="40"/>
      </w:pPr>
      <w:r>
        <w:t>CISA KEV CVEs (Known Exploited Vulnerabilities): +0.08 per KEV CVE, capped at +0.20. These are vulnerabilities that CISA has confirmed are actively being exploited in the wild — they are not theoretical risks.</w:t>
      </w:r>
    </w:p>
    <w:p>
      <w:pPr>
        <w:widowControl/>
        <w:spacing w:after="80"/>
      </w:pPr>
      <w:r>
        <w:rPr>
          <w:b/>
        </w:rPr>
        <w:t xml:space="preserve">Priority 2 — High-impact signals: </w:t>
      </w:r>
      <w:r/>
    </w:p>
    <w:p>
      <w:pPr>
        <w:pStyle w:val="ListParagraph"/>
        <w:widowControl/>
        <w:spacing w:after="40"/>
      </w:pPr>
      <w:r>
        <w:t>High-EPSS CVEs (exploit probability above 50%): +0.04 each, capped at +0.12. EPSS (Exploit Prediction Scoring System) predicts the likelihood a CVE will be exploited within 30 days.</w:t>
      </w:r>
    </w:p>
    <w:p>
      <w:pPr>
        <w:pStyle w:val="ListParagraph"/>
        <w:widowControl/>
        <w:spacing w:after="40"/>
      </w:pPr>
      <w:r>
        <w:t>Other critical or high-severity CVEs: +0.02 each, capped at +0.08. Unpatched vulnerabilities that are not yet in CISA KEV but still carry significant risk.</w:t>
      </w:r>
    </w:p>
    <w:p>
      <w:pPr>
        <w:pStyle w:val="ListParagraph"/>
        <w:widowControl/>
        <w:spacing w:after="40"/>
      </w:pPr>
      <w:r>
        <w:t>IP or domain blacklisted: +0.04. Blacklisting on DNSBL lists indicates prior compromise, spam origination, or malware distribution.</w:t>
      </w:r>
    </w:p>
    <w:p>
      <w:pPr>
        <w:pStyle w:val="ListParagraph"/>
        <w:widowControl/>
        <w:spacing w:after="40"/>
      </w:pPr>
      <w:r>
        <w:t>Critical files exposed (e.g. .env, .git, backups): +0.02 per exposure, capped at +0.06. Exposed configuration files can leak credentials and infrastructure details.</w:t>
      </w:r>
    </w:p>
    <w:p>
      <w:pPr>
        <w:widowControl/>
        <w:spacing w:after="80"/>
      </w:pPr>
      <w:r>
        <w:rPr>
          <w:b/>
        </w:rPr>
        <w:t xml:space="preserve">Priority 3 — Contributing factors (hygiene indicators): </w:t>
      </w:r>
      <w:r/>
    </w:p>
    <w:p>
      <w:pPr>
        <w:pStyle w:val="ListParagraph"/>
        <w:widowControl/>
        <w:spacing w:after="40"/>
      </w:pPr>
      <w:r>
        <w:t>Credential leaks (from Dehashed): Scaled by volume. Over 100 leaks: +0.06. Between 10 and 100: +0.04. Under 10: +0.02. Leaked credentials enable credential stuffing and account takeover.</w:t>
      </w:r>
    </w:p>
    <w:p>
      <w:pPr>
        <w:pStyle w:val="ListParagraph"/>
        <w:widowControl/>
        <w:spacing w:after="40"/>
      </w:pPr>
      <w:r>
        <w:t>Breach history: +0.03 if more than 3 historical breaches. Prior breaches are a strong predictor of future incidents.</w:t>
      </w:r>
    </w:p>
    <w:p>
      <w:pPr>
        <w:pStyle w:val="ListParagraph"/>
        <w:widowControl/>
        <w:spacing w:after="40"/>
      </w:pPr>
      <w:r>
        <w:t>No DMARC record: +0.03. DMARC policy set to 'none': +0.02. Missing or unenforced DMARC leaves the domain vulnerable to phishing and business email compromise (BEC).</w:t>
      </w:r>
    </w:p>
    <w:p>
      <w:pPr>
        <w:pStyle w:val="ListParagraph"/>
        <w:widowControl/>
        <w:spacing w:after="40"/>
      </w:pPr>
      <w:r>
        <w:t>No WAF detected: +0.03. Without a web application firewall, the site is exposed to OWASP Top 10 attacks.</w:t>
      </w:r>
    </w:p>
    <w:p>
      <w:pPr>
        <w:pStyle w:val="ListParagraph"/>
        <w:widowControl/>
        <w:spacing w:after="40"/>
      </w:pPr>
      <w:r>
        <w:t>Weak SSL (grade D, E, or F): +0.03. Weak encryption can allow man-in-the-middle attacks.</w:t>
      </w:r>
    </w:p>
    <w:p>
      <w:pPr>
        <w:keepNext/>
        <w:spacing w:before="200" w:after="60"/>
      </w:pPr>
      <w:r>
        <w:rPr>
          <w:b/>
          <w:color w:val="003366"/>
          <w:sz w:val="26"/>
        </w:rPr>
        <w:t>RSI Diminishing Returns and Multipliers</w:t>
      </w:r>
    </w:p>
    <w:p>
      <w:pPr>
        <w:widowControl/>
        <w:spacing w:after="80"/>
      </w:pPr>
      <w:r>
        <w:t>To prevent score inflation from stacking many moderate findings, the RSI applies a diminishing returns function above 0.50. Below 0.50, the score is linear (each factor adds its full value). Above 0.50, each additional increment contributes progressively less — the score approaches 1.0 asymptotically but never reaches it from moderate findings alone. This means an RSI above 0.75 requires genuinely critical issues (exposed RDP, KEV CVEs, active compromise), not just an accumulation of minor hygiene gaps.</w:t>
      </w:r>
    </w:p>
    <w:p>
      <w:pPr>
        <w:widowControl/>
        <w:spacing w:after="80"/>
      </w:pPr>
      <w:r>
        <w:rPr>
          <w:b/>
        </w:rPr>
        <w:t xml:space="preserve">Industry multipliers: </w:t>
      </w:r>
      <w:r>
        <w:t>After the diminishing returns adjustment, an industry multiplier is applied. Healthcare (1.15), Legal (1.12), Finance (1.10), Government (1.12), Manufacturing (1.05), Retail (1.05), Education (1.05), Technology (1.0), Other (1.0). These reflect the empirical reality that certain industries are disproportionately targeted by ransomware operators.</w:t>
      </w:r>
    </w:p>
    <w:p>
      <w:pPr>
        <w:widowControl/>
        <w:spacing w:after="80"/>
      </w:pPr>
      <w:r>
        <w:rPr>
          <w:b/>
        </w:rPr>
        <w:t xml:space="preserve">Size multiplier: </w:t>
      </w:r>
      <w:r>
        <w:t>Large enterprises (annual revenue above R500M) receive a modest discount (0.95 multiplier) because they are assumed to have internal defences not visible to an external scan. SMEs are scored at 1.0 (neutral).</w:t>
      </w:r>
    </w:p>
    <w:p>
      <w:pPr>
        <w:widowControl/>
        <w:spacing w:after="80"/>
      </w:pPr>
      <w:r>
        <w:rPr>
          <w:b/>
        </w:rPr>
        <w:t xml:space="preserve">Risk labels: </w:t>
      </w:r>
      <w:r/>
    </w:p>
    <w:p>
      <w:pPr>
        <w:pStyle w:val="ListParagraph"/>
        <w:widowControl/>
        <w:spacing w:after="40"/>
      </w:pPr>
      <w:r>
        <w:t>Critical: RSI of 0.75 or above. Immediate action required.</w:t>
      </w:r>
    </w:p>
    <w:p>
      <w:pPr>
        <w:pStyle w:val="ListParagraph"/>
        <w:widowControl/>
        <w:spacing w:after="40"/>
      </w:pPr>
      <w:r>
        <w:t>High: RSI of 0.50 to 0.74. Significant exposure, address within 30 days.</w:t>
      </w:r>
    </w:p>
    <w:p>
      <w:pPr>
        <w:pStyle w:val="ListParagraph"/>
        <w:widowControl/>
        <w:spacing w:after="40"/>
      </w:pPr>
      <w:r>
        <w:t>Medium: RSI of 0.25 to 0.49. Moderate exposure, address within 90 days.</w:t>
      </w:r>
    </w:p>
    <w:p>
      <w:pPr>
        <w:pStyle w:val="ListParagraph"/>
        <w:widowControl/>
        <w:spacing w:after="40"/>
      </w:pPr>
      <w:r>
        <w:t>Low: RSI below 0.25. Acceptable risk posture for most organisations.</w:t>
      </w:r>
    </w:p>
    <w:p>
      <w:pPr>
        <w:widowControl/>
        <w:spacing w:after="80"/>
      </w:pPr>
      <w:r>
        <w:rPr>
          <w:b/>
          <w:color w:val="003399"/>
        </w:rPr>
        <w:t xml:space="preserve">NOTE: </w:t>
      </w:r>
      <w:r>
        <w:t>The RSI measures susceptibility to ransomware attack, not the probability of one occurring. An RSI of 0.60 does not mean there is a 60% chance of ransomware — it means the external attack surface has 60% of the observable characteristics that ransomware operators look for when selecting targets.</w:t>
      </w:r>
    </w:p>
    <w:p>
      <w:pPr>
        <w:keepNext/>
        <w:spacing w:before="200" w:after="60"/>
      </w:pPr>
      <w:r>
        <w:rPr>
          <w:b/>
          <w:color w:val="003366"/>
          <w:sz w:val="26"/>
        </w:rPr>
        <w:t>5.2  Data Breach Index (DBI)</w:t>
      </w:r>
    </w:p>
    <w:p>
      <w:pPr>
        <w:widowControl/>
        <w:spacing w:after="80"/>
      </w:pPr>
      <w:r>
        <w:t>The Data Breach Index is a 0 to 100 score that measures historical breach exposure and resilience. Unlike the RSI (where higher is worse), a higher DBI score is better — it indicates lower historical exposure and a more favourable breach profile. The DBI uses data from Have I Been Pwned (HIBP) breach records and Dehashed credential leak databases.</w:t>
      </w:r>
    </w:p>
    <w:p>
      <w:pPr>
        <w:keepNext/>
        <w:spacing w:before="200" w:after="60"/>
      </w:pPr>
      <w:r>
        <w:rPr>
          <w:b/>
          <w:color w:val="003366"/>
          <w:sz w:val="26"/>
        </w:rPr>
        <w:t>DBI Components</w:t>
      </w:r>
    </w:p>
    <w:p>
      <w:pPr>
        <w:widowControl/>
        <w:spacing w:after="80"/>
      </w:pPr>
      <w:r>
        <w:rPr>
          <w:b/>
        </w:rPr>
        <w:t xml:space="preserve">1. Breach Count (maximum 30 points): </w:t>
      </w:r>
      <w:r>
        <w:t>Zero breaches scores the full 30 points. One to three breaches scores 15 points. More than three breaches scores 0 points. Breach count is the single largest component because repeated breaches indicate systemic security weaknesses.</w:t>
      </w:r>
    </w:p>
    <w:p>
      <w:pPr>
        <w:widowControl/>
        <w:spacing w:after="80"/>
      </w:pPr>
      <w:r>
        <w:rPr>
          <w:b/>
        </w:rPr>
        <w:t xml:space="preserve">2. Recency (maximum 20 points): </w:t>
      </w:r>
      <w:r>
        <w:t>Measures how recently the most recent breach occurred. A breach within the last year scores 0 points — this is a current, active risk. A breach between one and three years ago scores 10 points. No breach in the last three years (or no breaches at all) scores the full 20 points. Recent breaches weigh more heavily because the compromised data is more likely to still be in active circulation.</w:t>
      </w:r>
    </w:p>
    <w:p>
      <w:pPr>
        <w:widowControl/>
        <w:spacing w:after="80"/>
      </w:pPr>
      <w:r>
        <w:rPr>
          <w:b/>
        </w:rPr>
        <w:t xml:space="preserve">3. Data Severity (maximum 15 points): </w:t>
      </w:r>
      <w:r>
        <w:t>Evaluates what types of data were exposed. If breaches included passwords, credit card numbers, bank account numbers, social security numbers, or financial data, the score is 0 points — these are the most damaging data classes. If only email addresses were exposed, the score is 10 points. No data exposed at all scores the full 15 points.</w:t>
      </w:r>
    </w:p>
    <w:p>
      <w:pPr>
        <w:widowControl/>
        <w:spacing w:after="80"/>
      </w:pPr>
      <w:r>
        <w:rPr>
          <w:b/>
        </w:rPr>
        <w:t xml:space="preserve">4. Credential Leaks (maximum 20 points): </w:t>
      </w:r>
      <w:r>
        <w:t>Counts credential entries found in the Dehashed database. Zero leaks scores 20 points. Up to 100 leaks scores 10 points. More than 100 leaks scores 0 points. If the Dehashed API key is not configured, a middle score of 10 points is assigned (unknown status is treated as moderate risk).</w:t>
      </w:r>
    </w:p>
    <w:p>
      <w:pPr>
        <w:widowControl/>
        <w:spacing w:after="80"/>
      </w:pPr>
      <w:r>
        <w:rPr>
          <w:b/>
        </w:rPr>
        <w:t xml:space="preserve">5. Breach Trend (maximum 15 points): </w:t>
      </w:r>
      <w:r>
        <w:t>Analyses the trajectory of breach exposure. If no breaches occurred in the last two years, the trend is 'Improving' (15 points). One or two recent breaches scores 'Stable' (7 points). Three or more recent breaches scores 'Worsening' (0 points). An improving trend signals that the organisation may have strengthened its defences since the last incident.</w:t>
      </w:r>
    </w:p>
    <w:p>
      <w:pPr>
        <w:widowControl/>
        <w:spacing w:after="80"/>
      </w:pPr>
      <w:r>
        <w:rPr>
          <w:b/>
        </w:rPr>
        <w:t xml:space="preserve">DBI labels: </w:t>
      </w:r>
      <w:r/>
    </w:p>
    <w:p>
      <w:pPr>
        <w:pStyle w:val="ListParagraph"/>
        <w:widowControl/>
        <w:spacing w:after="40"/>
      </w:pPr>
      <w:r>
        <w:t>Excellent: 80-100. Minimal historical breach exposure.</w:t>
      </w:r>
    </w:p>
    <w:p>
      <w:pPr>
        <w:pStyle w:val="ListParagraph"/>
        <w:widowControl/>
        <w:spacing w:after="40"/>
      </w:pPr>
      <w:r>
        <w:t>Good: 60-79. Low exposure with no critical data compromised recently.</w:t>
      </w:r>
    </w:p>
    <w:p>
      <w:pPr>
        <w:pStyle w:val="ListParagraph"/>
        <w:widowControl/>
        <w:spacing w:after="40"/>
      </w:pPr>
      <w:r>
        <w:t>Fair: 40-59. Moderate exposure requiring attention.</w:t>
      </w:r>
    </w:p>
    <w:p>
      <w:pPr>
        <w:pStyle w:val="ListParagraph"/>
        <w:widowControl/>
        <w:spacing w:after="40"/>
      </w:pPr>
      <w:r>
        <w:t>Poor: 20-39. Significant breach history with concerning patterns.</w:t>
      </w:r>
    </w:p>
    <w:p>
      <w:pPr>
        <w:pStyle w:val="ListParagraph"/>
        <w:widowControl/>
        <w:spacing w:after="40"/>
      </w:pPr>
      <w:r>
        <w:t>Critical: 0-19. Extensive breach exposure with active credential leaks.</w:t>
      </w:r>
    </w:p>
    <w:p>
      <w:pPr>
        <w:keepNext/>
        <w:widowControl/>
        <w:spacing w:after="80"/>
      </w:pPr>
      <w:r>
        <w:rPr>
          <w:b/>
          <w:color w:val="008000"/>
        </w:rPr>
        <w:t xml:space="preserve">TIP: </w:t>
      </w:r>
      <w:r>
        <w:t>A low DBI score does not mean a breach is inevitable — it means the organisation's historical exposure is high, which increases the probability of credential reuse attacks, phishing using leaked data, and repeat incidents. The most effective remediation is a forced password reset combined with mandatory multi-factor authentication.</w:t>
      </w:r>
    </w:p>
    <w:p>
      <w:pPr>
        <w:keepNext/>
        <w:spacing w:before="200" w:after="60"/>
      </w:pPr>
      <w:r>
        <w:rPr>
          <w:b/>
          <w:color w:val="003366"/>
          <w:sz w:val="26"/>
        </w:rPr>
        <w:t>5.3  Financial Impact Estimation (Hybrid Model)</w:t>
      </w:r>
    </w:p>
    <w:p>
      <w:pPr>
        <w:widowControl/>
        <w:spacing w:after="80"/>
      </w:pPr>
      <w:r>
        <w:t>The Financial Impact module uses a hybrid approach derived from FAIR (Factor Analysis of Information Risk) methodology, anchored to IBM SA 2025 breach cost data (R49.22 million ransom-inclusive average), Sophos SA 2025 ransomware survey data, and actual South African insurance claims data. The model produces four cost categories, seven incident types, and Monte Carlo confidence intervals for probable annual loss.</w:t>
      </w:r>
    </w:p>
    <w:p>
      <w:pPr>
        <w:keepNext/>
        <w:spacing w:before="200" w:after="60"/>
      </w:pPr>
      <w:r>
        <w:rPr>
          <w:b/>
          <w:color w:val="003366"/>
          <w:sz w:val="26"/>
        </w:rPr>
        <w:t>Hybrid engine architecture</w:t>
      </w:r>
    </w:p>
    <w:p>
      <w:pPr>
        <w:widowControl/>
        <w:spacing w:after="80"/>
      </w:pPr>
      <w:r>
        <w:t>The total breach magnitude is anchored to the IBM SA average cost (R49.22 million, ransom-inclusive) and scaled by two factors:</w:t>
      </w:r>
    </w:p>
    <w:p>
      <w:pPr>
        <w:pStyle w:val="ListParagraph"/>
        <w:widowControl/>
        <w:spacing w:after="40"/>
      </w:pPr>
      <w:r>
        <w:t>Revenue scaling with graduated elasticity — smaller organisations experience proportionally higher costs relative to revenue, while larger organisations benefit from economies of scale in incident response. The elasticity curve ensures that a R10 million-revenue company is not assigned the same absolute loss as a R500 million enterprise.</w:t>
      </w:r>
    </w:p>
    <w:p>
      <w:pPr>
        <w:pStyle w:val="ListParagraph"/>
        <w:widowControl/>
        <w:spacing w:after="40"/>
      </w:pPr>
      <w:r>
        <w:t>Industry multiplier with graduated severity — high-risk industries (financial services, healthcare, legal) receive a graduated uplift reflecting their higher regulatory exposure, data sensitivity, and historical claims frequency.</w:t>
      </w:r>
    </w:p>
    <w:p>
      <w:pPr>
        <w:widowControl/>
        <w:spacing w:after="80"/>
      </w:pPr>
      <w:r>
        <w:t>The anchored magnitude is then decomposed into five cost components:</w:t>
      </w:r>
    </w:p>
    <w:p>
      <w:pPr>
        <w:pStyle w:val="ListParagraph"/>
        <w:widowControl/>
        <w:spacing w:after="40"/>
      </w:pPr>
      <w:r>
        <w:t>C1: Post-breach liability (residual) — notification costs, credit monitoring, legal fees, reputational damage, and customer churn. This is the residual after C2-C5 are allocated.</w:t>
      </w:r>
    </w:p>
    <w:p>
      <w:pPr>
        <w:pStyle w:val="ListParagraph"/>
        <w:widowControl/>
        <w:spacing w:after="40"/>
      </w:pPr>
      <w:r>
        <w:t>C2: Regulatory fines per jurisdiction — POPIA fines (up to R10 million), GDPR exposure (4% of global turnover, uncapped) if applicable, and PCI DSS fines if applicable. Jurisdiction-specific calculations based on the scan input toggles.</w:t>
      </w:r>
    </w:p>
    <w:p>
      <w:pPr>
        <w:pStyle w:val="ListParagraph"/>
        <w:widowControl/>
        <w:spacing w:after="40"/>
      </w:pPr>
      <w:r>
        <w:t>C3: Business interruption — revenue loss during recovery. Uses a SA-calibrated PERT distribution for recovery time: PERT(3, 25, 120) days, reflecting the Sophos SA 2025 finding that SA organisations take a median of 25 days to recover from ransomware.</w:t>
      </w:r>
    </w:p>
    <w:p>
      <w:pPr>
        <w:pStyle w:val="ListParagraph"/>
        <w:widowControl/>
        <w:spacing w:after="40"/>
      </w:pPr>
      <w:r>
        <w:t>C4: Ransom/extortion — set at 10.40% of total breach magnitude, proportional to the IBM SA data decomposition. This component is only activated for ransomware-family incidents.</w:t>
      </w:r>
    </w:p>
    <w:p>
      <w:pPr>
        <w:pStyle w:val="ListParagraph"/>
        <w:widowControl/>
        <w:spacing w:after="40"/>
      </w:pPr>
      <w:r>
        <w:t>C5: Incident response — forensics, containment, eradication, and recovery costs. Tiered by organisation size: smaller companies face relatively higher IR costs (fewer internal resources), while larger companies benefit from retained IR relationships and internal SOC capabilities.</w:t>
      </w:r>
    </w:p>
    <w:p>
      <w:pPr>
        <w:keepNext/>
        <w:spacing w:before="200" w:after="60"/>
      </w:pPr>
      <w:r>
        <w:rPr>
          <w:b/>
          <w:color w:val="003366"/>
          <w:sz w:val="26"/>
        </w:rPr>
        <w:t>Four reporting categories</w:t>
      </w:r>
    </w:p>
    <w:p>
      <w:pPr>
        <w:widowControl/>
        <w:spacing w:after="80"/>
      </w:pPr>
      <w:r>
        <w:t>The five cost components are grouped into four reporting categories that align with standard insurance policy sections:</w:t>
      </w:r>
    </w:p>
    <w:p>
      <w:pPr>
        <w:pStyle w:val="ListParagraph"/>
        <w:widowControl/>
        <w:spacing w:after="40"/>
      </w:pPr>
      <w:r>
        <w:t>Data breach exposure: C1 (post-breach liability) + C2 (regulatory fines). Covers third-party liability and regulatory penalties.</w:t>
      </w:r>
    </w:p>
    <w:p>
      <w:pPr>
        <w:pStyle w:val="ListParagraph"/>
        <w:widowControl/>
        <w:spacing w:after="40"/>
      </w:pPr>
      <w:r>
        <w:t>Detection and escalation: C5 (incident response). Covers forensic investigation, notification, and containment costs.</w:t>
      </w:r>
    </w:p>
    <w:p>
      <w:pPr>
        <w:pStyle w:val="ListParagraph"/>
        <w:widowControl/>
        <w:spacing w:after="40"/>
      </w:pPr>
      <w:r>
        <w:t>Ransom demand: C4 (ransom/extortion). Covers extortion payments and negotiation costs.</w:t>
      </w:r>
    </w:p>
    <w:p>
      <w:pPr>
        <w:pStyle w:val="ListParagraph"/>
        <w:widowControl/>
        <w:spacing w:after="40"/>
      </w:pPr>
      <w:r>
        <w:t>Business interruption: C3 (business interruption). Covers revenue loss and extra expense during the recovery period.</w:t>
      </w:r>
    </w:p>
    <w:p>
      <w:pPr>
        <w:keepNext/>
        <w:spacing w:before="200" w:after="60"/>
      </w:pPr>
      <w:r>
        <w:rPr>
          <w:b/>
          <w:color w:val="003366"/>
          <w:sz w:val="26"/>
        </w:rPr>
        <w:t>Probability model</w:t>
      </w:r>
    </w:p>
    <w:p>
      <w:pPr>
        <w:widowControl/>
        <w:spacing w:after="80"/>
      </w:pPr>
      <w:r>
        <w:t>The probability of a breach event is calculated as:</w:t>
      </w:r>
    </w:p>
    <w:p>
      <w:pPr>
        <w:widowControl/>
        <w:spacing w:after="80"/>
      </w:pPr>
      <w:r>
        <w:t>p_breach = Vulnerability x TEF x 0.30</w:t>
      </w:r>
    </w:p>
    <w:p>
      <w:pPr>
        <w:widowControl/>
        <w:spacing w:after="80"/>
      </w:pPr>
      <w:r>
        <w:t>Where Vulnerability is derived from the scan findings (SSL grade, exposed services, patch posture, credential leaks) and TEF (Threat Event Frequency) is the annual frequency of attempted attacks for the organisation's industry and size profile. The 0.30 calibration factor aligns modelled probabilities with observed SA claims frequencies.</w:t>
      </w:r>
    </w:p>
    <w:p>
      <w:pPr>
        <w:widowControl/>
        <w:spacing w:after="80"/>
      </w:pPr>
      <w:r>
        <w:t>The RSI score drives ransomware-family incidents specifically. Ransomware initial access vector weights are calibrated to Sophos SA 2025 survey data:</w:t>
      </w:r>
    </w:p>
    <w:p>
      <w:pPr>
        <w:pStyle w:val="ListParagraph"/>
        <w:widowControl/>
        <w:spacing w:after="40"/>
      </w:pPr>
      <w:r>
        <w:t>Compromised credentials: 34%</w:t>
      </w:r>
    </w:p>
    <w:p>
      <w:pPr>
        <w:pStyle w:val="ListParagraph"/>
        <w:widowControl/>
        <w:spacing w:after="40"/>
      </w:pPr>
      <w:r>
        <w:t>Exploited vulnerabilities: 28%</w:t>
      </w:r>
    </w:p>
    <w:p>
      <w:pPr>
        <w:pStyle w:val="ListParagraph"/>
        <w:widowControl/>
        <w:spacing w:after="40"/>
      </w:pPr>
      <w:r>
        <w:t>Malicious email (phishing): 22%</w:t>
      </w:r>
    </w:p>
    <w:p>
      <w:pPr>
        <w:pStyle w:val="ListParagraph"/>
        <w:widowControl/>
        <w:spacing w:after="40"/>
      </w:pPr>
      <w:r>
        <w:t>Other vectors (brute force, supply chain, etc.): 16%</w:t>
      </w:r>
    </w:p>
    <w:p>
      <w:pPr>
        <w:widowControl/>
        <w:spacing w:after="80"/>
      </w:pPr>
      <w:r>
        <w:t>These weights rebalance the RSI contributing factors so that credential exposure and vulnerability posture carry appropriately higher weight in the ransomware probability calculation than secondary indicators like missing headers or weak DNS.</w:t>
      </w:r>
    </w:p>
    <w:p>
      <w:pPr>
        <w:keepNext/>
        <w:spacing w:before="200" w:after="60"/>
      </w:pPr>
      <w:r>
        <w:rPr>
          <w:b/>
          <w:color w:val="003366"/>
          <w:sz w:val="26"/>
        </w:rPr>
        <w:t>Monte Carlo simulation</w:t>
      </w:r>
    </w:p>
    <w:p>
      <w:pPr>
        <w:widowControl/>
        <w:spacing w:after="80"/>
      </w:pPr>
      <w:r>
        <w:t>The model runs 50,000 Monte Carlo iterations using PERT distributions (lambda = 4) for all uncertain parameters. PERT distributions are preferred over triangular distributions because they concentrate more probability around the most likely value while still allowing for tail events. The 50,000 iteration count gives stable tail estimation at the longest return period (P99.6, ~200 tail samples) without breaching the Render free-tier memory limit.</w:t>
      </w:r>
    </w:p>
    <w:p>
      <w:pPr>
        <w:widowControl/>
        <w:spacing w:after="80"/>
      </w:pPr>
      <w:r>
        <w:t>Key PERT parameters include SA recovery time PERT(3, 25, 120) days, cost-per-record ranges by industry, and ransom demand distributions calibrated to the Sophos SA 2025 median payment data. Catastrophe-leg PERT upper bounds were widened 2.5x to 5x for the total breach magnitude and from 7 days to 21 days for extortion downtime, reflecting the empirical SA cat events of the past five years (Transnet 2021, Life Healthcare 2020, Experian 2020) that exceeded the previous 2.5x ceiling.</w:t>
      </w:r>
    </w:p>
    <w:p>
      <w:pPr>
        <w:widowControl/>
        <w:spacing w:after="80"/>
      </w:pPr>
      <w:r>
        <w:t>The simulation produces a full probability distribution from which percentiles are extracted at five reference percentiles (P5, P25, P50, P75, P95) plus three return-period percentiles (P99 = 1-in-100 year, P99.5 = 1-in-200, P99.6 = 1-in-250). A pure-numpy Generalised Pareto Distribution Peaks-Over-Threshold fit is applied above P95 for defensible extrapolation at the longest return period; the fit falls back to raw percentiles if it fails sanity checks. Both raw and fitted values are recorded in the JSON output for audit.</w:t>
      </w:r>
    </w:p>
    <w:p>
      <w:pPr>
        <w:keepNext/>
        <w:spacing w:before="200" w:after="60"/>
      </w:pPr>
      <w:r>
        <w:rPr>
          <w:b/>
          <w:color w:val="003366"/>
          <w:sz w:val="26"/>
        </w:rPr>
        <w:t>Loss Exposure Scenarios (FAIS-safe cover sizing)</w:t>
      </w:r>
    </w:p>
    <w:p>
      <w:pPr>
        <w:widowControl/>
        <w:spacing w:after="80"/>
      </w:pPr>
      <w:r>
        <w:t>The financial impact card no longer presents a single Recommended Cover Limit figure. Under FAIS reasonable-advice and appropriate-disclosure obligations, a UMA recommending a specific cover amount constitutes financial advice; the scanner provides analytical inputs to support a broker / client cover-sizing decision rather than making that decision on behalf of the insured. The output therefore presents a Loss Exposure Scenarios table with five named figures:</w:t>
      </w:r>
    </w:p>
    <w:p>
      <w:pPr>
        <w:pStyle w:val="ListParagraph"/>
        <w:widowControl/>
        <w:spacing w:after="40"/>
      </w:pPr>
      <w:r>
        <w:t>Most Likely (mode) — the peak of the loss distribution; the single most probable annual loss outcome.</w:t>
      </w:r>
    </w:p>
    <w:p>
      <w:pPr>
        <w:pStyle w:val="ListParagraph"/>
        <w:widowControl/>
        <w:spacing w:after="40"/>
      </w:pPr>
      <w:r>
        <w:t>Median (P50) — half of all simulated outcomes fall below this figure. Reasonable anchor for premium-rating calculations.</w:t>
      </w:r>
    </w:p>
    <w:p>
      <w:pPr>
        <w:pStyle w:val="ListParagraph"/>
        <w:widowControl/>
        <w:spacing w:after="40"/>
      </w:pPr>
      <w:r>
        <w:t>1-in-100 event (P99) — the loss level expected to be exceeded once in 100 years (1% annual exceedance probability). Standard reinsurance / underwriting convention for cover sizing.</w:t>
      </w:r>
    </w:p>
    <w:p>
      <w:pPr>
        <w:pStyle w:val="ListParagraph"/>
        <w:widowControl/>
        <w:spacing w:after="40"/>
      </w:pPr>
      <w:r>
        <w:t>1-in-200 event (P99.5) — aligned with the FSCA SAM (Solvency Assessment and Management) regime's catastrophe scenario.</w:t>
      </w:r>
    </w:p>
    <w:p>
      <w:pPr>
        <w:pStyle w:val="ListParagraph"/>
        <w:widowControl/>
        <w:spacing w:after="40"/>
      </w:pPr>
      <w:r>
        <w:t>1-in-250 event (P99.6) — extreme tail view requested for catastrophe-cover discussions. GPD-fitted from the right tail of the simulation.</w:t>
      </w:r>
    </w:p>
    <w:p>
      <w:pPr>
        <w:widowControl/>
        <w:spacing w:after="80"/>
      </w:pPr>
      <w:r>
        <w:t>Selection of the appropriate cover limit from these scenarios is the responsibility of the insured in consultation with the broker. The report presents the analysis; the broker structures the cover.</w:t>
      </w:r>
    </w:p>
    <w:p>
      <w:pPr>
        <w:keepNext/>
        <w:spacing w:before="200" w:after="60"/>
      </w:pPr>
      <w:r>
        <w:rPr>
          <w:b/>
          <w:color w:val="003366"/>
          <w:sz w:val="26"/>
        </w:rPr>
        <w:t>Coverage-adjusted tail (WAF blind-spot)</w:t>
      </w:r>
    </w:p>
    <w:p>
      <w:pPr>
        <w:widowControl/>
        <w:spacing w:after="80"/>
      </w:pPr>
      <w:r>
        <w:t>When a WAF / bot-manager blocks the scan, the path-prober checkers (exposed admin panels, information disclosure, technology stack, website security, HTTP headers) return no findings. Treated naively this reads as 'clean' and would price the target as lower risk, even though the scanner simply could not see those sections. A blind spot is downside-only: a hidden finding can only make the loss worse, never better.</w:t>
      </w:r>
    </w:p>
    <w:p>
      <w:pPr>
        <w:widowControl/>
        <w:spacing w:after="80"/>
      </w:pPr>
      <w:r>
        <w:t>The model therefore widens the catastrophe percentiles (1-in-100 / 1-in-200 / 1-in-250 and the P95 upper bound) in proportion to the lost scan coverage, while leaving the most-likely and median figures, and the suggested deductible, anchored to the pre-adjustment distribution. Uncertainty is increased; the expected loss is not pulled down. Rate-limiting alone (which still returns data) does not trigger the adjustment.</w:t>
      </w:r>
    </w:p>
    <w:p>
      <w:pPr>
        <w:widowControl/>
        <w:spacing w:after="80"/>
      </w:pPr>
      <w:r>
        <w:t>When the adjustment is active, the Loss Exposure Scenarios section of the report states the WAF intervention type, the number and names of the unverified checkers, the scan coverage percentage, and the approximate percentage by which the catastrophe rows were widened. This closes the loop between the qualitative Partial Coverage Notice and the figures, and is recorded under financial_impact.coverage_adjustment in the JSON output for the FAIS audit trail.</w:t>
      </w:r>
    </w:p>
    <w:p>
      <w:pPr>
        <w:keepNext/>
        <w:spacing w:before="200" w:after="60"/>
      </w:pPr>
      <w:r>
        <w:rPr>
          <w:b/>
          <w:color w:val="003366"/>
          <w:sz w:val="26"/>
        </w:rPr>
        <w:t>Suggested deductible</w:t>
      </w:r>
    </w:p>
    <w:p>
      <w:pPr>
        <w:widowControl/>
        <w:spacing w:after="80"/>
      </w:pPr>
      <w:r>
        <w:t>The model still surfaces a suggested deductible figure as operational input for the broker, calculated as a percentage of the loss exposure scaled by the RSI score. The deductible percentage ranges from 0.5% (low risk) to 20% (critical risk) on a non-linear curve, with increments accelerating at higher risk levels. This is not a cover-limit recommendation - it is the amount the insured can reasonably self-insure as the trade-off against premium.</w:t>
      </w:r>
    </w:p>
    <w:p>
      <w:pPr>
        <w:keepNext/>
        <w:spacing w:before="200" w:after="60"/>
      </w:pPr>
      <w:r>
        <w:rPr>
          <w:b/>
          <w:color w:val="003366"/>
          <w:sz w:val="26"/>
        </w:rPr>
        <w:t>Catastrophe Regulatory Stack (C2 cost component)</w:t>
      </w:r>
    </w:p>
    <w:p>
      <w:pPr>
        <w:widowControl/>
        <w:spacing w:after="80"/>
      </w:pPr>
      <w:r>
        <w:t>The catastrophe-view C2 component sums applicable statutory maxima across every regulatory framework that could impose a fine on the scanned entity in a worst-case breach. Each statutory maximum is scaled by an Enterprise Capacity Factor that reflects how SA regulators actually behave: small entities face proportionally lower enforcement than the full ceiling, while large entities can realistically face the full statutory maximum. Without this scaling a R10M FSP would face the same cat ceiling as Sanlam at R200B - indefensible.</w:t>
      </w:r>
    </w:p>
    <w:p>
      <w:pPr>
        <w:pStyle w:val="ListParagraph"/>
        <w:widowControl/>
        <w:spacing w:after="40"/>
      </w:pPr>
      <w:r>
        <w:t>Always-on: POPIA Section 109 (R10M ceiling) + ECTA Section 89 (R1M cat estimate). POPIA Section 99 civil exposure is disclosed qualitatively but NOT included in the quantitative stack - civil exposure depends on contractual data invisible to an external scan.</w:t>
      </w:r>
    </w:p>
    <w:p>
      <w:pPr>
        <w:pStyle w:val="ListParagraph"/>
        <w:widowControl/>
        <w:spacing w:after="40"/>
      </w:pPr>
      <w:r>
        <w:t>Flag-driven: CPA Section 112 (B2C flag, 10% turnover or R1M), JSE Listings Requirements (listed_company flag, R7.5M), GDPR (EU flag, 4% turnover), PCI DSS (card flag, R700K-R1M).</w:t>
      </w:r>
    </w:p>
    <w:p>
      <w:pPr>
        <w:pStyle w:val="ListParagraph"/>
        <w:widowControl/>
        <w:spacing w:after="40"/>
      </w:pPr>
      <w:r>
        <w:t>Industry-keyed (auto-applied from sub_industry): FSCA / FAIS Section 167 (R100M cat assumption) for FS sub-industries, FIC Section 45C (R50M legal-person cap) for accountable institutions, NHA Section 17(2) + HPCSA for Health Services (R6M base; Medical Schemes Act, Pharmacy Act, SAHPRA add-ons via sub_industry_detail), Legal Practice Act / LPC for Legal Services, Electronic Communications Act / ICASA for telecoms (R50M cap), Mine Health and Safety Act (R3M) for mining sub-industries, PFMA Section 86 (R5M) for all public sector sub-industries.</w:t>
      </w:r>
    </w:p>
    <w:p>
      <w:pPr>
        <w:widowControl/>
        <w:spacing w:after="80"/>
      </w:pPr>
      <w:r>
        <w:t>Enterprise Capacity Factor revenue-band table: &lt; R10M = 0.10; R10M-R25M = 0.15; R25M-R75M = 0.25; R75M-R200M = 0.45; R200M-R500M = 0.65; R500M-R1B = 0.80; R1B-R10B = 0.95; &gt;= R10B = 1.00. Reflects the SA Information Regulator's Section 109(3) 'extent and ability' considerations and equivalent enforcement-discretion patterns across other SA regulators.</w:t>
      </w:r>
    </w:p>
    <w:p>
      <w:pPr>
        <w:widowControl/>
        <w:spacing w:after="80"/>
      </w:pPr>
      <w:r>
        <w:t>Worked example - R200M listed FS broker (B2C, accountable institution), capacity factor 0.65: POPIA R10M x 0.65 = R6.5M; ECTA R1M x 0.65 = R0.65M; CPA 10% x R200M = R20M (no factor - percentage already scales); FSCA R100M x 0.65 = R65M; FIC R50M x 0.65 = R32.5M; JSE R7.5M x 0.65 = R4.875M. Total cat stack: approximately R129.5M. The same entity at R10M revenue (capacity factor 0.15) would face approximately R24M total.</w:t>
      </w:r>
    </w:p>
    <w:p>
      <w:pPr>
        <w:keepNext/>
        <w:spacing w:before="200" w:after="60"/>
      </w:pPr>
      <w:r>
        <w:rPr>
          <w:b/>
          <w:color w:val="003366"/>
          <w:sz w:val="26"/>
        </w:rPr>
        <w:t>How flag inputs reach the cat stack (auto-detection -&gt; broker confirmation -&gt; calculation)</w:t>
      </w:r>
    </w:p>
    <w:p>
      <w:pPr>
        <w:widowControl/>
        <w:spacing w:after="80"/>
      </w:pPr>
      <w:r>
        <w:t>The catastrophe regulatory stack is driven entirely by the regulatory_flags dict that the scanner receives at scan start. Each entry in that dict (listed_company, b2c, accountable_institution, sub_industry_detail, gdpr, pci) is populated through a three-step pipeline:</w:t>
      </w:r>
    </w:p>
    <w:p>
      <w:pPr>
        <w:pStyle w:val="ListParagraph"/>
        <w:widowControl/>
        <w:spacing w:after="40"/>
      </w:pPr>
      <w:r>
        <w:t>Step 1 - Pre-flight auto-detection. When the broker enters a domain and sub-industry in the scan form, the /api/preflight endpoint runs a lightweight detection pass (typically 3-8 seconds): JSE-listed status from a curated list and homepage footer ticker scrape; B2C from sub-industry rules and payment-form signals on the homepage; accountable institution from FS / Legal Services / Real Estate sub-industry mapping; healthcare sub-detail (medical_scheme / pharmacy / pharma / hospital_clinic) from domain and page-title keywords; GDPR and PCI from page content hints. Results return as a dict of {flag_name: {auto_detected: bool, evidence: str}}.</w:t>
      </w:r>
    </w:p>
    <w:p>
      <w:pPr>
        <w:pStyle w:val="ListParagraph"/>
        <w:widowControl/>
        <w:spacing w:after="40"/>
      </w:pPr>
      <w:r>
        <w:t>Step 2 - Broker confirmation. The form pre-fills the toggle switches based on the pre-flight result and displays an 'auto-detected' badge next to each. The broker reviews, can tick or untick any flag based on context the scanner cannot observe (e.g. niche FIC accountable-institution categories like crypto providers, motor vehicle dealers, casinos), and submits. The broker's confirmed values are authoritative - they overwrite the auto-detected values for the purpose of the calculation.</w:t>
      </w:r>
    </w:p>
    <w:p>
      <w:pPr>
        <w:pStyle w:val="ListParagraph"/>
        <w:widowControl/>
        <w:spacing w:after="40"/>
      </w:pPr>
      <w:r>
        <w:t>Step 3 - Cat stack calculation. The scanner reads the broker-confirmed flags from regulatory_flags and passes them to _sector_cat_stack(sub_industry, sub_industry_detail, regulatory_flags) in scoring_analytics.py. The function resolves the applicable framework set per the rules above, applies the capacity factor based on revenue, sums into c2_cat_stack_total, and exposes the per-framework breakdown in the regulatory_exposure.catastrophe_stack JSON block. The pre-flight auto-detected dict is preserved alongside the broker-confirmed flags as regulatory_flags._auto_detected so the Regulatory Flag Audit panel can render both side-by-side for FAIS audit defensibility.</w:t>
      </w:r>
    </w:p>
    <w:p>
      <w:pPr>
        <w:widowControl/>
        <w:spacing w:after="80"/>
      </w:pPr>
      <w:r>
        <w:t>Why this architecture: the scanner can auto-detect roughly 30-90% of flags depending on the type (see Regulatory Flag Audit section below for per-flag detection accuracy). For the cases it cannot detect, the broker's domain knowledge (unlisted subsidiaries, EU customer relationships, niche FIC categories) is the safety net. The audit panel keeps both values visible so the FAIS-compliance review can verify the broker's input was reasonable given what the scanner observed.</w:t>
      </w:r>
    </w:p>
    <w:p>
      <w:pPr>
        <w:keepNext/>
        <w:spacing w:before="200" w:after="60"/>
      </w:pPr>
      <w:r>
        <w:rPr>
          <w:b/>
          <w:color w:val="003366"/>
          <w:sz w:val="26"/>
        </w:rPr>
        <w:t>Peer Benchmarking (1.0-10.0 rating + percentile rank)</w:t>
      </w:r>
    </w:p>
    <w:p>
      <w:pPr>
        <w:widowControl/>
        <w:spacing w:after="80"/>
      </w:pPr>
      <w:r>
        <w:t>Every scan compares the assessed organisation's overall risk score against a pool of peer benchmark scans matching industry, sub-industry, and revenue band. The result is surfaced as two complementary metrics:</w:t>
      </w:r>
    </w:p>
    <w:p>
      <w:pPr>
        <w:pStyle w:val="ListParagraph"/>
        <w:widowControl/>
        <w:spacing w:after="40"/>
      </w:pPr>
      <w:r>
        <w:t>Peer rating (1.0-10.0, higher = better) - derived from the percentile rank of the assessed scan's (inverted) risk score against the peer pool. The rating is purely comparative; it does NOT replace the existing 0-1000 risk score that drives the remediation roadmap. Rating formula: 1.0 + 9.0 * (percentile / 100).</w:t>
      </w:r>
    </w:p>
    <w:p>
      <w:pPr>
        <w:pStyle w:val="ListParagraph"/>
        <w:widowControl/>
        <w:spacing w:after="40"/>
      </w:pPr>
      <w:r>
        <w:t>Percentile rank (0-100%) - what fraction of peers have a worse (higher) risk score. Interpretation labels: 'top quartile' (&gt;= 75th percentile), 'above peer median' (50-74th), 'below peer median' (25-49th), 'bottom quartile' (&lt; 25th).</w:t>
      </w:r>
    </w:p>
    <w:p>
      <w:pPr>
        <w:widowControl/>
        <w:spacing w:after="80"/>
      </w:pPr>
      <w:r>
        <w:t>Hero strip metrics. The peer-benchmarking card surfaces four stats at-a-glance, replacing the previously-considered compliance % (which could not be reliably determined from external scans alone - only ~10 of ~250 PCI sub-requirements are externally observable, with a similar gap for POPIA Section 19):</w:t>
      </w:r>
    </w:p>
    <w:p>
      <w:pPr>
        <w:pStyle w:val="ListParagraph"/>
        <w:widowControl/>
        <w:spacing w:after="40"/>
      </w:pPr>
      <w:r>
        <w:t>Risk Score (0-1000, lower = worse) - this scan</w:t>
      </w:r>
    </w:p>
    <w:p>
      <w:pPr>
        <w:pStyle w:val="ListParagraph"/>
        <w:widowControl/>
        <w:spacing w:after="40"/>
      </w:pPr>
      <w:r>
        <w:t>Peer Rating (1.0-10.0, higher = better) - comparative</w:t>
      </w:r>
    </w:p>
    <w:p>
      <w:pPr>
        <w:pStyle w:val="ListParagraph"/>
        <w:widowControl/>
        <w:spacing w:after="40"/>
      </w:pPr>
      <w:r>
        <w:t>Critical Findings (count) - cross-checker aggregate of CRITICAL-severity issues across shodan_vulns, exposed_admin, high_risk_protocols, info_disclosure, ssl (F-grade or expired), dehashed (plaintext passwords), hudson_rock (active infostealer hits), external_ips (max-risk IPs).</w:t>
      </w:r>
    </w:p>
    <w:p>
      <w:pPr>
        <w:pStyle w:val="ListParagraph"/>
        <w:widowControl/>
        <w:spacing w:after="40"/>
      </w:pPr>
      <w:r>
        <w:t>Percentile (0-100%) - position in peer distribution.</w:t>
      </w:r>
    </w:p>
    <w:p>
      <w:pPr>
        <w:widowControl/>
        <w:spacing w:after="80"/>
      </w:pPr>
      <w:r>
        <w:t>Cell fallback. The benchmark pool is keyed by (industry, sub_industry, revenue_band). When the most-specific cell has fewer than 5 peer scans, the lookup walks up a fallback ladder:</w:t>
      </w:r>
    </w:p>
    <w:p>
      <w:pPr>
        <w:pStyle w:val="ListParagraph"/>
        <w:widowControl/>
        <w:spacing w:after="40"/>
      </w:pPr>
      <w:r>
        <w:t>industry + sub_industry + revenue_band (most specific)</w:t>
      </w:r>
    </w:p>
    <w:p>
      <w:pPr>
        <w:pStyle w:val="ListParagraph"/>
        <w:widowControl/>
        <w:spacing w:after="40"/>
      </w:pPr>
      <w:r>
        <w:t>industry + sub_industry (revenue band relaxed)</w:t>
      </w:r>
    </w:p>
    <w:p>
      <w:pPr>
        <w:pStyle w:val="ListParagraph"/>
        <w:widowControl/>
        <w:spacing w:after="40"/>
      </w:pPr>
      <w:r>
        <w:t>industry + revenue_band (sub-industry relaxed)</w:t>
      </w:r>
    </w:p>
    <w:p>
      <w:pPr>
        <w:pStyle w:val="ListParagraph"/>
        <w:widowControl/>
        <w:spacing w:after="40"/>
      </w:pPr>
      <w:r>
        <w:t>industry only</w:t>
      </w:r>
    </w:p>
    <w:p>
      <w:pPr>
        <w:pStyle w:val="ListParagraph"/>
        <w:widowControl/>
        <w:spacing w:after="40"/>
      </w:pPr>
      <w:r>
        <w:t>global pool (last resort)</w:t>
      </w:r>
    </w:p>
    <w:p>
      <w:pPr>
        <w:widowControl/>
        <w:spacing w:after="80"/>
      </w:pPr>
      <w:r>
        <w:t>The cell used is disclosed in the report so brokers know how specific the peer comparison is.</w:t>
      </w:r>
    </w:p>
    <w:p>
      <w:pPr>
        <w:widowControl/>
        <w:spacing w:after="80"/>
      </w:pPr>
      <w:r>
        <w:t>Revenue bands match the capacity-factor table in the catastrophe regulatory stack:</w:t>
      </w:r>
    </w:p>
    <w:p>
      <w:pPr>
        <w:pStyle w:val="ListParagraph"/>
        <w:widowControl/>
        <w:spacing w:after="40"/>
      </w:pPr>
      <w:r>
        <w:t>Micro: &lt; R10M</w:t>
      </w:r>
    </w:p>
    <w:p>
      <w:pPr>
        <w:pStyle w:val="ListParagraph"/>
        <w:widowControl/>
        <w:spacing w:after="40"/>
      </w:pPr>
      <w:r>
        <w:t>Small: R10M - R50M</w:t>
      </w:r>
    </w:p>
    <w:p>
      <w:pPr>
        <w:pStyle w:val="ListParagraph"/>
        <w:widowControl/>
        <w:spacing w:after="40"/>
      </w:pPr>
      <w:r>
        <w:t>Medium: R50M - R200M</w:t>
      </w:r>
    </w:p>
    <w:p>
      <w:pPr>
        <w:pStyle w:val="ListParagraph"/>
        <w:widowControl/>
        <w:spacing w:after="40"/>
      </w:pPr>
      <w:r>
        <w:t>Large: R200M - R1B</w:t>
      </w:r>
    </w:p>
    <w:p>
      <w:pPr>
        <w:pStyle w:val="ListParagraph"/>
        <w:widowControl/>
        <w:spacing w:after="40"/>
      </w:pPr>
      <w:r>
        <w:t>Major: &gt;= R1B</w:t>
      </w:r>
    </w:p>
    <w:p>
      <w:pPr>
        <w:widowControl/>
        <w:spacing w:after="80"/>
      </w:pPr>
      <w:r>
        <w:t>Pool composition. Three source classes of benchmark scan, all tagged in the database so the report can disclose what the comparison draws from:</w:t>
      </w:r>
    </w:p>
    <w:p>
      <w:pPr>
        <w:pStyle w:val="ListParagraph"/>
        <w:widowControl/>
        <w:spacing w:after="40"/>
      </w:pPr>
      <w:r>
        <w:t>'benchmark_pool' - bi-weekly public-domain reference scans curated by Phishield. ~60 SA reference companies covering top JSE-listed entities + mid-market across Finance, Healthcare, Communications, Retail, Manufacturing, Mining, Technology, Transportation, Services, Public Sector. No consent needed (public infrastructure).</w:t>
      </w:r>
    </w:p>
    <w:p>
      <w:pPr>
        <w:pStyle w:val="ListParagraph"/>
        <w:widowControl/>
        <w:spacing w:after="40"/>
      </w:pPr>
      <w:r>
        <w:t>'lower_tier_upsell' - scans of Phishield's existing lower-tier client cohort (~4,000 entities) run as part of the premier-tier upsell flow. Phishield owns the client relationship directly (no broker intermediating), so consent is implicit in the existing service agreement. Provides substantial peer-pool depth in the SA market segments Phishield actually underwrites, but the cohort may not be perfectly representative of true industry median - this is disclosed in the report so brokers can weight the comparison accordingly.</w:t>
      </w:r>
    </w:p>
    <w:p>
      <w:pPr>
        <w:pStyle w:val="ListParagraph"/>
        <w:widowControl/>
        <w:spacing w:after="40"/>
      </w:pPr>
      <w:r>
        <w:t>'client_optin' - scans run by brokers via the risk advisory service for their clients, contributed to the pool with explicit consent. Default opt-out. Drives longer-term benchmark quality.</w:t>
      </w:r>
    </w:p>
    <w:p>
      <w:pPr>
        <w:widowControl/>
        <w:spacing w:after="80"/>
      </w:pPr>
      <w:r>
        <w:t>Refresh cadence: bi-weekly (14 days). The benchmark_runner.py CLI scans the curated reference list and persists results to the benchmark_scans table. Pool freshness window is 90 days (3x the refresh cadence) so a missed cycle does not break peer ratings. Stale entries are automatically excluded from percentile calculations.</w:t>
      </w:r>
    </w:p>
    <w:p>
      <w:pPr>
        <w:widowControl/>
        <w:spacing w:after="80"/>
      </w:pPr>
      <w:r>
        <w:t>Privacy / POPIA compliance: benchmark scans run against public-facing infrastructure only. No authenticated traffic, no credentials submitted, no exploit attempts. The benchmark pool is segregated from client scan records by the 'source' tag - it is impossible to attribute a peer-pool entry to a specific broker's client. Pool composition is disclosed in every report so brokers and clients see what the benchmark draws from.</w:t>
      </w:r>
    </w:p>
    <w:p>
      <w:pPr>
        <w:keepNext/>
        <w:spacing w:before="200" w:after="60"/>
      </w:pPr>
      <w:r>
        <w:rPr>
          <w:b/>
          <w:color w:val="003366"/>
          <w:sz w:val="26"/>
        </w:rPr>
        <w:t>Cat Modelling Validity Notice (records-based)</w:t>
      </w:r>
    </w:p>
    <w:p>
      <w:pPr>
        <w:widowControl/>
        <w:spacing w:after="80"/>
      </w:pPr>
      <w:r>
        <w:t>The data-breach component of the catastrophe modelling (C1) is computed as the residual after subtracting C2 (regulatory fines) + C3 (revenue loss) + C4 (ransom) + C5 (incident-response costs) from the IBM SA Cost of a Data Breach 2025 industry-typical total breach anchor. The records-per-revenue heuristic is NOT used in the breach cost calculation itself; the IBM anchor IS the calibration. The records heuristic is surfaced as transparency about the scale the IBM regression assumes, and to anchor the per-industry validity ceiling above which the cat modelling stops being reliable.</w:t>
      </w:r>
    </w:p>
    <w:p>
      <w:pPr>
        <w:widowControl/>
        <w:spacing w:after="80"/>
      </w:pPr>
      <w:r>
        <w:t>Industry records-per-revenue divisor (transparency context for the broker; rand of revenue per sensitive record held, on average):</w:t>
      </w:r>
    </w:p>
    <w:p>
      <w:pPr>
        <w:pStyle w:val="ListParagraph"/>
        <w:widowControl/>
        <w:spacing w:after="40"/>
      </w:pPr>
      <w:r>
        <w:t>Record-heavy industries: Finance / Banks R5,000-R7,500 per record; Telecommunications R5,000; Healthcare R9,000; Insurance R18,000; Education R25,000; Retail R30,000.</w:t>
      </w:r>
    </w:p>
    <w:p>
      <w:pPr>
        <w:pStyle w:val="ListParagraph"/>
        <w:widowControl/>
        <w:spacing w:after="40"/>
      </w:pPr>
      <w:r>
        <w:t>Mid-range: Hospitality R20,000; Services / Software R50,000; Public Sector R50,000; Pharmaceuticals R50,000; Energy R100,000; Transportation R100,000.</w:t>
      </w:r>
    </w:p>
    <w:p>
      <w:pPr>
        <w:pStyle w:val="ListParagraph"/>
        <w:widowControl/>
        <w:spacing w:after="40"/>
      </w:pPr>
      <w:r>
        <w:t>Low-record industries: Manufacturing R500,000; Construction R500,000; Agriculture R1,000,000 per record (mostly B2B with few PII holdings).</w:t>
      </w:r>
    </w:p>
    <w:p>
      <w:pPr>
        <w:widowControl/>
        <w:spacing w:after="80"/>
      </w:pPr>
      <w:r>
        <w:t>Per-industry cat-modelling validity ceiling - the record-count threshold above which the IBM-anchored cat exposure no longer represents realistic worst-case loss. Above this ceiling the cat figures in the report should be treated as a FLOOR estimate only and the broker should request a bespoke actuarial review:</w:t>
      </w:r>
    </w:p>
    <w:p>
      <w:pPr>
        <w:pStyle w:val="ListParagraph"/>
        <w:widowControl/>
        <w:spacing w:after="40"/>
      </w:pPr>
      <w:r>
        <w:t>High-anchor industries (more IBM headroom): Finance / Banks 500,000 records; Healthcare 400,000; Public Sector 300,000; Technology / Tech 300,000; Pharmaceuticals 300,000.</w:t>
      </w:r>
    </w:p>
    <w:p>
      <w:pPr>
        <w:pStyle w:val="ListParagraph"/>
        <w:widowControl/>
        <w:spacing w:after="40"/>
      </w:pPr>
      <w:r>
        <w:t>Mid-anchor industries: Insurance 250,000; Retail 250,000; Services 250,000; Education 250,000; Communications / Telecoms 250,000; Hospitality 200,000; Media / Entertainment 200,000.</w:t>
      </w:r>
    </w:p>
    <w:p>
      <w:pPr>
        <w:pStyle w:val="ListParagraph"/>
        <w:widowControl/>
        <w:spacing w:after="40"/>
      </w:pPr>
      <w:r>
        <w:t>Low-anchor industries: Energy 150,000; Transportation 150,000; Manufacturing 100,000; Construction 100,000; Agriculture 50,000.</w:t>
      </w:r>
    </w:p>
    <w:p>
      <w:pPr>
        <w:widowControl/>
        <w:spacing w:after="80"/>
      </w:pPr>
      <w:r>
        <w:t>Why the ceiling matters: above the per-industry threshold, several cost components scale super-linearly outside the IBM calibration window and the cat exposure understates realistic worst-case loss:</w:t>
      </w:r>
    </w:p>
    <w:p>
      <w:pPr>
        <w:pStyle w:val="ListParagraph"/>
        <w:widowControl/>
        <w:spacing w:after="40"/>
      </w:pPr>
      <w:r>
        <w:t>POPIA Section 22 breach-notification costs - each affected data subject must be notified, so cost scales linearly with record count (R1-2 per subject for SMS, more for postal notification, multiplied across millions of subjects for outlier cases).</w:t>
      </w:r>
    </w:p>
    <w:p>
      <w:pPr>
        <w:pStyle w:val="ListParagraph"/>
        <w:widowControl/>
        <w:spacing w:after="40"/>
      </w:pPr>
      <w:r>
        <w:t>POPIA Section 99 civil exposure - uncapped per affected subject; class action exposure scales with record count, not revenue.</w:t>
      </w:r>
    </w:p>
    <w:p>
      <w:pPr>
        <w:pStyle w:val="ListParagraph"/>
        <w:widowControl/>
        <w:spacing w:after="40"/>
      </w:pPr>
      <w:r>
        <w:t>Regulator escalation - the Information Regulator's Section 109(3) 'extent and number of subjects' factor pushes fines toward statutory maxima for very large breach sizes.</w:t>
      </w:r>
    </w:p>
    <w:p>
      <w:pPr>
        <w:pStyle w:val="ListParagraph"/>
        <w:widowControl/>
        <w:spacing w:after="40"/>
      </w:pPr>
      <w:r>
        <w:t>Forensic / IR scope - grows non-linearly above ~250K records because the investigation must trace each affected subject's data flows.</w:t>
      </w:r>
    </w:p>
    <w:p>
      <w:pPr>
        <w:widowControl/>
        <w:spacing w:after="80"/>
      </w:pPr>
      <w:r>
        <w:t>Common outlier cases the disclosure is designed to surface:</w:t>
      </w:r>
    </w:p>
    <w:p>
      <w:pPr>
        <w:pStyle w:val="ListParagraph"/>
        <w:widowControl/>
        <w:spacing w:after="40"/>
      </w:pPr>
      <w:r>
        <w:t>Small fintechs (e.g. R10M revenue, 500,000+ user records). Heuristic estimates ~1,300 records; reality is 100-1000x that. Far above the 500,000-record validity ceiling for Finance.</w:t>
      </w:r>
    </w:p>
    <w:p>
      <w:pPr>
        <w:pStyle w:val="ListParagraph"/>
        <w:widowControl/>
        <w:spacing w:after="40"/>
      </w:pPr>
      <w:r>
        <w:t>Health-tech aggregators (e.g. lab-result platforms, telemedicine, patient-portal SaaS). Heuristic underestimates by 10-50x typically; can exceed the 400,000-record Healthcare ceiling on a small revenue footprint.</w:t>
      </w:r>
    </w:p>
    <w:p>
      <w:pPr>
        <w:pStyle w:val="ListParagraph"/>
        <w:widowControl/>
        <w:spacing w:after="40"/>
      </w:pPr>
      <w:r>
        <w:t>Marketing / loyalty platforms with massive customer databases relative to revenue (e.g. B2B SaaS holding their customers' end-customer lists).</w:t>
      </w:r>
    </w:p>
    <w:p>
      <w:pPr>
        <w:pStyle w:val="ListParagraph"/>
        <w:widowControl/>
        <w:spacing w:after="40"/>
      </w:pPr>
      <w:r>
        <w:t>Data brokers and breach-list resellers - large record holdings irrespective of revenue.</w:t>
      </w:r>
    </w:p>
    <w:p>
      <w:pPr>
        <w:widowControl/>
        <w:spacing w:after="80"/>
      </w:pPr>
      <w:r>
        <w:t>FAIS appropriate-disclosure compliance: the model's record-count assumption and validity ceiling must be visible to the broker and client so they can flag when the calculation does not match the organisation's actual data holdings. The other components of the financial impact estimate (ransomware, business interruption, regulatory fines) are revenue-driven and are not directly affected by record-count outliers, but regulatory exposure DOES escalate at very high breach sizes (s109(3) extent factor), which the cat regulatory stack does not separately model.</w:t>
      </w:r>
    </w:p>
    <w:p>
      <w:pPr>
        <w:keepNext/>
        <w:spacing w:before="200" w:after="60"/>
      </w:pPr>
      <w:r>
        <w:rPr>
          <w:b/>
          <w:color w:val="003366"/>
          <w:sz w:val="26"/>
        </w:rPr>
        <w:t>Civil Liability Disclosure</w:t>
      </w:r>
    </w:p>
    <w:p>
      <w:pPr>
        <w:widowControl/>
        <w:spacing w:after="80"/>
      </w:pPr>
      <w:r>
        <w:t>The financial impact figures presented in this report exclude civil liability arising from contractual or common-law obligations - specifically POPIA Section 99 civil action, common-law delict, contractual indemnities, master service agreement penalties, and third-party claims. These exposures cannot be quantified from an external security assessment because they depend on contracts, customer terms, supplier liabilities, and indemnity clauses held by the organisation under assessment.</w:t>
      </w:r>
    </w:p>
    <w:p>
      <w:pPr>
        <w:widowControl/>
        <w:spacing w:after="80"/>
      </w:pPr>
      <w:r>
        <w:t>Civil exposure is uncapped under POPIA Section 99 and South African common law and can materially exceed the regulatory fine figures shown. Section 99 explicitly permits a court to award patrimonial loss, non-patrimonial loss, aggravated damages, and costs - no statutory cap applies. The disclosure paragraph in the report directs legal counsel and the organisation's risk officer to review contractual exposures alongside the report when determining appropriate cover.</w:t>
      </w:r>
    </w:p>
    <w:p>
      <w:pPr>
        <w:keepNext/>
        <w:spacing w:before="200" w:after="60"/>
      </w:pPr>
      <w:r>
        <w:rPr>
          <w:b/>
          <w:color w:val="003366"/>
          <w:sz w:val="26"/>
        </w:rPr>
        <w:t>Regulatory Flag Audit (FAIS audit trail)</w:t>
      </w:r>
    </w:p>
    <w:p>
      <w:pPr>
        <w:widowControl/>
        <w:spacing w:after="80"/>
      </w:pPr>
      <w:r>
        <w:t>Every scan records both the broker's input on each regulatory flag (listed_company / b2c / accountable_institution / GDPR / PCI / healthcare sub-detail) AND what the pre-flight scan auto-detected independently. The audit panel in the full PDF and HTML report shows these side-by-side with the evidence for each auto-detection. Broker input drives the catastrophe stack calculation - the broker's value is authoritative - but the auto-detected value remains visible as an independent check for FAIS audit defensibility.</w:t>
      </w:r>
    </w:p>
    <w:p>
      <w:pPr>
        <w:widowControl/>
        <w:spacing w:after="80"/>
      </w:pPr>
      <w:r>
        <w:t>Auto-detection sources: JSE-listed company is detected from a curated list of ~50 JSE-listed entities plus a footer ticker scrape ('JSE: TICKER' pattern). Accountable institution is inferred from the FS / Legal Services / Real Estate sub-industry mapping (per FIC Act Schedule 1). B2C is inferred from consumer-facing sub-industry labels plus payment-form signals from the homepage probe. Healthcare sub-detail is keyword-classified from domain and page title (medical_scheme / pharmacy / pharma / hospital_clinic).</w:t>
      </w:r>
    </w:p>
    <w:p>
      <w:pPr>
        <w:widowControl/>
        <w:spacing w:after="80"/>
      </w:pPr>
      <w:r>
        <w:t>Insurance sub-type classifier: a separate keyword classifier runs against insurance-related FS sub-industries to distinguish the four entity types that SA FAIS / Insurance Act regulation treats differently but the SIC code lumps together:</w:t>
      </w:r>
    </w:p>
    <w:p>
      <w:pPr>
        <w:pStyle w:val="ListParagraph"/>
        <w:widowControl/>
        <w:spacing w:after="40"/>
      </w:pPr>
      <w:r>
        <w:t>UMA (Underwriting Management Agent) - underwrites on behalf of an insurer and reaches the market only via brokers. Cannot transact directly with consumers under SA insurance regulation. When detected, B2C is explicitly negated with the evidence string 'Underwriting Management Agent - cannot sell directly to consumers under SA insurance regulatory structure (B2B only)'.</w:t>
      </w:r>
    </w:p>
    <w:p>
      <w:pPr>
        <w:pStyle w:val="ListParagraph"/>
        <w:widowControl/>
        <w:spacing w:after="40"/>
      </w:pPr>
      <w:r>
        <w:t>Reinsurer - sells exclusively to other insurers. B2B by definition. B2C is auto-negated when this pattern is detected.</w:t>
      </w:r>
    </w:p>
    <w:p>
      <w:pPr>
        <w:pStyle w:val="ListParagraph"/>
        <w:widowControl/>
        <w:spacing w:after="40"/>
      </w:pPr>
      <w:r>
        <w:t>Insurance broker - serves a mix of consumers and businesses. B2C status depends on the specific client; the classifier leaves B2C unset and the broker confirms based on client knowledge.</w:t>
      </w:r>
    </w:p>
    <w:p>
      <w:pPr>
        <w:pStyle w:val="ListParagraph"/>
        <w:widowControl/>
        <w:spacing w:after="40"/>
      </w:pPr>
      <w:r>
        <w:t>Insurance carrier - direct insurer. B2C status depends on the distribution model; broker confirms.</w:t>
      </w:r>
    </w:p>
    <w:p>
      <w:pPr>
        <w:widowControl/>
        <w:spacing w:after="80"/>
      </w:pPr>
      <w:r>
        <w:t>This refinement was driven by the 2026-05-15 audit of Phishield's own scan: the SIC sub-industry 'Insurance Agents, Brokers, And Service' was previously auto-ticking B2C even for UMAs that are B2B-only by regulation. The fix removes those FS sub-industries from the default-B2C list and adds the keyword classifier so UMAs and reinsurers are explicitly recognised and B2C is correctly negated for them.</w:t>
      </w:r>
    </w:p>
    <w:p>
      <w:pPr>
        <w:keepNext/>
        <w:spacing w:before="200" w:after="60"/>
      </w:pPr>
      <w:r>
        <w:rPr>
          <w:b/>
          <w:color w:val="003366"/>
          <w:sz w:val="26"/>
        </w:rPr>
        <w:t>HTTP client architecture (rate limit, WAF detection, scanner identity)</w:t>
      </w:r>
    </w:p>
    <w:p>
      <w:pPr>
        <w:widowControl/>
        <w:spacing w:after="80"/>
      </w:pPr>
      <w:r>
        <w:t>All outbound HTTP traffic from the scanner routes through a single chokepoint in http_client.py. This is the same pattern used by Bitsight, SecurityScorecard, Coalition, CFC, Black Kite, and RiskRecon - the established players in external risk rating - and is the industry-standard way to behave passively at scale.</w:t>
      </w:r>
    </w:p>
    <w:p>
      <w:pPr>
        <w:pStyle w:val="ListParagraph"/>
        <w:widowControl/>
        <w:spacing w:after="40"/>
      </w:pPr>
      <w:r>
        <w:t>Per-apex token-bucket rate limit at 2 requests/second with burst capacity 5. A single scan can never burst more than 5 concurrent requests at any one target apex, irrespective of how many checkers run in parallel. Different apexes (the scan target, Shodan, VirusTotal, etc.) each get their own bucket, so external API calls are not bottlenecked by target probing.</w:t>
      </w:r>
    </w:p>
    <w:p>
      <w:pPr>
        <w:pStyle w:val="ListParagraph"/>
        <w:widowControl/>
        <w:spacing w:after="40"/>
      </w:pPr>
      <w:r>
        <w:t>Identifying User-Agent on every request: Phishield-Scanner/1.0 (+https://phishield.com/scanner-info). The embedded URL points at a public scanner-identity page that security teams investigating scanner traffic can use to verify legitimacy out-of-band. This mirrors how Bitsight publishes its scanner ranges and how SecurityScorecard documents its research agents.</w:t>
      </w:r>
    </w:p>
    <w:p>
      <w:pPr>
        <w:pStyle w:val="ListParagraph"/>
        <w:widowControl/>
        <w:spacing w:after="40"/>
      </w:pPr>
      <w:r>
        <w:t>HEAD-first discovery: path-existence checks use HEAD requests rather than GET, reducing bandwidth and significantly lowering the WAF 'directory enumeration' signature that bursts of GETs typically trip. GET is only issued when the response body is needed for content analysis.</w:t>
      </w:r>
    </w:p>
    <w:p>
      <w:pPr>
        <w:pStyle w:val="ListParagraph"/>
        <w:widowControl/>
        <w:spacing w:after="40"/>
      </w:pPr>
      <w:r>
        <w:t>WAF / bot-manager detection: a sliding-window response monitor per apex tracks the last 20 responses. The apex is flagged as WAF-protected when any of (a) &gt;= 40% of responses are 403/406/451, (b) &gt;= 25% are 429/503, (c) &gt;= 50% are timeouts, or (d) a known challenge-page signature (Cloudflare, Akamai, Imperva, DataDome, PerimeterX, hCaptcha) is detected in a response body.</w:t>
      </w:r>
    </w:p>
    <w:p>
      <w:pPr>
        <w:pStyle w:val="ListParagraph"/>
        <w:widowControl/>
        <w:spacing w:after="40"/>
      </w:pPr>
      <w:r>
        <w:t>Probe-cache interface slot: the HttpClient accepts a ProbeCache implementation in its constructor. Default is a no-op cache (every lookup misses). The interface contract is documented in http_client.py and gap analysis SCN-026. When the continuous-monitoring scheduler is built, a SQLite-backed cache slots in at module import time with no checker code changes required. Cache refresh rules are status-dependent: 2xx 24h, 404 7d (with 10% spot-check), 5xx 1h, WAF 6h, rate-limited 30m, timeout 1h.</w:t>
      </w:r>
    </w:p>
    <w:p>
      <w:pPr>
        <w:keepNext/>
        <w:spacing w:before="200" w:after="60"/>
      </w:pPr>
      <w:r>
        <w:rPr>
          <w:b/>
          <w:color w:val="003366"/>
          <w:sz w:val="26"/>
        </w:rPr>
        <w:t>WAF Intervention Partial Coverage Notice</w:t>
      </w:r>
    </w:p>
    <w:p>
      <w:pPr>
        <w:widowControl/>
        <w:spacing w:after="80"/>
      </w:pPr>
      <w:r>
        <w:t>When the WAF tracker flags the target apex as protected, the scan continues but renders a Partial Coverage Notice in both the PDF report and the HTML dashboard. The notice appears immediately after the executive summary and again above the Insurance Analytics section.</w:t>
      </w:r>
    </w:p>
    <w:p>
      <w:pPr>
        <w:widowControl/>
        <w:spacing w:after="80"/>
      </w:pPr>
      <w:r>
        <w:t>FAIS reasonable-advice compliance: the report must not produce false-negative findings when the scan was actively blocked. Absence of a finding in a WAF-affected section does NOT confirm absence of the underlying risk - it indicates the scanner could not verify it. The notice explicitly tells the broker and client this, with the detected pattern (challenge page / 403 / 429 / timeouts), the approximate coverage percentage, and the affected checker count. Without this notice the report would mislead.</w:t>
      </w:r>
    </w:p>
    <w:p>
      <w:pPr>
        <w:widowControl/>
        <w:spacing w:after="80"/>
      </w:pPr>
      <w:r>
        <w:t>The notice is NOT a scanner limitation. WAF / bot-manager intervention is a deliberate protective behaviour by the target. Industry-leading scanners (Bitsight, SecurityScorecard, Coalition, CFC) all report ~10-15% partial-data scans across their portfolios and surface this explicitly rather than suppressing it. A rescan from a different source IP, or coordination with the target's security team via /scanner-info, may be required for complete coverage.</w:t>
      </w:r>
    </w:p>
    <w:p>
      <w:pPr>
        <w:keepNext/>
        <w:spacing w:before="200" w:after="60"/>
      </w:pPr>
      <w:r>
        <w:rPr>
          <w:b/>
          <w:color w:val="003366"/>
          <w:sz w:val="26"/>
        </w:rPr>
        <w:t>Public scanner-identity page</w:t>
      </w:r>
    </w:p>
    <w:p>
      <w:pPr>
        <w:widowControl/>
        <w:spacing w:after="80"/>
      </w:pPr>
      <w:r>
        <w:t>The Phishield Scanner exposes a public, indexable, stable URL at /scanner-info on the scanner host. The page documents: the scanner's operator (Phishield UMA, FSP 46418); what the scanner does and does not do; the typical request profile (2 req/sec, HEAD-first, no exploit attempts, no POST against targets); the source network (Render egress); a sample WAF whitelist rule for security teams who want to allow the scanner explicitly; and a security contact email. The URL is embedded in every scanner request's User-Agent header so security teams encountering scanner traffic can verify legitimacy without contacting Phishield first.</w:t>
      </w:r>
    </w:p>
    <w:p>
      <w:pPr>
        <w:keepNext/>
        <w:spacing w:before="200" w:after="60"/>
      </w:pPr>
      <w:r>
        <w:rPr>
          <w:b/>
          <w:color w:val="003366"/>
          <w:sz w:val="26"/>
        </w:rPr>
        <w:t>Per-checker Scan Duration Profile</w:t>
      </w:r>
    </w:p>
    <w:p>
      <w:pPr>
        <w:widowControl/>
        <w:spacing w:after="80"/>
      </w:pPr>
      <w:r>
        <w:t>Each scan records per-checker wall-clock timing in a Scan Duration Profile section in the full PDF. This serves both as a quality signal for brokers (the report can demonstrate the scan completed within agreed SLA) and as an operational diagnostic primitive (the longest-running checkers can be identified at a glance). The 'running' status emitted during the scan is also corrected to indicate actual execution rather than queue position - previously all queued checkers displayed as 'running' regardless of whether a worker thread had picked them up.</w:t>
      </w:r>
    </w:p>
    <w:p>
      <w:pPr>
        <w:widowControl/>
        <w:spacing w:after="80"/>
      </w:pPr>
      <w:r>
        <w:rPr>
          <w:b/>
          <w:color w:val="003399"/>
        </w:rPr>
        <w:t xml:space="preserve">NOTE: </w:t>
      </w:r>
      <w:r>
        <w:t>The financial estimates are modelled projections, not guarantees. They are based on externally observable data combined with IBM SA benchmarks, Sophos SA 2025 ransomware data, and actual SA insurance claims experience. Actual losses may be higher or lower depending on internal controls, incident response capability, and the specific nature of any incident. Use these figures as a data-driven starting point for insurance discussions, not as actuarial certainties.</w:t>
      </w:r>
    </w:p>
    <w:p>
      <w:pPr>
        <w:widowControl/>
        <w:spacing w:after="80"/>
      </w:pPr>
      <w:r>
        <w:rPr>
          <w:b/>
          <w:color w:val="B40000"/>
        </w:rPr>
        <w:t xml:space="preserve">WARNING: </w:t>
      </w:r>
      <w:r>
        <w:t>The breach cost anchor (R49.22 million) and component proportions are derived from IBM 2025 SA-specific data. The ransomware recovery time and vector weights use Sophos SA 2025 survey data. These are calibrated averages — actual costs will vary based on data sensitivity, regulatory jurisdiction, organisation size, and incident response readiness.</w:t>
      </w:r>
    </w:p>
    <w:p>
      <w:pPr>
        <w:keepNext/>
        <w:spacing w:before="200" w:after="60"/>
      </w:pPr>
      <w:r>
        <w:rPr>
          <w:b/>
          <w:color w:val="003366"/>
          <w:sz w:val="26"/>
        </w:rPr>
        <w:t>5.4  Remediation Roadmap</w:t>
      </w:r>
    </w:p>
    <w:p>
      <w:pPr>
        <w:widowControl/>
        <w:spacing w:after="80"/>
      </w:pPr>
      <w:r>
        <w:t>The Remediation Roadmap is the most actionable section of the insurance analytics. It takes every finding from the scan and converts it into a prioritised list of remediation steps, ordered by the magnitude of RSI reduction each step would achieve. For each step, the roadmap provides: a plain-English action description, a priority level, an indicative cost range, the projected RSI reduction, and the estimated annual savings in financial impact.</w:t>
      </w:r>
    </w:p>
    <w:p>
      <w:pPr>
        <w:keepNext/>
        <w:spacing w:before="200" w:after="60"/>
      </w:pPr>
      <w:r>
        <w:rPr>
          <w:b/>
          <w:color w:val="003366"/>
          <w:sz w:val="26"/>
        </w:rPr>
        <w:t>Priority Levels</w:t>
      </w:r>
    </w:p>
    <w:p>
      <w:pPr>
        <w:pStyle w:val="ListParagraph"/>
        <w:widowControl/>
        <w:spacing w:after="40"/>
      </w:pPr>
      <w:r>
        <w:t>P1 (Critical) — RSI reduction of 0.10 or more per step. These are the findings that contribute the most to ransomware susceptibility. Examples: blocking exposed RDP, firewalling exposed databases, patching CISA KEV CVEs. Address within 14 days.</w:t>
      </w:r>
    </w:p>
    <w:p>
      <w:pPr>
        <w:pStyle w:val="ListParagraph"/>
        <w:widowControl/>
        <w:spacing w:after="40"/>
      </w:pPr>
      <w:r>
        <w:t>P2 (High) — RSI reduction of 0.05 to 0.09 per step. Significant security improvements that should be addressed within 30 days. Examples: deploying a WAF, implementing DMARC, resetting leaked credentials.</w:t>
      </w:r>
    </w:p>
    <w:p>
      <w:pPr>
        <w:pStyle w:val="ListParagraph"/>
        <w:widowControl/>
        <w:spacing w:after="40"/>
      </w:pPr>
      <w:r>
        <w:t>P3 (Medium) — RSI reduction below 0.05 per step. Hygiene improvements to address within 90 days. Examples: updating EOL software, creating a security.txt file, resolving DNSBL blacklisting.</w:t>
      </w:r>
    </w:p>
    <w:p>
      <w:pPr>
        <w:keepNext/>
        <w:spacing w:before="200" w:after="60"/>
      </w:pPr>
      <w:r>
        <w:rPr>
          <w:b/>
          <w:color w:val="003366"/>
          <w:sz w:val="26"/>
        </w:rPr>
        <w:t>Estimated Cost Ranges</w:t>
      </w:r>
    </w:p>
    <w:p>
      <w:pPr>
        <w:widowControl/>
        <w:spacing w:after="80"/>
      </w:pPr>
      <w:r>
        <w:t>Each remediation step includes an indicative cost range in South African Rand (ZAR). These are based on typical SA market rates for the type of work involved and are intended as a conversation starter for budgeting discussions — they are not project quotes. Actual costs will depend on the complexity of the environment, the service provider chosen, and whether in-house resources are available.</w:t>
      </w:r>
    </w:p>
    <w:p>
      <w:pPr>
        <w:widowControl/>
        <w:spacing w:after="80"/>
      </w:pPr>
      <w:r>
        <w:rPr>
          <w:b/>
        </w:rPr>
        <w:t xml:space="preserve">Example cost ranges: </w:t>
      </w:r>
      <w:r/>
    </w:p>
    <w:p>
      <w:pPr>
        <w:pStyle w:val="ListParagraph"/>
        <w:widowControl/>
        <w:spacing w:after="40"/>
      </w:pPr>
      <w:r>
        <w:t>Blocking RDP or firewalling database ports: R9,000 to R36,000.</w:t>
      </w:r>
    </w:p>
    <w:p>
      <w:pPr>
        <w:pStyle w:val="ListParagraph"/>
        <w:widowControl/>
        <w:spacing w:after="40"/>
      </w:pPr>
      <w:r>
        <w:t>Patching CISA KEV or critical CVEs: R18,000 to R90,000.</w:t>
      </w:r>
    </w:p>
    <w:p>
      <w:pPr>
        <w:pStyle w:val="ListParagraph"/>
        <w:widowControl/>
        <w:spacing w:after="40"/>
      </w:pPr>
      <w:r>
        <w:t>SSL/TLS reconfiguration: R0 to R3,600 (often free with hosting provider tools).</w:t>
      </w:r>
    </w:p>
    <w:p>
      <w:pPr>
        <w:pStyle w:val="ListParagraph"/>
        <w:widowControl/>
        <w:spacing w:after="40"/>
      </w:pPr>
      <w:r>
        <w:t>DMARC implementation: R3,600 to R9,000.</w:t>
      </w:r>
    </w:p>
    <w:p>
      <w:pPr>
        <w:pStyle w:val="ListParagraph"/>
        <w:widowControl/>
        <w:spacing w:after="40"/>
      </w:pPr>
      <w:r>
        <w:t>WAF deployment (e.g. Cloudflare): R0 to R9,000 per month.</w:t>
      </w:r>
    </w:p>
    <w:p>
      <w:pPr>
        <w:pStyle w:val="ListParagraph"/>
        <w:widowControl/>
        <w:spacing w:after="40"/>
      </w:pPr>
      <w:r>
        <w:t>Credential reset and MFA rollout: R9,000 to R36,000.</w:t>
      </w:r>
    </w:p>
    <w:p>
      <w:pPr>
        <w:widowControl/>
        <w:spacing w:after="80"/>
      </w:pPr>
      <w:r>
        <w:rPr>
          <w:b/>
          <w:color w:val="B40000"/>
        </w:rPr>
        <w:t xml:space="preserve">WARNING: </w:t>
      </w:r>
      <w:r>
        <w:t>The cost estimates are indicative SA market rates and are provided as a budgeting guide only. They are not quotations and should not be treated as binding. Always obtain formal quotes from qualified service providers before committing to remediation expenditure.</w:t>
      </w:r>
    </w:p>
    <w:p>
      <w:pPr>
        <w:keepNext/>
        <w:spacing w:before="200" w:after="60"/>
      </w:pPr>
      <w:r>
        <w:rPr>
          <w:b/>
          <w:color w:val="003366"/>
          <w:sz w:val="26"/>
        </w:rPr>
        <w:t>Annual Savings Calculation</w:t>
      </w:r>
    </w:p>
    <w:p>
      <w:pPr>
        <w:widowControl/>
        <w:spacing w:after="80"/>
      </w:pPr>
      <w:r>
        <w:t>For each remediation step, the roadmap estimates the annual savings by calculating how much the financial impact model's expected loss would decrease if that step were completed. The formula is:</w:t>
      </w:r>
    </w:p>
    <w:p>
      <w:pPr>
        <w:widowControl/>
        <w:spacing w:after="80"/>
      </w:pPr>
      <w:r>
        <w:t>Annual Savings = (RSI Reduction / Current RSI) x Total Expected Annual Loss x 0.70</w:t>
      </w:r>
    </w:p>
    <w:p>
      <w:pPr>
        <w:widowControl/>
        <w:spacing w:after="80"/>
      </w:pPr>
      <w:r>
        <w:t>The 0.70 factor is a conservatism adjustment — it acknowledges that not all of the modelled financial benefit will materialise perfectly in practice. This prevents over-promising on savings.</w:t>
      </w:r>
    </w:p>
    <w:p>
      <w:pPr>
        <w:keepNext/>
        <w:spacing w:before="200" w:after="60"/>
      </w:pPr>
      <w:r>
        <w:rPr>
          <w:b/>
          <w:color w:val="003366"/>
          <w:sz w:val="26"/>
        </w:rPr>
        <w:t>Current vs. Projected RSI</w:t>
      </w:r>
    </w:p>
    <w:p>
      <w:pPr>
        <w:widowControl/>
        <w:spacing w:after="80"/>
      </w:pPr>
      <w:r>
        <w:t>The roadmap concludes with a comparison of the current RSI and the projected RSI if all recommended steps were completed. The simulated RSI is calculated by subtracting the total RSI reduction from all steps (floored at 0.0). The simulated financial impact is then recalculated proportionally, showing the new expected annual loss under the improved security posture.</w:t>
      </w:r>
    </w:p>
    <w:p>
      <w:pPr>
        <w:widowControl/>
        <w:spacing w:after="80"/>
      </w:pPr>
      <w:r>
        <w:t>The total potential savings figure represents the aggregate annual financial benefit of completing all remediation steps. This figure is particularly valuable for justifying cybersecurity budgets to executive management and boards — it translates security improvements into a return-on-investment narrative.</w:t>
      </w:r>
    </w:p>
    <w:p>
      <w:pPr>
        <w:keepNext/>
        <w:widowControl/>
        <w:spacing w:after="80"/>
      </w:pPr>
      <w:r>
        <w:rPr>
          <w:b/>
          <w:color w:val="008000"/>
        </w:rPr>
        <w:t xml:space="preserve">TIP: </w:t>
      </w:r>
      <w:r>
        <w:t>When presenting the Remediation Roadmap to clients, focus on the P1 items first. A single P1 remediation (such as blocking RDP) often produces a larger RSI reduction than all P3 items combined. This makes the business case for immediate, high-impact fixes compelling and easy to communicate.</w:t>
      </w:r>
    </w:p>
    <w:p>
      <w:pPr>
        <w:widowControl/>
        <w:spacing w:after="80"/>
      </w:pPr>
      <w:r>
        <w:rPr>
          <w:b/>
          <w:color w:val="003399"/>
        </w:rPr>
        <w:t xml:space="preserve">NOTE: </w:t>
      </w:r>
      <w:r>
        <w:t>The Remediation Roadmap is regenerated with every scan. As remediation steps are completed and the domain is rescanned, completed items will disappear from the roadmap, the RSI will decrease, and the financial impact estimates will update accordingly. This creates a measurable improvement cycle that can be tracked over time.</w:t>
      </w:r>
    </w:p>
    <w:p>
      <w:r>
        <w:br w:type="page"/>
      </w:r>
    </w:p>
    <w:p>
      <w:pPr>
        <w:keepNext/>
        <w:spacing w:before="240" w:after="80"/>
      </w:pPr>
      <w:r>
        <w:rPr>
          <w:b/>
          <w:color w:val="003366"/>
          <w:sz w:val="32"/>
        </w:rPr>
        <w:t>6. PDF Reports</w:t>
      </w:r>
    </w:p>
    <w:p>
      <w:pPr>
        <w:widowControl/>
        <w:spacing w:after="80"/>
      </w:pPr>
      <w:r>
        <w:t>The Phishield scanner produces two distinct PDF report formats, each tailored for a different audience. Both reports are generated automatically at the end of every scan and can be downloaded from the results screen or emailed directly to the intended recipient.</w:t>
      </w:r>
    </w:p>
    <w:p>
      <w:pPr>
        <w:keepNext/>
        <w:spacing w:before="200" w:after="60"/>
      </w:pPr>
      <w:r>
        <w:rPr>
          <w:b/>
          <w:color w:val="003366"/>
          <w:sz w:val="26"/>
        </w:rPr>
        <w:t>6.1 Full Technical Report</w:t>
      </w:r>
    </w:p>
    <w:p>
      <w:pPr>
        <w:widowControl/>
        <w:spacing w:after="80"/>
      </w:pPr>
      <w:r>
        <w:t>The Full Technical Report is the primary deliverable of every Phishield scan. It typically spans 20-25 pages and provides an exhaustive, evidence-based assessment of the target domain's external cyber-risk posture. The report is structured for both technical and executive audiences, with progressive detail from summary to granular findings.</w:t>
      </w:r>
    </w:p>
    <w:p>
      <w:pPr>
        <w:widowControl/>
        <w:spacing w:after="80"/>
      </w:pPr>
      <w:r>
        <w:rPr>
          <w:b/>
        </w:rPr>
        <w:t>Cover Page</w:t>
      </w:r>
      <w:r/>
    </w:p>
    <w:p>
      <w:pPr>
        <w:widowControl/>
        <w:spacing w:after="80"/>
      </w:pPr>
      <w:r>
        <w:t>The cover page displays the target domain, scan date and time, and a large risk-score gauge that immediately communicates the overall risk level. The gauge uses a colour gradient from green (low risk) through amber to red (critical risk) with the numeric score (0-1000) prominently displayed.</w:t>
      </w:r>
    </w:p>
    <w:p>
      <w:pPr>
        <w:widowControl/>
        <w:spacing w:after="80"/>
      </w:pPr>
      <w:r>
        <w:rPr>
          <w:b/>
        </w:rPr>
        <w:t>Executive Summary</w:t>
      </w:r>
      <w:r/>
    </w:p>
    <w:p>
      <w:pPr>
        <w:widowControl/>
        <w:spacing w:after="80"/>
      </w:pPr>
      <w:r>
        <w:t>A one-page overview presenting the overall risk score alongside key metrics: total vulnerabilities found, critical and high-severity issue counts, breach exposure count, number of leaked credentials, estimated financial impact range, and scan completeness percentage. This section is designed to be read in under two minutes by a C-suite executive or board member.</w:t>
      </w:r>
    </w:p>
    <w:p>
      <w:pPr>
        <w:widowControl/>
        <w:spacing w:after="80"/>
      </w:pPr>
      <w:r>
        <w:rPr>
          <w:b/>
        </w:rPr>
        <w:t>Vulnerability Posture</w:t>
      </w:r>
      <w:r/>
    </w:p>
    <w:p>
      <w:pPr>
        <w:widowControl/>
        <w:spacing w:after="80"/>
      </w:pPr>
      <w:r>
        <w:t>This section delivers the technical depth. It includes a CVE severity breakdown (critical, high, medium, low) with bar charts, patch management indicators showing the age and exploitability of discovered vulnerabilities, and threat indicators such as EPSS scores and CISA KEV membership for each CVE. Where applicable, CVSS base scores and vector strings are provided alongside plain-language explanations of potential impact.</w:t>
      </w:r>
    </w:p>
    <w:p>
      <w:pPr>
        <w:widowControl/>
        <w:spacing w:after="80"/>
      </w:pPr>
      <w:r>
        <w:rPr>
          <w:b/>
        </w:rPr>
        <w:t>Attacker's View (Kill Chain Narrative)</w:t>
      </w:r>
      <w:r/>
    </w:p>
    <w:p>
      <w:pPr>
        <w:widowControl/>
        <w:spacing w:after="80"/>
      </w:pPr>
      <w:r>
        <w:t>A four-phase narrative that walks the reader through how an attacker would exploit the findings discovered during the scan. The phases are: (1) Reconnaissance -- what an attacker can learn from publicly available information about the target, (2) Weaponisation -- how discovered vulnerabilities and leaked credentials could be combined into an attack toolkit, (3) Delivery &amp; Exploitation -- the most likely attack vectors such as phishing with leaked credentials, exploiting unpatched services, or abusing misconfigured email authentication, and (4) Impact -- the realistic business consequences including data exfiltration, ransomware deployment, business email compromise, and financial loss. Each phase references specific findings from the scan to ground the narrative in evidence.</w:t>
      </w:r>
    </w:p>
    <w:p>
      <w:pPr>
        <w:widowControl/>
        <w:spacing w:after="80"/>
      </w:pPr>
      <w:r>
        <w:rPr>
          <w:b/>
        </w:rPr>
        <w:t>Insurance Analytics</w:t>
      </w:r>
      <w:r/>
    </w:p>
    <w:p>
      <w:pPr>
        <w:widowControl/>
        <w:spacing w:after="80"/>
      </w:pPr>
      <w:r>
        <w:t>This section presents the quantitative risk metrics used by cyber-insurance underwriters and brokers. It includes the Ransomware Susceptibility Index (RSI) score, the Data Breach Impact (DBI) score, a hybrid-model financial impact estimate using a 50,000-iteration Monte Carlo simulation with PERT distributions and a Generalised Pareto tail fit for catastrophe return periods, a Loss Exposure Scenarios table presenting Most Likely / Median / 1-in-100 / 1-in-200 / 1-in-250 outcomes for FAIS-compliant cover-sizing discussion, a Civil Liability Disclosure flagging uncapped POPIA Section 99 / common-law delict exposure, a Regulatory Flag Audit trail showing broker input versus pre-flight auto-detection per flag, a Scan Duration Profile showing per-checker wall-time, and a prioritised remediation roadmap showing which actions would yield the greatest score improvement. The report intentionally does NOT present a Recommended Cover Limit figure - cover sizing is a broker / client decision informed by the Loss Exposure Scenarios.</w:t>
      </w:r>
    </w:p>
    <w:p>
      <w:pPr>
        <w:widowControl/>
        <w:spacing w:after="80"/>
      </w:pPr>
      <w:r>
        <w:rPr>
          <w:b/>
        </w:rPr>
        <w:t>Checker Cards</w:t>
      </w:r>
      <w:r/>
    </w:p>
    <w:p>
      <w:pPr>
        <w:widowControl/>
        <w:spacing w:after="80"/>
      </w:pPr>
      <w:r>
        <w:t>The bulk of the report consists of individual checker cards, one for each of the 25+ security checks performed. Cards are grouped by category (Email Security, Network Security, Web Application Security, Reputation &amp; Intelligence, Identity &amp; Access, Compliance &amp; Privacy, Insurance Analytics). Each card contains a data table with key-value findings, a 'What This Means' narrative explaining the significance of the results in plain language, and a 'Recommended Actions' list with numbered, prioritised steps. Where issues are found, the card header displays a traffic-light indicator (red, amber, or green).</w:t>
      </w:r>
    </w:p>
    <w:p>
      <w:pPr>
        <w:widowControl/>
        <w:spacing w:after="80"/>
      </w:pPr>
      <w:r>
        <w:rPr>
          <w:b/>
        </w:rPr>
        <w:t>Compliance Framework Mapping</w:t>
      </w:r>
      <w:r/>
    </w:p>
    <w:p>
      <w:pPr>
        <w:widowControl/>
        <w:spacing w:after="80"/>
      </w:pPr>
      <w:r>
        <w:t>A mapping table that links each finding to relevant compliance frameworks including NIST CSF 2.0, ISO 27001, PCI DSS, and POPIA. This helps organisations understand which regulatory obligations may be affected by discovered issues. Note that this mapping is based on external-only observations and does not constitute a compliance audit.</w:t>
      </w:r>
    </w:p>
    <w:p>
      <w:pPr>
        <w:widowControl/>
        <w:spacing w:after="80"/>
      </w:pPr>
      <w:r>
        <w:rPr>
          <w:b/>
        </w:rPr>
        <w:t>Prioritised Remediation Recommendations</w:t>
      </w:r>
      <w:r/>
    </w:p>
    <w:p>
      <w:pPr>
        <w:widowControl/>
        <w:spacing w:after="80"/>
      </w:pPr>
      <w:r>
        <w:t>A consolidated list of all recommended actions across all checker cards, sorted by priority. Priority is determined by a combination of severity, exploitability (EPSS score), potential business impact, and estimated remediation effort. Each recommendation includes a reference back to the relevant checker card for full context.</w:t>
      </w:r>
    </w:p>
    <w:p>
      <w:pPr>
        <w:widowControl/>
        <w:spacing w:after="80"/>
      </w:pPr>
      <w:r>
        <w:rPr>
          <w:b/>
        </w:rPr>
        <w:t>Disclaimer</w:t>
      </w:r>
      <w:r/>
    </w:p>
    <w:p>
      <w:pPr>
        <w:widowControl/>
        <w:spacing w:after="80"/>
      </w:pPr>
      <w:r>
        <w:t>The report concludes with a disclaimer clarifying that the assessment is based exclusively on externally observable data, does not constitute a penetration test or compliance audit, and that results reflect a point-in-time snapshot. Cost estimates are indicative and should be validated by the organisation's own procurement and IT teams.</w:t>
      </w:r>
    </w:p>
    <w:p>
      <w:pPr>
        <w:keepNext/>
        <w:spacing w:before="200" w:after="60"/>
      </w:pPr>
      <w:r>
        <w:rPr>
          <w:b/>
          <w:color w:val="003366"/>
          <w:sz w:val="26"/>
        </w:rPr>
        <w:t>6.2 Broker Summary</w:t>
      </w:r>
    </w:p>
    <w:p>
      <w:pPr>
        <w:widowControl/>
        <w:spacing w:after="80"/>
      </w:pPr>
      <w:r>
        <w:t>The Broker Summary is a condensed 3-5 page report designed specifically for insurance brokers presenting cyber-risk findings to their clients. It strips away deep technical detail in favour of business-impact language that resonates with decision-makers.</w:t>
      </w:r>
    </w:p>
    <w:p>
      <w:pPr>
        <w:widowControl/>
        <w:spacing w:after="80"/>
      </w:pPr>
      <w:r>
        <w:rPr>
          <w:b/>
        </w:rPr>
        <w:t>Contents:</w:t>
      </w:r>
      <w:r/>
    </w:p>
    <w:p>
      <w:pPr>
        <w:pStyle w:val="ListParagraph"/>
        <w:widowControl/>
        <w:spacing w:after="40"/>
      </w:pPr>
      <w:r>
        <w:t>Cover Page -- branded cover with target domain, scan date, and overall risk score gauge.</w:t>
      </w:r>
    </w:p>
    <w:p>
      <w:pPr>
        <w:pStyle w:val="ListParagraph"/>
        <w:widowControl/>
        <w:spacing w:after="40"/>
      </w:pPr>
      <w:r>
        <w:t>Executive Summary -- high-level risk posture with key metrics (overall score, critical issues, breach count, credential exposure, estimated financial impact range).</w:t>
      </w:r>
    </w:p>
    <w:p>
      <w:pPr>
        <w:pStyle w:val="ListParagraph"/>
        <w:widowControl/>
        <w:spacing w:after="40"/>
      </w:pPr>
      <w:r>
        <w:t>Vulnerability Posture -- simplified severity breakdown focusing on critical and high-severity findings only, with plain-language explanations.</w:t>
      </w:r>
    </w:p>
    <w:p>
      <w:pPr>
        <w:pStyle w:val="ListParagraph"/>
        <w:widowControl/>
        <w:spacing w:after="40"/>
      </w:pPr>
      <w:r>
        <w:t>Attacker's View -- abbreviated kill chain narrative highlighting the most impactful attack paths.</w:t>
      </w:r>
    </w:p>
    <w:p>
      <w:pPr>
        <w:pStyle w:val="ListParagraph"/>
        <w:widowControl/>
        <w:spacing w:after="40"/>
      </w:pPr>
      <w:r>
        <w:t>Financial Impact Summary -- RSI score, DBI score, and hybrid-model estimated loss range presented in a broker-friendly format with clear rand-value ranges.</w:t>
      </w:r>
    </w:p>
    <w:p>
      <w:pPr>
        <w:pStyle w:val="ListParagraph"/>
        <w:widowControl/>
        <w:spacing w:after="40"/>
      </w:pPr>
      <w:r>
        <w:t>'Why This Matters' Section -- a persuasive closing section with a call to action explaining why the client should engage further, including statistics on breach likelihood, average breach costs, and the value of proactive remediation.</w:t>
      </w:r>
    </w:p>
    <w:p>
      <w:pPr>
        <w:keepNext/>
        <w:widowControl/>
        <w:spacing w:after="80"/>
      </w:pPr>
      <w:r>
        <w:rPr>
          <w:b/>
          <w:color w:val="008000"/>
        </w:rPr>
        <w:t xml:space="preserve">TIP: </w:t>
      </w:r>
      <w:r>
        <w:t>The Broker Summary is intentionally designed to be shared with prospective clients. It contains no sensitive technical detail that could aid an attacker, making it safe for distribution outside the organisation's security team.</w:t>
      </w:r>
    </w:p>
    <w:p>
      <w:pPr>
        <w:keepNext/>
        <w:spacing w:before="200" w:after="60"/>
      </w:pPr>
      <w:r>
        <w:rPr>
          <w:b/>
          <w:color w:val="003366"/>
          <w:sz w:val="26"/>
        </w:rPr>
        <w:t>6.3 Reading the Report</w:t>
      </w:r>
    </w:p>
    <w:p>
      <w:pPr>
        <w:widowControl/>
        <w:spacing w:after="80"/>
      </w:pPr>
      <w:r>
        <w:rPr>
          <w:b/>
        </w:rPr>
        <w:t>Traffic Light Indicators</w:t>
      </w:r>
      <w:r/>
    </w:p>
    <w:p>
      <w:pPr>
        <w:widowControl/>
        <w:spacing w:after="80"/>
      </w:pPr>
      <w:r>
        <w:t>Throughout both reports, findings are annotated with coloured circle indicators that provide an at-a-glance risk assessment:</w:t>
      </w:r>
    </w:p>
    <w:p>
      <w:pPr>
        <w:pStyle w:val="ListParagraph"/>
        <w:widowControl/>
        <w:spacing w:after="40"/>
      </w:pPr>
      <w:r>
        <w:t>Green circle -- No issues found or the configuration meets best-practice standards. No action required.</w:t>
      </w:r>
    </w:p>
    <w:p>
      <w:pPr>
        <w:pStyle w:val="ListParagraph"/>
        <w:widowControl/>
        <w:spacing w:after="40"/>
      </w:pPr>
      <w:r>
        <w:t>Amber circle -- Minor issues or partial implementation detected. Improvement is recommended but the risk is moderate.</w:t>
      </w:r>
    </w:p>
    <w:p>
      <w:pPr>
        <w:pStyle w:val="ListParagraph"/>
        <w:widowControl/>
        <w:spacing w:after="40"/>
      </w:pPr>
      <w:r>
        <w:t>Red circle -- Significant issues found that pose a material risk. Immediate remediation is strongly recommended.</w:t>
      </w:r>
    </w:p>
    <w:p>
      <w:pPr>
        <w:widowControl/>
        <w:spacing w:after="80"/>
      </w:pPr>
      <w:r>
        <w:rPr>
          <w:b/>
        </w:rPr>
        <w:t>Checker Card Structure</w:t>
      </w:r>
      <w:r/>
    </w:p>
    <w:p>
      <w:pPr>
        <w:widowControl/>
        <w:spacing w:after="80"/>
      </w:pPr>
      <w:r>
        <w:t>Each checker card in the Full Technical Report follows a consistent structure:</w:t>
      </w:r>
    </w:p>
    <w:p>
      <w:pPr>
        <w:pStyle w:val="ListParagraph"/>
        <w:widowControl/>
        <w:spacing w:after="40"/>
      </w:pPr>
      <w:r>
        <w:t>Title Bar -- contains the traffic-light indicator, the checker name, and a one-line summary of the finding (e.g., 'SPF record is valid but could be stricter').</w:t>
      </w:r>
    </w:p>
    <w:p>
      <w:pPr>
        <w:pStyle w:val="ListParagraph"/>
        <w:widowControl/>
        <w:spacing w:after="40"/>
      </w:pPr>
      <w:r>
        <w:t>Data Table -- key-value rows showing the raw findings. For example, an SSL checker card might show rows for certificate issuer, expiry date, protocol versions supported, and cipher suite strength.</w:t>
      </w:r>
    </w:p>
    <w:p>
      <w:pPr>
        <w:pStyle w:val="ListParagraph"/>
        <w:widowControl/>
        <w:spacing w:after="40"/>
      </w:pPr>
      <w:r>
        <w:t>Issues / Fallback Message -- if issues were found, they are listed here with severity indicators. If no issues were found, a positive confirmation message is displayed instead (e.g., 'No issues detected. Configuration meets recommended standards.').</w:t>
      </w:r>
    </w:p>
    <w:p>
      <w:pPr>
        <w:pStyle w:val="ListParagraph"/>
        <w:widowControl/>
        <w:spacing w:after="40"/>
      </w:pPr>
      <w:r>
        <w:t>'What This Means' Narrative -- a plain-language paragraph explaining the significance of the findings for a non-technical reader. This section answers the question: 'Why should I care?'</w:t>
      </w:r>
    </w:p>
    <w:p>
      <w:pPr>
        <w:pStyle w:val="ListParagraph"/>
        <w:widowControl/>
        <w:spacing w:after="40"/>
      </w:pPr>
      <w:r>
        <w:t>'Recommended Actions' -- numbered steps the organisation should take to address any issues found. Actions are ordered by priority (highest impact first). Each action is written as a concrete, actionable instruction rather than a vague suggestion.</w:t>
      </w:r>
    </w:p>
    <w:p>
      <w:pPr>
        <w:widowControl/>
        <w:spacing w:after="80"/>
      </w:pPr>
      <w:r>
        <w:rPr>
          <w:b/>
        </w:rPr>
        <w:t>Recommendations &amp; Cost Estimates</w:t>
      </w:r>
      <w:r/>
    </w:p>
    <w:p>
      <w:pPr>
        <w:widowControl/>
        <w:spacing w:after="80"/>
      </w:pPr>
      <w:r>
        <w:t>Where cost estimates are included alongside recommendations, these are indicative ranges based on typical market rates for similar remediation activities. Actual costs will vary depending on the organisation's size, existing infrastructure, vendor relationships, and internal capabilities. Cost estimates should be treated as order-of-magnitude guidance, not quotations.</w:t>
      </w:r>
    </w:p>
    <w:p>
      <w:pPr>
        <w:widowControl/>
        <w:spacing w:after="80"/>
      </w:pPr>
      <w:r>
        <w:rPr>
          <w:b/>
        </w:rPr>
        <w:t>Compliance Section Disclaimer</w:t>
      </w:r>
      <w:r/>
    </w:p>
    <w:p>
      <w:pPr>
        <w:widowControl/>
        <w:spacing w:after="80"/>
      </w:pPr>
      <w:r>
        <w:t>The compliance framework mapping in the report is based solely on externally observable indicators. It does not constitute a formal compliance assessment or audit. Many compliance requirements relate to internal controls, policies, and processes that cannot be evaluated through external scanning alone. Organisations should engage qualified auditors for formal compliance assessments.</w:t>
      </w:r>
    </w:p>
    <w:p>
      <w:pPr>
        <w:keepNext/>
        <w:spacing w:before="240" w:after="80"/>
      </w:pPr>
      <w:r>
        <w:rPr>
          <w:b/>
          <w:color w:val="003366"/>
          <w:sz w:val="32"/>
        </w:rPr>
        <w:t>7. Scoring Methodology</w:t>
      </w:r>
    </w:p>
    <w:p>
      <w:pPr>
        <w:widowControl/>
        <w:spacing w:after="80"/>
      </w:pPr>
      <w:r>
        <w:t>The Phishield scanner produces a single Overall Risk Score that distils findings from all security checks into one number. This section explains how that score is calculated, how the system handles checker failures, and how to interpret scan completeness.</w:t>
      </w:r>
    </w:p>
    <w:p>
      <w:pPr>
        <w:keepNext/>
        <w:spacing w:before="200" w:after="60"/>
      </w:pPr>
      <w:r>
        <w:rPr>
          <w:b/>
          <w:color w:val="003366"/>
          <w:sz w:val="26"/>
        </w:rPr>
        <w:t>7.1 Overall Risk Score (0-1000)</w:t>
      </w:r>
    </w:p>
    <w:p>
      <w:pPr>
        <w:widowControl/>
        <w:spacing w:after="80"/>
      </w:pPr>
      <w:r>
        <w:t>The Overall Risk Score is a weighted sum of 25 individual category risk scores, where each category corresponds to a security checker or checker group. Every category produces a normalised score, and the final score is the weighted sum of all category scores, yielding a value between 0 (no identified risk) and 1000 (maximum identified risk).</w:t>
      </w:r>
    </w:p>
    <w:p>
      <w:pPr>
        <w:widowControl/>
        <w:spacing w:after="80"/>
      </w:pPr>
      <w:r>
        <w:rPr>
          <w:b/>
        </w:rPr>
        <w:t>Category Weights</w:t>
      </w:r>
      <w:r/>
    </w:p>
    <w:p>
      <w:pPr>
        <w:widowControl/>
        <w:spacing w:after="80"/>
      </w:pPr>
      <w:r>
        <w:t>Each category contributes a fixed percentage to the overall score. The weights reflect the relative importance of each category to the organisation's external cyber-risk posture, informed by industry threat data and insurance underwriting priorities. The weights are as follows:</w:t>
      </w:r>
    </w:p>
    <w:p>
      <w:pPr>
        <w:pStyle w:val="ListParagraph"/>
        <w:widowControl/>
        <w:spacing w:after="40"/>
      </w:pPr>
      <w:r>
        <w:t>SSL/TLS Configuration: 9%</w:t>
      </w:r>
    </w:p>
    <w:p>
      <w:pPr>
        <w:pStyle w:val="ListParagraph"/>
        <w:widowControl/>
        <w:spacing w:after="40"/>
      </w:pPr>
      <w:r>
        <w:t>Exposed Admin Panels: 9%</w:t>
      </w:r>
    </w:p>
    <w:p>
      <w:pPr>
        <w:pStyle w:val="ListParagraph"/>
        <w:widowControl/>
        <w:spacing w:after="40"/>
      </w:pPr>
      <w:r>
        <w:t>High-Risk Protocols (open ports): 8%</w:t>
      </w:r>
    </w:p>
    <w:p>
      <w:pPr>
        <w:pStyle w:val="ListParagraph"/>
        <w:widowControl/>
        <w:spacing w:after="40"/>
      </w:pPr>
      <w:r>
        <w:t>Shodan CVEs (known vulnerabilities on exposed services): 7%</w:t>
      </w:r>
    </w:p>
    <w:p>
      <w:pPr>
        <w:pStyle w:val="ListParagraph"/>
        <w:widowControl/>
        <w:spacing w:after="40"/>
      </w:pPr>
      <w:r>
        <w:t>Breaches (HIBP breach exposure): 7%</w:t>
      </w:r>
    </w:p>
    <w:p>
      <w:pPr>
        <w:pStyle w:val="ListParagraph"/>
        <w:widowControl/>
        <w:spacing w:after="40"/>
      </w:pPr>
      <w:r>
        <w:t>Email Security (SPF, DKIM, DMARC): 6%</w:t>
      </w:r>
    </w:p>
    <w:p>
      <w:pPr>
        <w:pStyle w:val="ListParagraph"/>
        <w:widowControl/>
        <w:spacing w:after="40"/>
      </w:pPr>
      <w:r>
        <w:t>DNSBL (DNS blacklist presence): 6%</w:t>
      </w:r>
    </w:p>
    <w:p>
      <w:pPr>
        <w:pStyle w:val="ListParagraph"/>
        <w:widowControl/>
        <w:spacing w:after="40"/>
      </w:pPr>
      <w:r>
        <w:t>Ransomware Susceptibility Index (RSI): 6%</w:t>
      </w:r>
    </w:p>
    <w:p>
      <w:pPr>
        <w:pStyle w:val="ListParagraph"/>
        <w:widowControl/>
        <w:spacing w:after="40"/>
      </w:pPr>
      <w:r>
        <w:t>HTTP Security Headers: 5%</w:t>
      </w:r>
    </w:p>
    <w:p>
      <w:pPr>
        <w:pStyle w:val="ListParagraph"/>
        <w:widowControl/>
        <w:spacing w:after="40"/>
      </w:pPr>
      <w:r>
        <w:t>Tech Stack (outdated or EOL software): 5%</w:t>
      </w:r>
    </w:p>
    <w:p>
      <w:pPr>
        <w:pStyle w:val="ListParagraph"/>
        <w:widowControl/>
        <w:spacing w:after="40"/>
      </w:pPr>
      <w:r>
        <w:t>VirusTotal (domain reputation): 5%</w:t>
      </w:r>
    </w:p>
    <w:p>
      <w:pPr>
        <w:pStyle w:val="ListParagraph"/>
        <w:widowControl/>
        <w:spacing w:after="40"/>
      </w:pPr>
      <w:r>
        <w:t>Information Disclosure: 5%</w:t>
      </w:r>
    </w:p>
    <w:p>
      <w:pPr>
        <w:pStyle w:val="ListParagraph"/>
        <w:widowControl/>
        <w:spacing w:after="40"/>
      </w:pPr>
      <w:r>
        <w:t>Fraudulent Domains (typosquatting): 4%</w:t>
      </w:r>
    </w:p>
    <w:p>
      <w:pPr>
        <w:pStyle w:val="ListParagraph"/>
        <w:widowControl/>
        <w:spacing w:after="40"/>
      </w:pPr>
      <w:r>
        <w:t>Website Security (WAF, cookies, forms): 4%</w:t>
      </w:r>
    </w:p>
    <w:p>
      <w:pPr>
        <w:pStyle w:val="ListParagraph"/>
        <w:widowControl/>
        <w:spacing w:after="40"/>
      </w:pPr>
      <w:r>
        <w:t>VPN/Remote Access Exposure: 4%</w:t>
      </w:r>
    </w:p>
    <w:p>
      <w:pPr>
        <w:pStyle w:val="ListParagraph"/>
        <w:widowControl/>
        <w:spacing w:after="40"/>
      </w:pPr>
      <w:r>
        <w:t>External IPs (attack surface breadth): 3%</w:t>
      </w:r>
    </w:p>
    <w:p>
      <w:pPr>
        <w:pStyle w:val="ListParagraph"/>
        <w:widowControl/>
        <w:spacing w:after="40"/>
      </w:pPr>
      <w:r>
        <w:t>Dehashed (leaked credentials): 3%</w:t>
      </w:r>
    </w:p>
    <w:p>
      <w:pPr>
        <w:pStyle w:val="ListParagraph"/>
        <w:widowControl/>
        <w:spacing w:after="40"/>
      </w:pPr>
      <w:r>
        <w:t>Data Breach Impact (DBI): 3%</w:t>
      </w:r>
    </w:p>
    <w:p>
      <w:pPr>
        <w:pStyle w:val="ListParagraph"/>
        <w:widowControl/>
        <w:spacing w:after="40"/>
      </w:pPr>
      <w:r>
        <w:t>Email Hardening (MTA-STS, TLS-RPT, DANE, BIMI): 2%</w:t>
      </w:r>
    </w:p>
    <w:p>
      <w:pPr>
        <w:pStyle w:val="ListParagraph"/>
        <w:widowControl/>
        <w:spacing w:after="40"/>
      </w:pPr>
      <w:r>
        <w:t>Payment Security (PCI indicators): 2%</w:t>
      </w:r>
    </w:p>
    <w:p>
      <w:pPr>
        <w:pStyle w:val="ListParagraph"/>
        <w:widowControl/>
        <w:spacing w:after="40"/>
      </w:pPr>
      <w:r>
        <w:t>Privacy Policy &amp; POPIA: 2%</w:t>
      </w:r>
    </w:p>
    <w:p>
      <w:pPr>
        <w:pStyle w:val="ListParagraph"/>
        <w:widowControl/>
        <w:spacing w:after="40"/>
      </w:pPr>
      <w:r>
        <w:t>Subdomains (subdomain takeover risk): 2%</w:t>
      </w:r>
    </w:p>
    <w:p>
      <w:pPr>
        <w:pStyle w:val="ListParagraph"/>
        <w:widowControl/>
        <w:spacing w:after="40"/>
      </w:pPr>
      <w:r>
        <w:t>Web Ranking (Tranco rank as legitimacy signal): 2%</w:t>
      </w:r>
    </w:p>
    <w:p>
      <w:pPr>
        <w:pStyle w:val="ListParagraph"/>
        <w:widowControl/>
        <w:spacing w:after="40"/>
      </w:pPr>
      <w:r>
        <w:t>Financial Impact (hybrid model output): 2%</w:t>
      </w:r>
    </w:p>
    <w:p>
      <w:pPr>
        <w:pStyle w:val="ListParagraph"/>
        <w:widowControl/>
        <w:spacing w:after="40"/>
      </w:pPr>
      <w:r>
        <w:t>SecurityTrails (historical DNS anomalies): 1%</w:t>
      </w:r>
    </w:p>
    <w:p>
      <w:pPr>
        <w:widowControl/>
        <w:spacing w:after="80"/>
      </w:pPr>
      <w:r>
        <w:rPr>
          <w:b/>
        </w:rPr>
        <w:t>Score Ranges</w:t>
      </w:r>
      <w:r/>
    </w:p>
    <w:p>
      <w:pPr>
        <w:widowControl/>
        <w:spacing w:after="80"/>
      </w:pPr>
      <w:r>
        <w:t>The overall score maps to four risk bands:</w:t>
      </w:r>
    </w:p>
    <w:p>
      <w:pPr>
        <w:pStyle w:val="ListParagraph"/>
        <w:widowControl/>
        <w:spacing w:after="40"/>
      </w:pPr>
      <w:r>
        <w:t>Low Risk: 0 - 199</w:t>
      </w:r>
    </w:p>
    <w:p>
      <w:pPr>
        <w:pStyle w:val="ListParagraph"/>
        <w:widowControl/>
        <w:spacing w:after="40"/>
      </w:pPr>
      <w:r>
        <w:t>Medium Risk: 200 - 399</w:t>
      </w:r>
    </w:p>
    <w:p>
      <w:pPr>
        <w:pStyle w:val="ListParagraph"/>
        <w:widowControl/>
        <w:spacing w:after="40"/>
      </w:pPr>
      <w:r>
        <w:t>High Risk: 400 - 599</w:t>
      </w:r>
    </w:p>
    <w:p>
      <w:pPr>
        <w:pStyle w:val="ListParagraph"/>
        <w:widowControl/>
        <w:spacing w:after="40"/>
      </w:pPr>
      <w:r>
        <w:t>Critical Risk: 600 - 1000</w:t>
      </w:r>
    </w:p>
    <w:p>
      <w:pPr>
        <w:widowControl/>
        <w:spacing w:after="80"/>
      </w:pPr>
      <w:r>
        <w:rPr>
          <w:b/>
        </w:rPr>
        <w:t>WAF Bonus</w:t>
      </w:r>
      <w:r/>
    </w:p>
    <w:p>
      <w:pPr>
        <w:widowControl/>
        <w:spacing w:after="80"/>
      </w:pPr>
      <w:r>
        <w:t>If the scanner detects that the target domain is protected by a Web Application Firewall (WAF), a bonus of up to -50 points is applied to the overall score. This reflects the significant risk reduction provided by a WAF in mitigating web application attacks. The bonus is only applied when the WAF checker completes successfully and positively identifies WAF presence.</w:t>
      </w:r>
    </w:p>
    <w:p>
      <w:pPr>
        <w:widowControl/>
        <w:spacing w:after="80"/>
      </w:pPr>
      <w:r>
        <w:t>The bonus is discounted to -25 points when the same WAF / bot-manager actively blinded the scan (sustained 403 / 406 / 451 blocking, a challenge page, or probe timeouts). In that case the target would otherwise be credited twice: once for the genuine web-layer control, and again because the blinded path-prober checkers return falsely clean results. The blindness is an artefact of the defensive posture, not measured security, so only half the credit is banked.</w:t>
      </w:r>
    </w:p>
    <w:p>
      <w:pPr>
        <w:widowControl/>
        <w:spacing w:after="80"/>
      </w:pPr>
      <w:r>
        <w:rPr>
          <w:b/>
          <w:color w:val="003399"/>
        </w:rPr>
        <w:t xml:space="preserve">NOTE: </w:t>
      </w:r>
      <w:r>
        <w:t>The WAF bonus is applied after the weighted sum is calculated. The final score is clamped to a minimum of 0 (it cannot go negative).</w:t>
      </w:r>
    </w:p>
    <w:p>
      <w:pPr>
        <w:keepNext/>
        <w:spacing w:before="200" w:after="60"/>
      </w:pPr>
      <w:r>
        <w:rPr>
          <w:b/>
          <w:color w:val="003366"/>
          <w:sz w:val="26"/>
        </w:rPr>
        <w:t>7.2 Scoring Failsafe</w:t>
      </w:r>
    </w:p>
    <w:p>
      <w:pPr>
        <w:widowControl/>
        <w:spacing w:after="80"/>
      </w:pPr>
      <w:r>
        <w:t>In real-world scanning, individual checkers may fail due to API errors, network timeouts, or rate limiting by the target's infrastructure. The scoring failsafe mechanism ensures that a failed checker does not artificially inflate or deflate the overall score.</w:t>
      </w:r>
    </w:p>
    <w:p>
      <w:pPr>
        <w:widowControl/>
        <w:spacing w:after="80"/>
      </w:pPr>
      <w:r>
        <w:rPr>
          <w:b/>
        </w:rPr>
        <w:t>How It Works</w:t>
      </w:r>
      <w:r/>
    </w:p>
    <w:p>
      <w:pPr>
        <w:widowControl/>
        <w:spacing w:after="80"/>
      </w:pPr>
      <w:r>
        <w:t>When a checker fails (returns an error or times out), its weight is set to zero and the weight it would have contributed is redistributed proportionally across all checkers that completed successfully. This means the overall score is calculated using only the data that was actually collected, with the same relative proportions between successful checkers preserved.</w:t>
      </w:r>
    </w:p>
    <w:p>
      <w:pPr>
        <w:widowControl/>
        <w:spacing w:after="80"/>
      </w:pPr>
      <w:r>
        <w:rPr>
          <w:b/>
        </w:rPr>
        <w:t>Failure vs. Skipped Distinction</w:t>
      </w:r>
      <w:r/>
    </w:p>
    <w:p>
      <w:pPr>
        <w:widowControl/>
        <w:spacing w:after="80"/>
      </w:pPr>
      <w:r>
        <w:t>The failsafe distinguishes between two different reasons a checker might not produce results:</w:t>
      </w:r>
    </w:p>
    <w:p>
      <w:pPr>
        <w:pStyle w:val="ListParagraph"/>
        <w:widowControl/>
        <w:spacing w:after="40"/>
      </w:pPr>
      <w:r>
        <w:t>Genuine failure (error or timeout) -- the checker attempted to run but could not complete. These are flagged with a warning indicator in the report, the checker's weight is redistributed, and a WARNING recommendation is injected advising a re-scan.</w:t>
      </w:r>
    </w:p>
    <w:p>
      <w:pPr>
        <w:pStyle w:val="ListParagraph"/>
        <w:widowControl/>
        <w:spacing w:after="40"/>
      </w:pPr>
      <w:r>
        <w:t>Intentionally skipped (no_api_key or disabled) -- the checker was not configured to run (e.g., the Dehashed API key was not provided, or IntelX was toggled off). These are excluded from the assessable checker count entirely and do not generate a warning. The weight is still redistributed, but no warning is shown because the omission was deliberate.</w:t>
      </w:r>
    </w:p>
    <w:p>
      <w:pPr>
        <w:widowControl/>
        <w:spacing w:after="80"/>
      </w:pPr>
      <w:r>
        <w:rPr>
          <w:b/>
          <w:color w:val="B40000"/>
        </w:rPr>
        <w:t xml:space="preserve">WARNING: </w:t>
      </w:r>
      <w:r>
        <w:t>When checkers fail, the overall score may be less reliable because it is based on incomplete data. The scan completeness percentage (see Section 7.3) quantifies this. Always review the completeness indicator before relying on the score for underwriting or remediation decisions.</w:t>
      </w:r>
    </w:p>
    <w:p>
      <w:pPr>
        <w:keepNext/>
        <w:spacing w:before="200" w:after="60"/>
      </w:pPr>
      <w:r>
        <w:rPr>
          <w:b/>
          <w:color w:val="003366"/>
          <w:sz w:val="26"/>
        </w:rPr>
        <w:t>7.3 Scan Completeness</w:t>
      </w:r>
    </w:p>
    <w:p>
      <w:pPr>
        <w:widowControl/>
        <w:spacing w:after="80"/>
      </w:pPr>
      <w:r>
        <w:t>Scan completeness is expressed as a percentage and indicates how much of the intended assessment was successfully completed.</w:t>
      </w:r>
    </w:p>
    <w:p>
      <w:pPr>
        <w:widowControl/>
        <w:spacing w:after="80"/>
      </w:pPr>
      <w:r>
        <w:rPr>
          <w:b/>
        </w:rPr>
        <w:t>Formula:</w:t>
      </w:r>
      <w:r/>
    </w:p>
    <w:p>
      <w:pPr>
        <w:widowControl/>
        <w:spacing w:after="80"/>
      </w:pPr>
      <w:r>
        <w:t>Completeness % = (Assessable - Failed) / Assessable x 100</w:t>
      </w:r>
    </w:p>
    <w:p>
      <w:pPr>
        <w:widowControl/>
        <w:spacing w:after="80"/>
      </w:pPr>
      <w:r>
        <w:t>Where 'Assessable' is the number of checkers that were configured to run (i.e., total checkers minus those skipped due to missing API keys or being disabled), and 'Failed' is the number of assessable checkers that returned an error or timed out.</w:t>
      </w:r>
    </w:p>
    <w:p>
      <w:pPr>
        <w:pStyle w:val="ListParagraph"/>
        <w:widowControl/>
        <w:spacing w:after="40"/>
      </w:pPr>
      <w:r>
        <w:t>Checkers skipped because of no_api_key or disabled status are excluded from the assessable count entirely. They do not reduce the completeness percentage.</w:t>
      </w:r>
    </w:p>
    <w:p>
      <w:pPr>
        <w:pStyle w:val="ListParagraph"/>
        <w:widowControl/>
        <w:spacing w:after="40"/>
      </w:pPr>
      <w:r>
        <w:t>Failed checkers are listed by name in the report so the user can identify which data sources were unavailable.</w:t>
      </w:r>
    </w:p>
    <w:p>
      <w:pPr>
        <w:pStyle w:val="ListParagraph"/>
        <w:widowControl/>
        <w:spacing w:after="40"/>
      </w:pPr>
      <w:r>
        <w:t>When one or more checkers fail, a WARNING recommendation is automatically injected at the top of the prioritised recommendations list advising the user to re-scan to obtain complete results.</w:t>
      </w:r>
    </w:p>
    <w:p>
      <w:pPr>
        <w:keepNext/>
        <w:widowControl/>
        <w:spacing w:after="80"/>
      </w:pPr>
      <w:r>
        <w:rPr>
          <w:b/>
          <w:color w:val="008000"/>
        </w:rPr>
        <w:t xml:space="preserve">TIP: </w:t>
      </w:r>
      <w:r>
        <w:t>A completeness of 100% means every configured checker ran successfully. If completeness drops below 80%, consider re-scanning after a short delay -- transient API issues or rate limiting may have resolved.</w:t>
      </w:r>
    </w:p>
    <w:p>
      <w:pPr>
        <w:keepNext/>
        <w:spacing w:before="200" w:after="60"/>
      </w:pPr>
      <w:r>
        <w:rPr>
          <w:b/>
          <w:color w:val="003366"/>
          <w:sz w:val="26"/>
        </w:rPr>
        <w:t>7.4 Score Reliability</w:t>
      </w:r>
    </w:p>
    <w:p>
      <w:pPr>
        <w:widowControl/>
        <w:spacing w:after="80"/>
      </w:pPr>
      <w:r>
        <w:t>While the Overall Risk Score provides a useful snapshot, several conditions can reduce its reliability. A re-scan is recommended when any of the following apply:</w:t>
      </w:r>
    </w:p>
    <w:p>
      <w:pPr>
        <w:pStyle w:val="ListParagraph"/>
        <w:widowControl/>
        <w:spacing w:after="40"/>
      </w:pPr>
      <w:r>
        <w:t>Scan completeness is below 100% -- one or more checkers failed, meaning the score is based on incomplete data. The missing checkers may have detected additional risks or confirmed that certain controls are in place.</w:t>
      </w:r>
    </w:p>
    <w:p>
      <w:pPr>
        <w:pStyle w:val="ListParagraph"/>
        <w:widowControl/>
        <w:spacing w:after="40"/>
      </w:pPr>
      <w:r>
        <w:t>HTTPS was unreachable during the scan -- several checkers (HTTP headers, WAF detection, tech stack fingerprinting, privacy policy analysis, admin panel discovery) depend on being able to fetch the target's website over HTTPS. If the target site was temporarily down or blocking the scanner's IP, these checkers will fail. Verify that the target site is accessible before re-scanning.</w:t>
      </w:r>
    </w:p>
    <w:p>
      <w:pPr>
        <w:pStyle w:val="ListParagraph"/>
        <w:widowControl/>
        <w:spacing w:after="40"/>
      </w:pPr>
      <w:r>
        <w:t>Significant time has passed since the last scan -- because results reflect a point-in-time snapshot, scores can become stale as the target's infrastructure changes, new vulnerabilities are disclosed, or new breaches are reported. Regular re-scanning (monthly at minimum) is recommended.</w:t>
      </w:r>
    </w:p>
    <w:p>
      <w:pPr>
        <w:pStyle w:val="ListParagraph"/>
        <w:widowControl/>
        <w:spacing w:after="40"/>
      </w:pPr>
      <w:r>
        <w:t>Remediation has been applied -- after the target organisation addresses findings from a previous scan, a fresh scan should be performed to verify that remediation was effective and to update the score accordingly.</w:t>
      </w:r>
    </w:p>
    <w:p>
      <w:pPr>
        <w:widowControl/>
        <w:spacing w:after="80"/>
      </w:pPr>
      <w:r>
        <w:rPr>
          <w:b/>
          <w:color w:val="003399"/>
        </w:rPr>
        <w:t xml:space="preserve">NOTE: </w:t>
      </w:r>
      <w:r>
        <w:t>The score is a risk indicator, not an absolute measure of security. A low score does not guarantee the absence of vulnerabilities -- it indicates that no significant external risks were detected by the checks performed.</w:t>
      </w:r>
    </w:p>
    <w:p>
      <w:pPr>
        <w:keepNext/>
        <w:spacing w:before="240" w:after="80"/>
      </w:pPr>
      <w:r>
        <w:rPr>
          <w:b/>
          <w:color w:val="003366"/>
          <w:sz w:val="32"/>
        </w:rPr>
        <w:t>8. API Integrations &amp; Data Sources</w:t>
      </w:r>
    </w:p>
    <w:p>
      <w:pPr>
        <w:widowControl/>
        <w:spacing w:after="80"/>
      </w:pPr>
      <w:r>
        <w:t>The Phishield scanner aggregates data from multiple external intelligence sources to build a comprehensive view of the target's external risk posture. The table below lists every data source, its cost model, what it provides, and whether it can be toggled on or off.</w:t>
      </w:r>
    </w:p>
    <w:p>
      <w:pPr>
        <w:widowControl/>
        <w:spacing w:after="80"/>
      </w:pPr>
      <w:r>
        <w:rPr>
          <w:b/>
        </w:rPr>
        <w:t>Shodan (InternetDB + Full API)</w:t>
      </w:r>
      <w:r/>
    </w:p>
    <w:p>
      <w:pPr>
        <w:pStyle w:val="ListParagraph"/>
        <w:widowControl/>
        <w:spacing w:after="40"/>
      </w:pPr>
      <w:r>
        <w:t>Type: Port scanning, service detection, CVE lookup</w:t>
      </w:r>
    </w:p>
    <w:p>
      <w:pPr>
        <w:pStyle w:val="ListParagraph"/>
        <w:widowControl/>
        <w:spacing w:after="40"/>
      </w:pPr>
      <w:r>
        <w:t>Cost: Paid (API key required)</w:t>
      </w:r>
    </w:p>
    <w:p>
      <w:pPr>
        <w:pStyle w:val="ListParagraph"/>
        <w:widowControl/>
        <w:spacing w:after="40"/>
      </w:pPr>
      <w:r>
        <w:t>What It Provides: Discovers open ports and running services on the target's IP addresses using the free InternetDB endpoint. When a paid Shodan API key is configured, full banner data and CVE associations are retrieved, enabling precise vulnerability mapping against CISA KEV and EPSS databases.</w:t>
      </w:r>
    </w:p>
    <w:p>
      <w:pPr>
        <w:pStyle w:val="ListParagraph"/>
        <w:widowControl/>
        <w:spacing w:after="40"/>
      </w:pPr>
      <w:r>
        <w:t>Toggle: Always on (InternetDB is free; full API requires key)</w:t>
      </w:r>
    </w:p>
    <w:p>
      <w:pPr>
        <w:widowControl/>
        <w:spacing w:after="80"/>
      </w:pPr>
      <w:r>
        <w:rPr>
          <w:b/>
        </w:rPr>
        <w:t>VirusTotal</w:t>
      </w:r>
      <w:r/>
    </w:p>
    <w:p>
      <w:pPr>
        <w:pStyle w:val="ListParagraph"/>
        <w:widowControl/>
        <w:spacing w:after="40"/>
      </w:pPr>
      <w:r>
        <w:t>Type: Domain reputation analysis</w:t>
      </w:r>
    </w:p>
    <w:p>
      <w:pPr>
        <w:pStyle w:val="ListParagraph"/>
        <w:widowControl/>
        <w:spacing w:after="40"/>
      </w:pPr>
      <w:r>
        <w:t>Cost: Free tier (API key required)</w:t>
      </w:r>
    </w:p>
    <w:p>
      <w:pPr>
        <w:pStyle w:val="ListParagraph"/>
        <w:widowControl/>
        <w:spacing w:after="40"/>
      </w:pPr>
      <w:r>
        <w:t>What It Provides: Submits the target domain to 70+ security engines and aggregates their verdicts. Detects malware hosting, phishing associations, suspicious redirects, and known malicious activity linked to the domain.</w:t>
      </w:r>
    </w:p>
    <w:p>
      <w:pPr>
        <w:pStyle w:val="ListParagraph"/>
        <w:widowControl/>
        <w:spacing w:after="40"/>
      </w:pPr>
      <w:r>
        <w:t>Toggle: Always on</w:t>
      </w:r>
    </w:p>
    <w:p>
      <w:pPr>
        <w:widowControl/>
        <w:spacing w:after="80"/>
      </w:pPr>
      <w:r>
        <w:rPr>
          <w:b/>
        </w:rPr>
        <w:t>SecurityTrails</w:t>
      </w:r>
      <w:r/>
    </w:p>
    <w:p>
      <w:pPr>
        <w:pStyle w:val="ListParagraph"/>
        <w:widowControl/>
        <w:spacing w:after="40"/>
      </w:pPr>
      <w:r>
        <w:t>Type: Historical DNS intelligence</w:t>
      </w:r>
    </w:p>
    <w:p>
      <w:pPr>
        <w:pStyle w:val="ListParagraph"/>
        <w:widowControl/>
        <w:spacing w:after="40"/>
      </w:pPr>
      <w:r>
        <w:t>Cost: Free tier (API key required)</w:t>
      </w:r>
    </w:p>
    <w:p>
      <w:pPr>
        <w:pStyle w:val="ListParagraph"/>
        <w:widowControl/>
        <w:spacing w:after="40"/>
      </w:pPr>
      <w:r>
        <w:t>What It Provides: Historical DNS records, associated domains, and subdomain enumeration. Reveals infrastructure changes over time, identifies related domains that may share risk, and discovers subdomains that could represent an expanded attack surface.</w:t>
      </w:r>
    </w:p>
    <w:p>
      <w:pPr>
        <w:pStyle w:val="ListParagraph"/>
        <w:widowControl/>
        <w:spacing w:after="40"/>
      </w:pPr>
      <w:r>
        <w:t>Toggle: Always on</w:t>
      </w:r>
    </w:p>
    <w:p>
      <w:pPr>
        <w:widowControl/>
        <w:spacing w:after="80"/>
      </w:pPr>
      <w:r>
        <w:rPr>
          <w:b/>
        </w:rPr>
        <w:t>Dehashed</w:t>
      </w:r>
      <w:r/>
    </w:p>
    <w:p>
      <w:pPr>
        <w:pStyle w:val="ListParagraph"/>
        <w:widowControl/>
        <w:spacing w:after="40"/>
      </w:pPr>
      <w:r>
        <w:t>Type: Credential leak database</w:t>
      </w:r>
    </w:p>
    <w:p>
      <w:pPr>
        <w:pStyle w:val="ListParagraph"/>
        <w:widowControl/>
        <w:spacing w:after="40"/>
      </w:pPr>
      <w:r>
        <w:t>Cost: Paid (credit-based)</w:t>
      </w:r>
    </w:p>
    <w:p>
      <w:pPr>
        <w:pStyle w:val="ListParagraph"/>
        <w:widowControl/>
        <w:spacing w:after="40"/>
      </w:pPr>
      <w:r>
        <w:t>What It Provides: Searches for leaked credentials (email addresses, passwords, password hashes) associated with the target domain across known breach datasets. Returns the number of exposed credentials, the types of data leaked (plaintext passwords, hashed passwords, usernames), and the sources where they appeared.</w:t>
      </w:r>
    </w:p>
    <w:p>
      <w:pPr>
        <w:pStyle w:val="ListParagraph"/>
        <w:widowControl/>
        <w:spacing w:after="40"/>
      </w:pPr>
      <w:r>
        <w:t>Toggle: Yes (can be disabled to conserve credits)</w:t>
      </w:r>
    </w:p>
    <w:p>
      <w:pPr>
        <w:widowControl/>
        <w:spacing w:after="80"/>
      </w:pPr>
      <w:r>
        <w:rPr>
          <w:b/>
        </w:rPr>
        <w:t>Hudson Rock</w:t>
      </w:r>
      <w:r/>
    </w:p>
    <w:p>
      <w:pPr>
        <w:pStyle w:val="ListParagraph"/>
        <w:widowControl/>
        <w:spacing w:after="40"/>
      </w:pPr>
      <w:r>
        <w:t>Type: Active infostealer detection</w:t>
      </w:r>
    </w:p>
    <w:p>
      <w:pPr>
        <w:pStyle w:val="ListParagraph"/>
        <w:widowControl/>
        <w:spacing w:after="40"/>
      </w:pPr>
      <w:r>
        <w:t>Cost: Free (no API key needed)</w:t>
      </w:r>
    </w:p>
    <w:p>
      <w:pPr>
        <w:pStyle w:val="ListParagraph"/>
        <w:widowControl/>
        <w:spacing w:after="40"/>
      </w:pPr>
      <w:r>
        <w:t>What It Provides: Detects whether employees of the target organisation have been compromised by active infostealer malware. Returns the number of infected machines, compromised credentials, and affected third-party services. This data represents an immediate, active threat rather than historical breach data.</w:t>
      </w:r>
    </w:p>
    <w:p>
      <w:pPr>
        <w:pStyle w:val="ListParagraph"/>
        <w:widowControl/>
        <w:spacing w:after="40"/>
      </w:pPr>
      <w:r>
        <w:t>Toggle: Always on</w:t>
      </w:r>
    </w:p>
    <w:p>
      <w:pPr>
        <w:widowControl/>
        <w:spacing w:after="80"/>
      </w:pPr>
      <w:r>
        <w:rPr>
          <w:b/>
        </w:rPr>
        <w:t>IntelX (Intelligence X)</w:t>
      </w:r>
      <w:r/>
    </w:p>
    <w:p>
      <w:pPr>
        <w:pStyle w:val="ListParagraph"/>
        <w:widowControl/>
        <w:spacing w:after="40"/>
      </w:pPr>
      <w:r>
        <w:t>Type: Dark web monitoring, paste sites, leak databases</w:t>
      </w:r>
    </w:p>
    <w:p>
      <w:pPr>
        <w:pStyle w:val="ListParagraph"/>
        <w:widowControl/>
        <w:spacing w:after="40"/>
      </w:pPr>
      <w:r>
        <w:t>Cost: Paid (credit-based)</w:t>
      </w:r>
    </w:p>
    <w:p>
      <w:pPr>
        <w:pStyle w:val="ListParagraph"/>
        <w:widowControl/>
        <w:spacing w:after="40"/>
      </w:pPr>
      <w:r>
        <w:t>What It Provides: Searches the dark web, paste sites (such as Pastebin), and underground forums for mentions of the target domain, email addresses, and credentials. Provides visibility into data that has been shared or sold in criminal marketplaces.</w:t>
      </w:r>
    </w:p>
    <w:p>
      <w:pPr>
        <w:pStyle w:val="ListParagraph"/>
        <w:widowControl/>
        <w:spacing w:after="40"/>
      </w:pPr>
      <w:r>
        <w:t>Toggle: Yes (can be disabled to conserve credits)</w:t>
      </w:r>
    </w:p>
    <w:p>
      <w:pPr>
        <w:widowControl/>
        <w:spacing w:after="80"/>
      </w:pPr>
      <w:r>
        <w:rPr>
          <w:b/>
        </w:rPr>
        <w:t>Have I Been Pwned (HIBP)</w:t>
      </w:r>
      <w:r/>
    </w:p>
    <w:p>
      <w:pPr>
        <w:pStyle w:val="ListParagraph"/>
        <w:widowControl/>
        <w:spacing w:after="40"/>
      </w:pPr>
      <w:r>
        <w:t>Type: Breach metadata</w:t>
      </w:r>
    </w:p>
    <w:p>
      <w:pPr>
        <w:pStyle w:val="ListParagraph"/>
        <w:widowControl/>
        <w:spacing w:after="40"/>
      </w:pPr>
      <w:r>
        <w:t>Cost: Free</w:t>
      </w:r>
    </w:p>
    <w:p>
      <w:pPr>
        <w:pStyle w:val="ListParagraph"/>
        <w:widowControl/>
        <w:spacing w:after="40"/>
      </w:pPr>
      <w:r>
        <w:t>What It Provides: Returns metadata about known data breaches affecting the target domain, including breach dates, the types of data exposed (emails, passwords, financial data, personal information), and the number of affected accounts. Does not return actual breach data -- only metadata about the breaches.</w:t>
      </w:r>
    </w:p>
    <w:p>
      <w:pPr>
        <w:pStyle w:val="ListParagraph"/>
        <w:widowControl/>
        <w:spacing w:after="40"/>
      </w:pPr>
      <w:r>
        <w:t>Toggle: Always on</w:t>
      </w:r>
    </w:p>
    <w:p>
      <w:pPr>
        <w:widowControl/>
        <w:spacing w:after="80"/>
      </w:pPr>
      <w:r>
        <w:rPr>
          <w:b/>
        </w:rPr>
        <w:t>CISA KEV (Known Exploited Vulnerabilities)</w:t>
      </w:r>
      <w:r/>
    </w:p>
    <w:p>
      <w:pPr>
        <w:pStyle w:val="ListParagraph"/>
        <w:widowControl/>
        <w:spacing w:after="40"/>
      </w:pPr>
      <w:r>
        <w:t>Type: Vulnerability intelligence</w:t>
      </w:r>
    </w:p>
    <w:p>
      <w:pPr>
        <w:pStyle w:val="ListParagraph"/>
        <w:widowControl/>
        <w:spacing w:after="40"/>
      </w:pPr>
      <w:r>
        <w:t>Cost: Free</w:t>
      </w:r>
    </w:p>
    <w:p>
      <w:pPr>
        <w:pStyle w:val="ListParagraph"/>
        <w:widowControl/>
        <w:spacing w:after="40"/>
      </w:pPr>
      <w:r>
        <w:t>What It Provides: Cross-references CVEs discovered by Shodan against CISA's catalog of vulnerabilities known to be actively exploited in the wild. CVEs on this list represent an immediate, confirmed threat and are flagged with the highest priority in the report.</w:t>
      </w:r>
    </w:p>
    <w:p>
      <w:pPr>
        <w:pStyle w:val="ListParagraph"/>
        <w:widowControl/>
        <w:spacing w:after="40"/>
      </w:pPr>
      <w:r>
        <w:t>Toggle: Always on</w:t>
      </w:r>
    </w:p>
    <w:p>
      <w:pPr>
        <w:widowControl/>
        <w:spacing w:after="80"/>
      </w:pPr>
      <w:r>
        <w:rPr>
          <w:b/>
        </w:rPr>
        <w:t>FIRST.org EPSS (Exploit Prediction Scoring System)</w:t>
      </w:r>
      <w:r/>
    </w:p>
    <w:p>
      <w:pPr>
        <w:pStyle w:val="ListParagraph"/>
        <w:widowControl/>
        <w:spacing w:after="40"/>
      </w:pPr>
      <w:r>
        <w:t>Type: Vulnerability exploitation probability</w:t>
      </w:r>
    </w:p>
    <w:p>
      <w:pPr>
        <w:pStyle w:val="ListParagraph"/>
        <w:widowControl/>
        <w:spacing w:after="40"/>
      </w:pPr>
      <w:r>
        <w:t>Cost: Free</w:t>
      </w:r>
    </w:p>
    <w:p>
      <w:pPr>
        <w:pStyle w:val="ListParagraph"/>
        <w:widowControl/>
        <w:spacing w:after="40"/>
      </w:pPr>
      <w:r>
        <w:t>What It Provides: For each CVE discovered, EPSS provides a probability score (0-1) indicating the likelihood that the vulnerability will be exploited in the wild within the next 30 days. This helps prioritise remediation by focusing on vulnerabilities most likely to be exploited, not just those with the highest CVSS severity score.</w:t>
      </w:r>
    </w:p>
    <w:p>
      <w:pPr>
        <w:pStyle w:val="ListParagraph"/>
        <w:widowControl/>
        <w:spacing w:after="40"/>
      </w:pPr>
      <w:r>
        <w:t>Toggle: Always on</w:t>
      </w:r>
    </w:p>
    <w:p>
      <w:pPr>
        <w:widowControl/>
        <w:spacing w:after="80"/>
      </w:pPr>
      <w:r>
        <w:rPr>
          <w:b/>
        </w:rPr>
        <w:t>OSV.dev</w:t>
      </w:r>
      <w:r/>
    </w:p>
    <w:p>
      <w:pPr>
        <w:pStyle w:val="ListParagraph"/>
        <w:widowControl/>
        <w:spacing w:after="40"/>
      </w:pPr>
      <w:r>
        <w:t>Type: Version-to-vulnerability matching</w:t>
      </w:r>
    </w:p>
    <w:p>
      <w:pPr>
        <w:pStyle w:val="ListParagraph"/>
        <w:widowControl/>
        <w:spacing w:after="40"/>
      </w:pPr>
      <w:r>
        <w:t>Cost: Free</w:t>
      </w:r>
    </w:p>
    <w:p>
      <w:pPr>
        <w:pStyle w:val="ListParagraph"/>
        <w:widowControl/>
        <w:spacing w:after="40"/>
      </w:pPr>
      <w:r>
        <w:t>What It Provides: Maps detected software versions (identified by the tech stack fingerprinter) to known vulnerabilities in Google's Open Source Vulnerability database. Useful for identifying risks in open-source components such as WordPress plugins, JavaScript libraries, and server software where the version number is externally visible.</w:t>
      </w:r>
    </w:p>
    <w:p>
      <w:pPr>
        <w:pStyle w:val="ListParagraph"/>
        <w:widowControl/>
        <w:spacing w:after="40"/>
      </w:pPr>
      <w:r>
        <w:t>Toggle: Always on</w:t>
      </w:r>
    </w:p>
    <w:p>
      <w:pPr>
        <w:widowControl/>
        <w:spacing w:after="80"/>
      </w:pPr>
      <w:r>
        <w:rPr>
          <w:b/>
          <w:color w:val="003399"/>
        </w:rPr>
        <w:t xml:space="preserve">NOTE: </w:t>
      </w:r>
      <w:r>
        <w:t>API keys are configured in the scanner's environment file. Toggling a paid API off does not affect the scan -- the checker is simply skipped and its weight is redistributed across the remaining checkers (see Section 7.2).</w:t>
      </w:r>
    </w:p>
    <w:p>
      <w:pPr>
        <w:keepNext/>
        <w:spacing w:before="240" w:after="80"/>
      </w:pPr>
      <w:r>
        <w:rPr>
          <w:b/>
          <w:color w:val="003366"/>
          <w:sz w:val="32"/>
        </w:rPr>
        <w:t>9. Known Limitations &amp; Planned Improvements</w:t>
      </w:r>
    </w:p>
    <w:p>
      <w:pPr>
        <w:widowControl/>
        <w:spacing w:after="80"/>
      </w:pPr>
      <w:r>
        <w:t>The Phishield scanner is a powerful external reconnaissance tool, but like all security assessment tools it operates within certain constraints. Understanding these limitations is essential for interpreting results correctly and setting appropriate expectations.</w:t>
      </w:r>
    </w:p>
    <w:p>
      <w:pPr>
        <w:widowControl/>
        <w:spacing w:after="80"/>
      </w:pPr>
      <w:r>
        <w:rPr>
          <w:b/>
        </w:rPr>
        <w:t>External-Only Scanning</w:t>
      </w:r>
      <w:r/>
    </w:p>
    <w:p>
      <w:pPr>
        <w:widowControl/>
        <w:spacing w:after="80"/>
      </w:pPr>
      <w:r>
        <w:t>The scanner assesses only the externally visible attack surface of the target domain. It cannot evaluate internal network security, employee security awareness training, incident response plans, endpoint protection coverage, or internal access controls. A comprehensive cyber-risk assessment should complement Phishield results with internal assessments.</w:t>
      </w:r>
    </w:p>
    <w:p>
      <w:pPr>
        <w:widowControl/>
        <w:spacing w:after="80"/>
      </w:pPr>
      <w:r>
        <w:rPr>
          <w:b/>
        </w:rPr>
        <w:t>Point-in-Time Results</w:t>
      </w:r>
      <w:r/>
    </w:p>
    <w:p>
      <w:pPr>
        <w:widowControl/>
        <w:spacing w:after="80"/>
      </w:pPr>
      <w:r>
        <w:t>Scan results reflect the target's posture at the exact moment the scan was performed. Infrastructure changes, new vulnerability disclosures, or fresh breach events occurring after the scan will not be reflected until the next scan. For organisations with dynamic infrastructure, regular re-scanning is strongly recommended.</w:t>
      </w:r>
    </w:p>
    <w:p>
      <w:pPr>
        <w:widowControl/>
        <w:spacing w:after="80"/>
      </w:pPr>
      <w:r>
        <w:rPr>
          <w:b/>
        </w:rPr>
        <w:t>Scan Duration</w:t>
      </w:r>
      <w:r/>
    </w:p>
    <w:p>
      <w:pPr>
        <w:widowControl/>
        <w:spacing w:after="80"/>
      </w:pPr>
      <w:r>
        <w:t>A typical scan takes between 5 and 18 minutes depending on the target's complexity (number of IPs, subdomains, and responsiveness of external APIs). An optimisation roadmap exists to achieve sub-2-minute monitoring re-scans by caching baseline data and only re-checking elements that are likely to have changed.</w:t>
      </w:r>
    </w:p>
    <w:p>
      <w:pPr>
        <w:widowControl/>
        <w:spacing w:after="80"/>
      </w:pPr>
      <w:r>
        <w:rPr>
          <w:b/>
        </w:rPr>
        <w:t>OSV.dev API Reliability</w:t>
      </w:r>
      <w:r/>
    </w:p>
    <w:p>
      <w:pPr>
        <w:widowControl/>
        <w:spacing w:after="80"/>
      </w:pPr>
      <w:r>
        <w:t>The OSV.dev vulnerability database API intermittently returns empty results for valid software version queries. This can cause the tech stack checker to underreport vulnerabilities in detected software. Retry logic and local caching of previously successful lookups are planned improvements.</w:t>
      </w:r>
    </w:p>
    <w:p>
      <w:pPr>
        <w:widowControl/>
        <w:spacing w:after="80"/>
      </w:pPr>
      <w:r>
        <w:rPr>
          <w:b/>
        </w:rPr>
        <w:t>Rate Limiting by Target Infrastructure</w:t>
      </w:r>
      <w:r/>
    </w:p>
    <w:p>
      <w:pPr>
        <w:widowControl/>
        <w:spacing w:after="80"/>
      </w:pPr>
      <w:r>
        <w:t>Repeated scans of the same target in a short period may trigger the target's firewall or intrusion prevention system to block the scanner's IP address. This has been observed particularly with hosting providers such as Hetzner. If a scan returns unexpectedly sparse results, wait at least 30 minutes before re-scanning.</w:t>
      </w:r>
    </w:p>
    <w:p>
      <w:pPr>
        <w:widowControl/>
        <w:spacing w:after="80"/>
      </w:pPr>
      <w:r>
        <w:rPr>
          <w:b/>
        </w:rPr>
        <w:t>HTTPS Dependency</w:t>
      </w:r>
      <w:r/>
    </w:p>
    <w:p>
      <w:pPr>
        <w:widowControl/>
        <w:spacing w:after="80"/>
      </w:pPr>
      <w:r>
        <w:t>Several checkers depend on fetching the target's website over HTTPS, including HTTP security headers, WAF detection, tech stack fingerprinting, privacy policy analysis, and admin panel discovery. If the target's HTTPS endpoint is unreachable (due to downtime, IP blocking, or misconfiguration), these checkers will fail and their results will be absent from the report. The scan completeness percentage will reflect this.</w:t>
      </w:r>
    </w:p>
    <w:p>
      <w:pPr>
        <w:widowControl/>
        <w:spacing w:after="80"/>
      </w:pPr>
      <w:r>
        <w:rPr>
          <w:b/>
        </w:rPr>
        <w:t>CDN Masking</w:t>
      </w:r>
      <w:r/>
    </w:p>
    <w:p>
      <w:pPr>
        <w:widowControl/>
        <w:spacing w:after="80"/>
      </w:pPr>
      <w:r>
        <w:t>Targets that sit behind CDN providers such as Cloudflare present the CDN's IP addresses rather than the origin server's IP addresses. This means Shodan data will reflect the CDN infrastructure rather than the actual target servers, potentially masking vulnerabilities on the origin server. The scanner notes when CDN presence is detected and adjusts interpretations accordingly.</w:t>
      </w:r>
    </w:p>
    <w:p>
      <w:pPr>
        <w:widowControl/>
        <w:spacing w:after="80"/>
      </w:pPr>
      <w:r>
        <w:rPr>
          <w:b/>
        </w:rPr>
        <w:t>Full Roadmap Reference</w:t>
      </w:r>
      <w:r/>
    </w:p>
    <w:p>
      <w:pPr>
        <w:widowControl/>
        <w:spacing w:after="80"/>
      </w:pPr>
      <w:r>
        <w:t>A detailed gap analysis document tracks all planned improvements across Phases 4 through 6, including enhanced port scanning depth, technology fingerprinting improvements, continuous monitoring capabilities, and broker API integration. Contact Phishield support for access to the current roadmap.</w:t>
      </w:r>
    </w:p>
    <w:p>
      <w:pPr>
        <w:keepNext/>
        <w:spacing w:before="240" w:after="80"/>
      </w:pPr>
      <w:r>
        <w:rPr>
          <w:b/>
          <w:color w:val="003366"/>
          <w:sz w:val="32"/>
        </w:rPr>
        <w:t>10. Glossary</w:t>
      </w:r>
    </w:p>
    <w:p>
      <w:pPr>
        <w:widowControl/>
        <w:spacing w:after="80"/>
      </w:pPr>
      <w:r>
        <w:t>This glossary defines technical terms used throughout the Phishield scanner reports and this manual. Definitions are written for a non-technical audience.</w:t>
      </w:r>
    </w:p>
    <w:p>
      <w:pPr>
        <w:widowControl/>
        <w:spacing w:after="80"/>
      </w:pPr>
      <w:r>
        <w:rPr>
          <w:b/>
        </w:rPr>
        <w:t>AXFR (DNS Zone Transfer)</w:t>
      </w:r>
      <w:r/>
    </w:p>
    <w:p>
      <w:pPr>
        <w:widowControl/>
        <w:spacing w:after="80"/>
      </w:pPr>
      <w:r>
        <w:t>A mechanism for replicating DNS records between servers. If misconfigured, it allows anyone to download a complete list of all DNS records for a domain, revealing internal hostnames and network structure.</w:t>
      </w:r>
    </w:p>
    <w:p>
      <w:pPr>
        <w:widowControl/>
        <w:spacing w:after="80"/>
      </w:pPr>
      <w:r>
        <w:rPr>
          <w:b/>
        </w:rPr>
        <w:t>BEC (Business Email Compromise)</w:t>
      </w:r>
      <w:r/>
    </w:p>
    <w:p>
      <w:pPr>
        <w:widowControl/>
        <w:spacing w:after="80"/>
      </w:pPr>
      <w:r>
        <w:t>A type of fraud where an attacker impersonates a trusted person (such as a CEO or supplier) via email to trick employees into transferring money or sharing sensitive information.</w:t>
      </w:r>
    </w:p>
    <w:p>
      <w:pPr>
        <w:widowControl/>
        <w:spacing w:after="80"/>
      </w:pPr>
      <w:r>
        <w:rPr>
          <w:b/>
        </w:rPr>
        <w:t>BIMI (Brand Indicators for Message Identification)</w:t>
      </w:r>
      <w:r/>
    </w:p>
    <w:p>
      <w:pPr>
        <w:widowControl/>
        <w:spacing w:after="80"/>
      </w:pPr>
      <w:r>
        <w:t>A standard that allows organisations to display their brand logo next to authenticated emails in recipients' inboxes. Requires DMARC enforcement and a verified logo certificate.</w:t>
      </w:r>
    </w:p>
    <w:p>
      <w:pPr>
        <w:widowControl/>
        <w:spacing w:after="80"/>
      </w:pPr>
      <w:r>
        <w:rPr>
          <w:b/>
        </w:rPr>
        <w:t>CAA (Certificate Authority Authorization)</w:t>
      </w:r>
      <w:r/>
    </w:p>
    <w:p>
      <w:pPr>
        <w:widowControl/>
        <w:spacing w:after="80"/>
      </w:pPr>
      <w:r>
        <w:t>A DNS record that specifies which certificate authorities are permitted to issue SSL/TLS certificates for a domain. Prevents unauthorised certificate issuance.</w:t>
      </w:r>
    </w:p>
    <w:p>
      <w:pPr>
        <w:widowControl/>
        <w:spacing w:after="80"/>
      </w:pPr>
      <w:r>
        <w:rPr>
          <w:b/>
        </w:rPr>
        <w:t>CDN (Content Delivery Network)</w:t>
      </w:r>
      <w:r/>
    </w:p>
    <w:p>
      <w:pPr>
        <w:widowControl/>
        <w:spacing w:after="80"/>
      </w:pPr>
      <w:r>
        <w:t>A globally distributed network of servers that caches and delivers website content from locations close to the user, improving performance and providing a layer of protection against direct attacks on the origin server.</w:t>
      </w:r>
    </w:p>
    <w:p>
      <w:pPr>
        <w:widowControl/>
        <w:spacing w:after="80"/>
      </w:pPr>
      <w:r>
        <w:rPr>
          <w:b/>
        </w:rPr>
        <w:t>CNAME (Canonical Name Record)</w:t>
      </w:r>
      <w:r/>
    </w:p>
    <w:p>
      <w:pPr>
        <w:widowControl/>
        <w:spacing w:after="80"/>
      </w:pPr>
      <w:r>
        <w:t>A DNS record that maps one domain name to another. Used for aliasing subdomains to other services. A dangling CNAME (pointing to a decommissioned service) can enable subdomain takeover attacks.</w:t>
      </w:r>
    </w:p>
    <w:p>
      <w:pPr>
        <w:widowControl/>
        <w:spacing w:after="80"/>
      </w:pPr>
      <w:r>
        <w:rPr>
          <w:b/>
        </w:rPr>
        <w:t>Credential Stuffing</w:t>
      </w:r>
      <w:r/>
    </w:p>
    <w:p>
      <w:pPr>
        <w:widowControl/>
        <w:spacing w:after="80"/>
      </w:pPr>
      <w:r>
        <w:t>An automated attack that uses leaked username-password pairs from one breach to attempt login on other websites, exploiting the common practice of password reuse.</w:t>
      </w:r>
    </w:p>
    <w:p>
      <w:pPr>
        <w:widowControl/>
        <w:spacing w:after="80"/>
      </w:pPr>
      <w:r>
        <w:rPr>
          <w:b/>
        </w:rPr>
        <w:t>CSP (Content Security Policy)</w:t>
      </w:r>
      <w:r/>
    </w:p>
    <w:p>
      <w:pPr>
        <w:widowControl/>
        <w:spacing w:after="80"/>
      </w:pPr>
      <w:r>
        <w:t>An HTTP security header that tells browsers which sources of content (scripts, stylesheets, images) are permitted on a web page. A strong CSP significantly reduces the risk of cross-site scripting (XSS) attacks.</w:t>
      </w:r>
    </w:p>
    <w:p>
      <w:pPr>
        <w:widowControl/>
        <w:spacing w:after="80"/>
      </w:pPr>
      <w:r>
        <w:rPr>
          <w:b/>
        </w:rPr>
        <w:t>CVE (Common Vulnerabilities and Exposures)</w:t>
      </w:r>
      <w:r/>
    </w:p>
    <w:p>
      <w:pPr>
        <w:widowControl/>
        <w:spacing w:after="80"/>
      </w:pPr>
      <w:r>
        <w:t>A standardised identifier (e.g., CVE-2024-12345) assigned to a publicly known security vulnerability. CVEs enable consistent tracking and communication about specific vulnerabilities across tools and organisations.</w:t>
      </w:r>
    </w:p>
    <w:p>
      <w:pPr>
        <w:widowControl/>
        <w:spacing w:after="80"/>
      </w:pPr>
      <w:r>
        <w:rPr>
          <w:b/>
        </w:rPr>
        <w:t>CVSS (Common Vulnerability Scoring System)</w:t>
      </w:r>
      <w:r/>
    </w:p>
    <w:p>
      <w:pPr>
        <w:widowControl/>
        <w:spacing w:after="80"/>
      </w:pPr>
      <w:r>
        <w:t>A numerical scoring system (0-10) that rates the severity of security vulnerabilities. Scores are categorised as Low (0.1-3.9), Medium (4.0-6.9), High (7.0-8.9), and Critical (9.0-10.0).</w:t>
      </w:r>
    </w:p>
    <w:p>
      <w:pPr>
        <w:widowControl/>
        <w:spacing w:after="80"/>
      </w:pPr>
      <w:r>
        <w:rPr>
          <w:b/>
        </w:rPr>
        <w:t>DANE (DNS-based Authentication of Named Entities)</w:t>
      </w:r>
      <w:r/>
    </w:p>
    <w:p>
      <w:pPr>
        <w:widowControl/>
        <w:spacing w:after="80"/>
      </w:pPr>
      <w:r>
        <w:t>A protocol that uses DNS records (TLSA) to associate a domain's TLS certificate with its DNS name, providing an additional layer of certificate verification independent of certificate authorities.</w:t>
      </w:r>
    </w:p>
    <w:p>
      <w:pPr>
        <w:widowControl/>
        <w:spacing w:after="80"/>
      </w:pPr>
      <w:r>
        <w:rPr>
          <w:b/>
        </w:rPr>
        <w:t>DBI (Data Breach Impact Score)</w:t>
      </w:r>
      <w:r/>
    </w:p>
    <w:p>
      <w:pPr>
        <w:widowControl/>
        <w:spacing w:after="80"/>
      </w:pPr>
      <w:r>
        <w:t>A Phishield metric that estimates the potential impact of a data breach on the target organisation, based on the volume and sensitivity of exposed data, the recency of breaches, and the presence of active threats such as infostealers.</w:t>
      </w:r>
    </w:p>
    <w:p>
      <w:pPr>
        <w:widowControl/>
        <w:spacing w:after="80"/>
      </w:pPr>
      <w:r>
        <w:rPr>
          <w:b/>
        </w:rPr>
        <w:t>DKIM (DomainKeys Identified Mail)</w:t>
      </w:r>
      <w:r/>
    </w:p>
    <w:p>
      <w:pPr>
        <w:widowControl/>
        <w:spacing w:after="80"/>
      </w:pPr>
      <w:r>
        <w:t>An email authentication method that uses cryptographic signatures to verify that an email was sent by the domain it claims to be from and was not altered in transit.</w:t>
      </w:r>
    </w:p>
    <w:p>
      <w:pPr>
        <w:widowControl/>
        <w:spacing w:after="80"/>
      </w:pPr>
      <w:r>
        <w:rPr>
          <w:b/>
        </w:rPr>
        <w:t>DMARC (Domain-based Message Authentication, Reporting &amp; Conformance)</w:t>
      </w:r>
      <w:r/>
    </w:p>
    <w:p>
      <w:pPr>
        <w:widowControl/>
        <w:spacing w:after="80"/>
      </w:pPr>
      <w:r>
        <w:t>An email authentication policy that builds on SPF and DKIM. It tells receiving mail servers what to do with emails that fail authentication (none, quarantine, or reject) and provides reporting on authentication results.</w:t>
      </w:r>
    </w:p>
    <w:p>
      <w:pPr>
        <w:widowControl/>
        <w:spacing w:after="80"/>
      </w:pPr>
      <w:r>
        <w:rPr>
          <w:b/>
        </w:rPr>
        <w:t>DNS (Domain Name System)</w:t>
      </w:r>
      <w:r/>
    </w:p>
    <w:p>
      <w:pPr>
        <w:widowControl/>
        <w:spacing w:after="80"/>
      </w:pPr>
      <w:r>
        <w:t>The internet's address book. DNS translates human-readable domain names (e.g., example.co.za) into numerical IP addresses that computers use to locate servers on the internet.</w:t>
      </w:r>
    </w:p>
    <w:p>
      <w:pPr>
        <w:widowControl/>
        <w:spacing w:after="80"/>
      </w:pPr>
      <w:r>
        <w:rPr>
          <w:b/>
        </w:rPr>
        <w:t>DNSBL (DNS-based Blackhole List)</w:t>
      </w:r>
      <w:r/>
    </w:p>
    <w:p>
      <w:pPr>
        <w:widowControl/>
        <w:spacing w:after="80"/>
      </w:pPr>
      <w:r>
        <w:t>A list of IP addresses and domains that have been identified as sources of spam or malicious activity. If a domain appears on a DNSBL, its emails may be blocked or flagged by recipients' mail servers.</w:t>
      </w:r>
    </w:p>
    <w:p>
      <w:pPr>
        <w:widowControl/>
        <w:spacing w:after="80"/>
      </w:pPr>
      <w:r>
        <w:rPr>
          <w:b/>
        </w:rPr>
        <w:t>EOL (End of Life)</w:t>
      </w:r>
      <w:r/>
    </w:p>
    <w:p>
      <w:pPr>
        <w:widowControl/>
        <w:spacing w:after="80"/>
      </w:pPr>
      <w:r>
        <w:t>The date after which a software product no longer receives security patches or support from its vendor. Running EOL software exposes the organisation to unpatched vulnerabilities.</w:t>
      </w:r>
    </w:p>
    <w:p>
      <w:pPr>
        <w:widowControl/>
        <w:spacing w:after="80"/>
      </w:pPr>
      <w:r>
        <w:rPr>
          <w:b/>
        </w:rPr>
        <w:t>EPSS (Exploit Prediction Scoring System)</w:t>
      </w:r>
      <w:r/>
    </w:p>
    <w:p>
      <w:pPr>
        <w:widowControl/>
        <w:spacing w:after="80"/>
      </w:pPr>
      <w:r>
        <w:t>A model maintained by FIRST.org that estimates the probability (0-100%) that a given CVE will be exploited in the wild within the next 30 days. Helps prioritise patching by likelihood of exploitation rather than severity alone.</w:t>
      </w:r>
    </w:p>
    <w:p>
      <w:pPr>
        <w:widowControl/>
        <w:spacing w:after="80"/>
      </w:pPr>
      <w:r>
        <w:rPr>
          <w:b/>
        </w:rPr>
        <w:t>Hybrid Financial Impact Model (derived from FAIR)</w:t>
      </w:r>
      <w:r/>
    </w:p>
    <w:p>
      <w:pPr>
        <w:widowControl/>
        <w:spacing w:after="80"/>
      </w:pPr>
      <w:r>
        <w:t>A quantitative risk analysis model that expresses cyber risk in financial terms. The Phishield scanner uses a hybrid approach derived from FAIR principles, anchored to IBM SA breach cost data and calibrated with Sophos SA 2025 and actual insurance claims data.</w:t>
      </w:r>
    </w:p>
    <w:p>
      <w:pPr>
        <w:widowControl/>
        <w:spacing w:after="80"/>
      </w:pPr>
      <w:r>
        <w:rPr>
          <w:b/>
        </w:rPr>
        <w:t>HSTS (HTTP Strict Transport Security)</w:t>
      </w:r>
      <w:r/>
    </w:p>
    <w:p>
      <w:pPr>
        <w:widowControl/>
        <w:spacing w:after="80"/>
      </w:pPr>
      <w:r>
        <w:t>An HTTP header that instructs browsers to only connect to the website over HTTPS, preventing downgrade attacks that could intercept traffic over unencrypted HTTP.</w:t>
      </w:r>
    </w:p>
    <w:p>
      <w:pPr>
        <w:widowControl/>
        <w:spacing w:after="80"/>
      </w:pPr>
      <w:r>
        <w:rPr>
          <w:b/>
        </w:rPr>
        <w:t>Infostealer</w:t>
      </w:r>
      <w:r/>
    </w:p>
    <w:p>
      <w:pPr>
        <w:widowControl/>
        <w:spacing w:after="80"/>
      </w:pPr>
      <w:r>
        <w:t>A type of malware that silently captures passwords, browser cookies, cryptocurrency wallets, and other sensitive data from infected computers and sends it to attackers. Infostealers represent an active, ongoing compromise.</w:t>
      </w:r>
    </w:p>
    <w:p>
      <w:pPr>
        <w:widowControl/>
        <w:spacing w:after="80"/>
      </w:pPr>
      <w:r>
        <w:rPr>
          <w:b/>
        </w:rPr>
        <w:t>ISO 27001</w:t>
      </w:r>
      <w:r/>
    </w:p>
    <w:p>
      <w:pPr>
        <w:widowControl/>
        <w:spacing w:after="80"/>
      </w:pPr>
      <w:r>
        <w:t>An international standard for information security management systems (ISMS). It provides a systematic approach to managing sensitive information through policies, processes, and controls.</w:t>
      </w:r>
    </w:p>
    <w:p>
      <w:pPr>
        <w:widowControl/>
        <w:spacing w:after="80"/>
      </w:pPr>
      <w:r>
        <w:rPr>
          <w:b/>
        </w:rPr>
        <w:t>KEV (Known Exploited Vulnerabilities)</w:t>
      </w:r>
      <w:r/>
    </w:p>
    <w:p>
      <w:pPr>
        <w:widowControl/>
        <w:spacing w:after="80"/>
      </w:pPr>
      <w:r>
        <w:t>A catalog maintained by CISA (the U.S. Cybersecurity and Infrastructure Security Agency) listing CVEs that are confirmed to have been exploited in real-world attacks. Presence on this list indicates an urgent patching priority.</w:t>
      </w:r>
    </w:p>
    <w:p>
      <w:pPr>
        <w:widowControl/>
        <w:spacing w:after="80"/>
      </w:pPr>
      <w:r>
        <w:rPr>
          <w:b/>
        </w:rPr>
        <w:t>Monte Carlo Simulation</w:t>
      </w:r>
      <w:r/>
    </w:p>
    <w:p>
      <w:pPr>
        <w:widowControl/>
        <w:spacing w:after="80"/>
      </w:pPr>
      <w:r>
        <w:t>A statistical technique that runs thousands of random simulations to estimate a range of possible outcomes. The Phishield scanner uses it to estimate financial impact ranges for potential cyber incidents.</w:t>
      </w:r>
    </w:p>
    <w:p>
      <w:pPr>
        <w:widowControl/>
        <w:spacing w:after="80"/>
      </w:pPr>
      <w:r>
        <w:rPr>
          <w:b/>
        </w:rPr>
        <w:t>MTA-STS (Mail Transfer Agent Strict Transport Security)</w:t>
      </w:r>
      <w:r/>
    </w:p>
    <w:p>
      <w:pPr>
        <w:widowControl/>
        <w:spacing w:after="80"/>
      </w:pPr>
      <w:r>
        <w:t>A standard that enables a domain to declare that it supports encrypted email delivery (TLS) and that sending servers should refuse to deliver email if encryption cannot be established.</w:t>
      </w:r>
    </w:p>
    <w:p>
      <w:pPr>
        <w:widowControl/>
        <w:spacing w:after="80"/>
      </w:pPr>
      <w:r>
        <w:rPr>
          <w:b/>
        </w:rPr>
        <w:t>NIST CSF 2.0 (National Institute of Standards and Technology Cybersecurity Framework version 2.0)</w:t>
      </w:r>
      <w:r/>
    </w:p>
    <w:p>
      <w:pPr>
        <w:widowControl/>
        <w:spacing w:after="80"/>
      </w:pPr>
      <w:r>
        <w:t>A widely adopted cybersecurity framework organised around six functions: Govern, Identify, Protect, Detect, Respond, and Recover. Used as a reference for mapping security findings to best-practice controls.</w:t>
      </w:r>
    </w:p>
    <w:p>
      <w:pPr>
        <w:widowControl/>
        <w:spacing w:after="80"/>
      </w:pPr>
      <w:r>
        <w:rPr>
          <w:b/>
        </w:rPr>
        <w:t>OCSP (Online Certificate Status Protocol)</w:t>
      </w:r>
      <w:r/>
    </w:p>
    <w:p>
      <w:pPr>
        <w:widowControl/>
        <w:spacing w:after="80"/>
      </w:pPr>
      <w:r>
        <w:t>A protocol used to check in real time whether an SSL/TLS certificate has been revoked by its certificate authority. Ensures that browsers and servers are not trusting compromised certificates.</w:t>
      </w:r>
    </w:p>
    <w:p>
      <w:pPr>
        <w:widowControl/>
        <w:spacing w:after="80"/>
      </w:pPr>
      <w:r>
        <w:rPr>
          <w:b/>
        </w:rPr>
        <w:t>PCI DSS (Payment Card Industry Data Security Standard)</w:t>
      </w:r>
      <w:r/>
    </w:p>
    <w:p>
      <w:pPr>
        <w:widowControl/>
        <w:spacing w:after="80"/>
      </w:pPr>
      <w:r>
        <w:t>A set of security standards for organisations that handle credit card data. Compliance is required for any business that processes, stores, or transmits cardholder data.</w:t>
      </w:r>
    </w:p>
    <w:p>
      <w:pPr>
        <w:widowControl/>
        <w:spacing w:after="80"/>
      </w:pPr>
      <w:r>
        <w:rPr>
          <w:b/>
        </w:rPr>
        <w:t>PERT Distribution</w:t>
      </w:r>
      <w:r/>
    </w:p>
    <w:p>
      <w:pPr>
        <w:widowControl/>
        <w:spacing w:after="80"/>
      </w:pPr>
      <w:r>
        <w:t>A probability distribution used in the hybrid financial impact model to represent uncertain values with a minimum, most likely, and maximum estimate. It produces more realistic estimates than simple averages by weighting the most likely value more heavily.</w:t>
      </w:r>
    </w:p>
    <w:p>
      <w:pPr>
        <w:widowControl/>
        <w:spacing w:after="80"/>
      </w:pPr>
      <w:r>
        <w:rPr>
          <w:b/>
        </w:rPr>
        <w:t>Phishing</w:t>
      </w:r>
      <w:r/>
    </w:p>
    <w:p>
      <w:pPr>
        <w:widowControl/>
        <w:spacing w:after="80"/>
      </w:pPr>
      <w:r>
        <w:t>A social engineering attack where fraudulent emails, messages, or websites impersonate trusted entities to trick people into revealing sensitive information such as passwords or financial details.</w:t>
      </w:r>
    </w:p>
    <w:p>
      <w:pPr>
        <w:widowControl/>
        <w:spacing w:after="80"/>
      </w:pPr>
      <w:r>
        <w:rPr>
          <w:b/>
        </w:rPr>
        <w:t>POPIA (Protection of Personal Information Act)</w:t>
      </w:r>
      <w:r/>
    </w:p>
    <w:p>
      <w:pPr>
        <w:widowControl/>
        <w:spacing w:after="80"/>
      </w:pPr>
      <w:r>
        <w:t>South Africa's data protection legislation that governs the collection, processing, and storage of personal information. Organisations must comply with POPIA requirements to protect individuals' personal data.</w:t>
      </w:r>
    </w:p>
    <w:p>
      <w:pPr>
        <w:widowControl/>
        <w:spacing w:after="80"/>
      </w:pPr>
      <w:r>
        <w:rPr>
          <w:b/>
        </w:rPr>
        <w:t>Privacy Policy</w:t>
      </w:r>
      <w:r/>
    </w:p>
    <w:p>
      <w:pPr>
        <w:widowControl/>
        <w:spacing w:after="80"/>
      </w:pPr>
      <w:r>
        <w:t>A statement on a website that discloses how the organisation collects, uses, stores, and protects visitors' personal information. Required by POPIA and other data protection regulations.</w:t>
      </w:r>
    </w:p>
    <w:p>
      <w:pPr>
        <w:widowControl/>
        <w:spacing w:after="80"/>
      </w:pPr>
      <w:r>
        <w:rPr>
          <w:b/>
        </w:rPr>
        <w:t>Ransomware</w:t>
      </w:r>
      <w:r/>
    </w:p>
    <w:p>
      <w:pPr>
        <w:widowControl/>
        <w:spacing w:after="80"/>
      </w:pPr>
      <w:r>
        <w:t>Malicious software that encrypts a victim's files or systems and demands payment (a ransom) for the decryption key. Ransomware attacks can halt business operations entirely and often involve data exfiltration for additional extortion.</w:t>
      </w:r>
    </w:p>
    <w:p>
      <w:pPr>
        <w:widowControl/>
        <w:spacing w:after="80"/>
      </w:pPr>
      <w:r>
        <w:rPr>
          <w:b/>
        </w:rPr>
        <w:t>RDP (Remote Desktop Protocol)</w:t>
      </w:r>
      <w:r/>
    </w:p>
    <w:p>
      <w:pPr>
        <w:widowControl/>
        <w:spacing w:after="80"/>
      </w:pPr>
      <w:r>
        <w:t>A Microsoft protocol that allows remote access to a computer's desktop. Exposed RDP services are a top target for attackers because they provide direct interactive access to systems.</w:t>
      </w:r>
    </w:p>
    <w:p>
      <w:pPr>
        <w:widowControl/>
        <w:spacing w:after="80"/>
      </w:pPr>
      <w:r>
        <w:rPr>
          <w:b/>
        </w:rPr>
        <w:t>RSI (Ransomware Susceptibility Index)</w:t>
      </w:r>
      <w:r/>
    </w:p>
    <w:p>
      <w:pPr>
        <w:widowControl/>
        <w:spacing w:after="80"/>
      </w:pPr>
      <w:r>
        <w:t>A Phishield metric that estimates how susceptible the target organisation is to a ransomware attack, based on exposed services, known vulnerabilities, email security posture, and credential exposure.</w:t>
      </w:r>
    </w:p>
    <w:p>
      <w:pPr>
        <w:widowControl/>
        <w:spacing w:after="80"/>
      </w:pPr>
      <w:r>
        <w:rPr>
          <w:b/>
        </w:rPr>
        <w:t>SPF (Sender Policy Framework)</w:t>
      </w:r>
      <w:r/>
    </w:p>
    <w:p>
      <w:pPr>
        <w:widowControl/>
        <w:spacing w:after="80"/>
      </w:pPr>
      <w:r>
        <w:t>An email authentication standard that specifies which mail servers are authorised to send email on behalf of a domain. Helps prevent email spoofing by allowing recipients to verify the sender's legitimacy.</w:t>
      </w:r>
    </w:p>
    <w:p>
      <w:pPr>
        <w:widowControl/>
        <w:spacing w:after="80"/>
      </w:pPr>
      <w:r>
        <w:rPr>
          <w:b/>
        </w:rPr>
        <w:t>SSL/TLS (Secure Sockets Layer / Transport Layer Security)</w:t>
      </w:r>
      <w:r/>
    </w:p>
    <w:p>
      <w:pPr>
        <w:widowControl/>
        <w:spacing w:after="80"/>
      </w:pPr>
      <w:r>
        <w:t>Cryptographic protocols that encrypt communication between a web browser and a server. TLS is the modern successor to SSL. A valid TLS certificate is essential for secure HTTPS connections.</w:t>
      </w:r>
    </w:p>
    <w:p>
      <w:pPr>
        <w:widowControl/>
        <w:spacing w:after="80"/>
      </w:pPr>
      <w:r>
        <w:rPr>
          <w:b/>
        </w:rPr>
        <w:t>TLS-RPT (TLS Reporting)</w:t>
      </w:r>
      <w:r/>
    </w:p>
    <w:p>
      <w:pPr>
        <w:widowControl/>
        <w:spacing w:after="80"/>
      </w:pPr>
      <w:r>
        <w:t>A standard that allows domains to receive reports about failures in TLS-encrypted email delivery. Helps domain owners identify and troubleshoot email encryption issues.</w:t>
      </w:r>
    </w:p>
    <w:p>
      <w:pPr>
        <w:widowControl/>
        <w:spacing w:after="80"/>
      </w:pPr>
      <w:r>
        <w:rPr>
          <w:b/>
        </w:rPr>
        <w:t>Typosquatting</w:t>
      </w:r>
      <w:r/>
    </w:p>
    <w:p>
      <w:pPr>
        <w:widowControl/>
        <w:spacing w:after="80"/>
      </w:pPr>
      <w:r>
        <w:t>The registration of domain names that are slight misspellings or variations of a legitimate domain (e.g., examp1e.com instead of example.com). Used for phishing, brand abuse, or traffic interception.</w:t>
      </w:r>
    </w:p>
    <w:p>
      <w:pPr>
        <w:widowControl/>
        <w:spacing w:after="80"/>
      </w:pPr>
      <w:r>
        <w:rPr>
          <w:b/>
        </w:rPr>
        <w:t>VPN (Virtual Private Network)</w:t>
      </w:r>
      <w:r/>
    </w:p>
    <w:p>
      <w:pPr>
        <w:widowControl/>
        <w:spacing w:after="80"/>
      </w:pPr>
      <w:r>
        <w:t>A technology that creates an encrypted tunnel between a user's device and a remote network. Exposed VPN login portals can be targeted by credential stuffing or vulnerability exploitation.</w:t>
      </w:r>
    </w:p>
    <w:p>
      <w:pPr>
        <w:widowControl/>
        <w:spacing w:after="80"/>
      </w:pPr>
      <w:r>
        <w:rPr>
          <w:b/>
        </w:rPr>
        <w:t>WAF (Web Application Firewall)</w:t>
      </w:r>
      <w:r/>
    </w:p>
    <w:p>
      <w:pPr>
        <w:widowControl/>
        <w:spacing w:after="80"/>
      </w:pPr>
      <w:r>
        <w:t>A security system that monitors and filters HTTP traffic between the internet and a web application. WAFs protect against common web attacks such as SQL injection, cross-site scripting, and DDoS attacks.</w:t>
      </w:r>
    </w:p>
    <w:p>
      <w:pPr>
        <w:widowControl/>
        <w:spacing w:after="80"/>
      </w:pPr>
      <w:r>
        <w:rPr>
          <w:b/>
        </w:rPr>
        <w:t>Zero-day</w:t>
      </w:r>
      <w:r/>
    </w:p>
    <w:p>
      <w:pPr>
        <w:widowControl/>
        <w:spacing w:after="80"/>
      </w:pPr>
      <w:r>
        <w:t>A vulnerability that is unknown to the software vendor and for which no patch exists. Zero-day vulnerabilities are particularly dangerous because there is no available fix at the time of discovery or exploitation.</w:t>
      </w:r>
    </w:p>
    <w:p>
      <w:pPr>
        <w:widowControl/>
        <w:spacing w:after="80"/>
      </w:pPr>
      <w:r>
        <w:rPr>
          <w:b/>
        </w:rPr>
        <w:t>Accountable Institution (FIC Act)</w:t>
      </w:r>
      <w:r/>
    </w:p>
    <w:p>
      <w:pPr>
        <w:widowControl/>
        <w:spacing w:after="80"/>
      </w:pPr>
      <w:r>
        <w:t>An entity listed in Schedule 1 of the Financial Intelligence Centre Act 38 of 2001. Includes banks, brokers, attorneys, estate agents, dealers in precious metals, casinos, motor vehicle dealers, and crypto asset service providers. Accountable institutions face FIC Section 45C administrative penalties up to R50M for legal persons (R10M for natural persons) for AML/CFT non-compliance.</w:t>
      </w:r>
    </w:p>
    <w:p>
      <w:pPr>
        <w:widowControl/>
        <w:spacing w:after="80"/>
      </w:pPr>
      <w:r>
        <w:rPr>
          <w:b/>
        </w:rPr>
        <w:t>B2C (Business to Consumer)</w:t>
      </w:r>
      <w:r/>
    </w:p>
    <w:p>
      <w:pPr>
        <w:widowControl/>
        <w:spacing w:after="80"/>
      </w:pPr>
      <w:r>
        <w:t>An entity whose primary customer is an individual consumer rather than another business. B2C trigger applies the Consumer Protection Act Section 112 administrative fine: 10% of annual turnover or R1M, whichever is greater. Auto-inferred from consumer-facing sub-industry labels (Retail, Health Services, Personal Services, etc.) and supporting payment-form signals.</w:t>
      </w:r>
    </w:p>
    <w:p>
      <w:pPr>
        <w:widowControl/>
        <w:spacing w:after="80"/>
      </w:pPr>
      <w:r>
        <w:rPr>
          <w:b/>
        </w:rPr>
        <w:t>Capacity Factor (Enterprise)</w:t>
      </w:r>
      <w:r/>
    </w:p>
    <w:p>
      <w:pPr>
        <w:widowControl/>
        <w:spacing w:after="80"/>
      </w:pPr>
      <w:r>
        <w:t>A revenue-band scaling factor applied to all statutory maxima in the catastrophe regulatory stack. Reflects the Information Regulator's Section 109(3) 'extent and ability' considerations and equivalent enforcement-discretion patterns across other SA regulators. Range: 0.10 for entities below R10M revenue to 1.00 for entities at or above R10B. Ensures a small FSP does not face the same cat ceiling as a major insurer.</w:t>
      </w:r>
    </w:p>
    <w:p>
      <w:pPr>
        <w:widowControl/>
        <w:spacing w:after="80"/>
      </w:pPr>
      <w:r>
        <w:rPr>
          <w:b/>
        </w:rPr>
        <w:t>Catastrophe Regulatory Stack</w:t>
      </w:r>
      <w:r/>
    </w:p>
    <w:p>
      <w:pPr>
        <w:widowControl/>
        <w:spacing w:after="80"/>
      </w:pPr>
      <w:r>
        <w:t>The sum of every applicable regulatory framework's statutory maximum (capacity-scaled) used for the 1-in-100, 1-in-200, and 1-in-250 catastrophe loss views. Includes POPIA Section 109, ECTA Section 89, GDPR (if EU data), PCI DSS (if card data), CPA Section 112 (if B2C), JSE Listings Requirements (if listed), FIC Act Section 45C (if accountable institution), and sector-specific frameworks resolved from the sub-industry (FSCA, FAIS, NHA, HPCSA, ICASA, MHSA, PFMA, etc.).</w:t>
      </w:r>
    </w:p>
    <w:p>
      <w:pPr>
        <w:widowControl/>
        <w:spacing w:after="80"/>
      </w:pPr>
      <w:r>
        <w:rPr>
          <w:b/>
        </w:rPr>
        <w:t>Civil Liability Disclosure</w:t>
      </w:r>
      <w:r/>
    </w:p>
    <w:p>
      <w:pPr>
        <w:widowControl/>
        <w:spacing w:after="80"/>
      </w:pPr>
      <w:r>
        <w:t>A required disclosure in the financial impact section of the report. States that the model's figures exclude civil liability under POPIA Section 99 (uncapped), common-law delict, contractual indemnities, master service agreement penalties, and third-party claims. These exposures depend on contractual data invisible to an external scan and can materially exceed the regulatory fine figures shown.</w:t>
      </w:r>
    </w:p>
    <w:p>
      <w:pPr>
        <w:widowControl/>
        <w:spacing w:after="80"/>
      </w:pPr>
      <w:r>
        <w:rPr>
          <w:b/>
        </w:rPr>
        <w:t>GPD (Generalised Pareto Distribution)</w:t>
      </w:r>
      <w:r/>
    </w:p>
    <w:p>
      <w:pPr>
        <w:widowControl/>
        <w:spacing w:after="80"/>
      </w:pPr>
      <w:r>
        <w:t>A statistical distribution used to model the tail of a heavy-tailed distribution above a high threshold (Peaks Over Threshold method). The scanner's Monte Carlo engine fits a GPD above the P95 percentile using a pure-numpy method-of-moments estimator, then extrapolates the P99, P99.5, and P99.6 percentiles from the fitted tail. Falls back to raw percentiles if the fit fails sanity checks.</w:t>
      </w:r>
    </w:p>
    <w:p>
      <w:pPr>
        <w:widowControl/>
        <w:spacing w:after="80"/>
      </w:pPr>
      <w:r>
        <w:rPr>
          <w:b/>
        </w:rPr>
        <w:t>Loss Exposure Scenarios</w:t>
      </w:r>
      <w:r/>
    </w:p>
    <w:p>
      <w:pPr>
        <w:widowControl/>
        <w:spacing w:after="80"/>
      </w:pPr>
      <w:r>
        <w:t>A table presenting five modelled annual loss outcomes (Most Likely / Median / 1-in-100 / 1-in-200 / 1-in-250) in place of the previous Recommended Cover Limit figure. Provides analytical inputs for a broker / client cover-sizing decision without making that decision on behalf of the insured. FAIS reasonable-advice compliance.</w:t>
      </w:r>
    </w:p>
    <w:p>
      <w:pPr>
        <w:widowControl/>
        <w:spacing w:after="80"/>
      </w:pPr>
      <w:r>
        <w:rPr>
          <w:b/>
        </w:rPr>
        <w:t>POPIA Section 99 (Civil Action)</w:t>
      </w:r>
      <w:r/>
    </w:p>
    <w:p>
      <w:pPr>
        <w:widowControl/>
        <w:spacing w:after="80"/>
      </w:pPr>
      <w:r>
        <w:t>Section 99 of the Protection of Personal Information Act 4 of 2013. Permits a data subject (or the Information Regulator on the subject's behalf) to institute civil action against a responsible party for breach of the Act. Damages can include patrimonial loss, non-patrimonial loss, aggravated damages, interest, and costs. NO STATUTORY CAP applies.</w:t>
      </w:r>
    </w:p>
    <w:p>
      <w:pPr>
        <w:widowControl/>
        <w:spacing w:after="80"/>
      </w:pPr>
      <w:r>
        <w:rPr>
          <w:b/>
        </w:rPr>
        <w:t>POPIA Section 109 (Administrative Fine)</w:t>
      </w:r>
      <w:r/>
    </w:p>
    <w:p>
      <w:pPr>
        <w:widowControl/>
        <w:spacing w:after="80"/>
      </w:pPr>
      <w:r>
        <w:t>Section 109 of the Protection of Personal Information Act 4 of 2013. Empowers the Information Regulator to impose an administrative fine not exceeding R10 million for contravention of the Act. Section 109(3) lists eight factors the Regulator must consider when determining the fine amount: nature of the personal information; duration and extent of the contravention; number of data subjects affected; public-importance issues; likelihood of substantial damage; prevention possibility; failure to conduct risk assessments; previous offence history. Note: the previous reference to 'Section 107' in earlier versions of the report was incorrect - Section 107 governs criminal penalties (court-imposed, post-conviction).</w:t>
      </w:r>
    </w:p>
    <w:p>
      <w:pPr>
        <w:widowControl/>
        <w:spacing w:after="80"/>
      </w:pPr>
      <w:r>
        <w:rPr>
          <w:b/>
        </w:rPr>
        <w:t>Pre-flight Auto-detection</w:t>
      </w:r>
      <w:r/>
    </w:p>
    <w:p>
      <w:pPr>
        <w:widowControl/>
        <w:spacing w:after="80"/>
      </w:pPr>
      <w:r>
        <w:t>A lightweight detection pass run by the /api/preflight endpoint before the full scan starts. Resolves the regulatory flags (listed_company, b2c, accountable_institution, GDPR, PCI, healthcare sub-detail) from a single HTTP fetch plus the sub-industry. Results pre-fill the broker form with badge-marked suggestions the broker can confirm or override before submitting the full scan. Both broker input and auto-detected values are recorded in the scan output for the FAIS audit trail.</w:t>
      </w:r>
    </w:p>
    <w:p>
      <w:pPr>
        <w:widowControl/>
        <w:spacing w:after="80"/>
      </w:pPr>
      <w:r>
        <w:rPr>
          <w:b/>
        </w:rPr>
        <w:t>Regulatory Flag Audit</w:t>
      </w:r>
      <w:r/>
    </w:p>
    <w:p>
      <w:pPr>
        <w:widowControl/>
        <w:spacing w:after="80"/>
      </w:pPr>
      <w:r>
        <w:t>A panel in the report showing broker-input vs auto-detected values for every regulatory flag, side-by-side with the evidence supporting each auto-detection. Broker input is authoritative (drives the catastrophe stack calculation) but the auto-detected value remains visible as an independent check. Discrepancies are not errors - they reflect broker knowledge of context the scanner cannot observe (e.g. unlisted contractual EU customer relationships).</w:t>
      </w:r>
    </w:p>
    <w:p>
      <w:pPr>
        <w:widowControl/>
        <w:spacing w:after="80"/>
      </w:pPr>
      <w:r>
        <w:rPr>
          <w:b/>
        </w:rPr>
        <w:t>Return Period</w:t>
      </w:r>
      <w:r/>
    </w:p>
    <w:p>
      <w:pPr>
        <w:widowControl/>
        <w:spacing w:after="80"/>
      </w:pPr>
      <w:r>
        <w:t>An actuarial / reinsurance term denoting the average interval between events of a given severity. A 1-in-100 year event has a 1% annual exceedance probability (P99 percentile of the loss distribution); 1-in-200 = 0.5% (P99.5); 1-in-250 = 0.4% (P99.6). These figures are surfaced as Loss Exposure Scenarios for catastrophe cover-sizing discussion.</w:t>
      </w:r>
    </w:p>
    <w:p>
      <w:pPr>
        <w:widowControl/>
        <w:spacing w:after="80"/>
      </w:pPr>
      <w:r>
        <w:rPr>
          <w:b/>
        </w:rPr>
        <w:t>Scan Duration Profile</w:t>
      </w:r>
      <w:r/>
    </w:p>
    <w:p>
      <w:pPr>
        <w:widowControl/>
        <w:spacing w:after="80"/>
      </w:pPr>
      <w:r>
        <w:t>A section in the full PDF report listing per-checker wall-clock time for the scan. Both an SLA quality signal for brokers and an operational diagnostic primitive for identifying slow checkers. Recorded under _scan_completeness.per_checker_seconds in the JSON output.</w:t>
      </w:r>
    </w:p>
    <w:p>
      <w:pPr>
        <w:widowControl/>
        <w:spacing w:after="80"/>
      </w:pPr>
      <w:r>
        <w:rPr>
          <w:b/>
        </w:rPr>
        <w:t>Sector Framework Mapping</w:t>
      </w:r>
      <w:r/>
    </w:p>
    <w:p>
      <w:pPr>
        <w:widowControl/>
        <w:spacing w:after="80"/>
      </w:pPr>
      <w:r>
        <w:t>An auto-applied resolution from the entity's sub-industry (SIC code) to the regulatory frameworks that could impose fines on that sector. FS sub-industries map to FSCA + FIC; Health Services maps to NHA + HPCSA (plus Medical Schemes Act / Pharmacy Act / SAHPRA via sub-industry-detail); telecoms maps to ECA / ICASA; mining maps to MHSA; legal services maps to LPC + FIC; public sector maps to PFMA.</w:t>
      </w:r>
    </w:p>
    <w:p>
      <w:pPr>
        <w:widowControl/>
        <w:spacing w:after="80"/>
      </w:pPr>
      <w:r>
        <w:rPr>
          <w:b/>
        </w:rPr>
        <w:t>Rate Limiter (Token Bucket)</w:t>
      </w:r>
      <w:r/>
    </w:p>
    <w:p>
      <w:pPr>
        <w:widowControl/>
        <w:spacing w:after="80"/>
      </w:pPr>
      <w:r>
        <w:t>Per-apex traffic-pacing component in the scanner's HTTP client. Maintains a token bucket per target apex domain. Each outbound request consumes 1 token; tokens refill at 2 per second up to a burst capacity of 5. When the bucket is empty, the requesting thread sleeps until tokens are available. Different apexes have separate buckets so external API calls are not bottlenecked by target probing.</w:t>
      </w:r>
    </w:p>
    <w:p>
      <w:pPr>
        <w:widowControl/>
        <w:spacing w:after="80"/>
      </w:pPr>
      <w:r>
        <w:rPr>
          <w:b/>
        </w:rPr>
        <w:t>WAF / Bot-Manager Tracker</w:t>
      </w:r>
      <w:r/>
    </w:p>
    <w:p>
      <w:pPr>
        <w:widowControl/>
        <w:spacing w:after="80"/>
      </w:pPr>
      <w:r>
        <w:t>Sliding-window response monitor in the scanner's HTTP client that flags a target apex as 'protected' when the rate of 4xx/5xx/timeout responses or the presence of challenge-page signatures (Cloudflare, Akamai, Imperva, DataDome, PerimeterX, hCaptcha) crosses threshold. Drives the Partial Coverage Notice in the PDF and HTML reports.</w:t>
      </w:r>
    </w:p>
    <w:p>
      <w:pPr>
        <w:widowControl/>
        <w:spacing w:after="80"/>
      </w:pPr>
      <w:r>
        <w:rPr>
          <w:b/>
        </w:rPr>
        <w:t>Partial Coverage Notice</w:t>
      </w:r>
      <w:r/>
    </w:p>
    <w:p>
      <w:pPr>
        <w:widowControl/>
        <w:spacing w:after="80"/>
      </w:pPr>
      <w:r>
        <w:t>A disclosure block rendered in the PDF and HTML report when the WAF tracker flags the target apex as protected during the scan. States explicitly that absence of a finding in affected sections does NOT confirm absence of the underlying risk - the scanner could not verify it because the target's defensive infrastructure intervened. FAIS reasonable-advice compliance: without this notice the report would produce false-negative findings that mislead the broker and client.</w:t>
      </w:r>
    </w:p>
    <w:p>
      <w:pPr>
        <w:widowControl/>
        <w:spacing w:after="80"/>
      </w:pPr>
      <w:r>
        <w:rPr>
          <w:b/>
        </w:rPr>
        <w:t>Probe Cache</w:t>
      </w:r>
      <w:r/>
    </w:p>
    <w:p>
      <w:pPr>
        <w:widowControl/>
        <w:spacing w:after="80"/>
      </w:pPr>
      <w:r>
        <w:t>Interface defined in http_client.py for caching probe results across scans. Default implementation is _NullProbeCache (every lookup misses). Real backing store (SQLite probe_cache table) is deferred to the continuous-monitoring track per gap analysis SCN-026. Refresh rules per response status: 2xx 24h with HEAD re-verify; 404 7d with 10% spot-check; 5xx 1h; WAF (403/406/451) 6h; rate-limited (429/503) 30m; timeout 1h.</w:t>
      </w:r>
    </w:p>
    <w:p>
      <w:pPr>
        <w:widowControl/>
        <w:spacing w:after="80"/>
      </w:pPr>
      <w:r>
        <w:rPr>
          <w:b/>
        </w:rPr>
        <w:t>HEAD-first Discovery</w:t>
      </w:r>
      <w:r/>
    </w:p>
    <w:p>
      <w:pPr>
        <w:widowControl/>
        <w:spacing w:after="80"/>
      </w:pPr>
      <w:r>
        <w:t>Path-existence check pattern that issues a HEAD request to determine whether a URL responds 200, only issuing a GET when content analysis is required. Significantly reduces bandwidth and avoids the directory-enumeration WAF signature that bursts of GETs typically trip.</w:t>
      </w:r>
    </w:p>
    <w:p>
      <w:pPr>
        <w:widowControl/>
        <w:spacing w:after="80"/>
      </w:pPr>
      <w:r>
        <w:rPr>
          <w:b/>
        </w:rPr>
        <w:t>Scanner Self-identification Page</w:t>
      </w:r>
      <w:r/>
    </w:p>
    <w:p>
      <w:pPr>
        <w:widowControl/>
        <w:spacing w:after="80"/>
      </w:pPr>
      <w:r>
        <w:t>Public page served at /scanner-info on the scanner host. Documents the scanner operator (Phishield UMA), what the scanner does and does not do, the typical request profile (2 req/sec, HEAD-first), the source network, a sample WAF whitelist rule for security teams, and a security contact email. The URL is embedded in every scanner request's User-Agent header so security teams investigating scanner traffic can verify legitimacy out-of-band.</w:t>
      </w:r>
    </w:p>
    <w:p>
      <w:pPr>
        <w:widowControl/>
        <w:spacing w:after="80"/>
      </w:pPr>
      <w:r>
        <w:rPr>
          <w:b/>
        </w:rPr>
        <w:t>Peer Rating (1.0-10.0)</w:t>
      </w:r>
      <w:r/>
    </w:p>
    <w:p>
      <w:pPr>
        <w:widowControl/>
        <w:spacing w:after="80"/>
      </w:pPr>
      <w:r>
        <w:t>A comparative score derived from the percentile rank of the assessed organisation's (inverted) risk score against the peer benchmark pool. Higher rating = better security posture relative to peers. Purely comparative; the existing 0-1000 risk score remains the absolute measure that drives the remediation roadmap. Formula: 1.0 + 9.0 * (percentile / 100). The rating is intentionally allowed to take decimal values for granularity (e.g. 7.3 / 10).</w:t>
      </w:r>
    </w:p>
    <w:p>
      <w:pPr>
        <w:widowControl/>
        <w:spacing w:after="80"/>
      </w:pPr>
      <w:r>
        <w:rPr>
          <w:b/>
        </w:rPr>
        <w:t>Peer Benchmark Pool</w:t>
      </w:r>
      <w:r/>
    </w:p>
    <w:p>
      <w:pPr>
        <w:widowControl/>
        <w:spacing w:after="80"/>
      </w:pPr>
      <w:r>
        <w:t>A database of benchmark scans (benchmark_scans table in scans.db) used to compute peer-rating percentiles. Three source classes: 'benchmark_pool' (public-domain reference scans curated by Phishield, refreshed bi-weekly), 'lower_tier_upsell' (Phishield's existing lower-tier client cohort scanned for premier-tier upsell, no broker intermediating), 'client_optin' (broker-paid scans contributed with explicit consent). Pool composition is disclosed in every report so brokers can weight the comparison.</w:t>
      </w:r>
    </w:p>
    <w:p>
      <w:pPr>
        <w:widowControl/>
        <w:spacing w:after="80"/>
      </w:pPr>
      <w:r>
        <w:rPr>
          <w:b/>
        </w:rPr>
        <w:t>Peer Cell Fallback</w:t>
      </w:r>
      <w:r/>
    </w:p>
    <w:p>
      <w:pPr>
        <w:widowControl/>
        <w:spacing w:after="80"/>
      </w:pPr>
      <w:r>
        <w:t>When the most-specific (industry, sub_industry, revenue_band) cell has fewer than 5 peer scans, the lookup widens progressively: drop revenue band, then drop sub_industry, then drop revenue band again, then fall back to the global pool. The cell actually used is disclosed in the report so brokers know how specific the peer comparison is.</w:t>
      </w:r>
    </w:p>
    <w:p>
      <w:pPr>
        <w:widowControl/>
        <w:spacing w:after="80"/>
      </w:pPr>
      <w:r>
        <w:rPr>
          <w:b/>
        </w:rPr>
        <w:t>Critical Findings (cross-checker count)</w:t>
      </w:r>
      <w:r/>
    </w:p>
    <w:p>
      <w:pPr>
        <w:widowControl/>
        <w:spacing w:after="80"/>
      </w:pPr>
      <w:r>
        <w:t>Hero-strip metric counting CRITICAL-severity issues across all checkers: shodan_vulns (critical CVEs + KEV-listed), exposed_admin (critical-classified paths), high_risk_protocols (critical ports), info_disclosure (critical-classified files), ssl (F-grade or expired certificate), dehashed (plaintext passwords leaked), hudson_rock (active infostealer hits), external_ips (zero-scored per-IP risk). Replaces the previously-considered compliance % which could not be reliably determined from external scans alone.</w:t>
      </w:r>
    </w:p>
    <w:p>
      <w:pPr>
        <w:widowControl/>
        <w:spacing w:after="80"/>
      </w:pPr>
      <w:r>
        <w:rPr>
          <w:b/>
        </w:rPr>
        <w:t>Insurance Sub-type Classifier</w:t>
      </w:r>
      <w:r/>
    </w:p>
    <w:p>
      <w:pPr>
        <w:widowControl/>
        <w:spacing w:after="80"/>
      </w:pPr>
      <w:r>
        <w:t>A keyword classifier in flag_inference.py that distinguishes Underwriting Management Agents (UMAs), reinsurers, insurance brokers, and direct insurers from website content (domain, page title, body keywords). The SIC sub-industry code lumps all of these into 'Insurance Agents, Brokers, And Service' / 'Insurance Carriers' but SA FAIS / Insurance Act regulation treats them very differently: UMAs cannot sell directly to consumers (B2B only by regulatory structure), reinsurers sell only to insurers (B2B by definition), brokers and direct insurers can be either B2C or B2B. When UMA or reinsurer is detected, B2C is explicitly negated in the audit panel with evidence; for brokers and carriers, B2C is left unset for broker confirmation.</w:t>
      </w:r>
    </w:p>
    <w:p>
      <w:pPr>
        <w:keepNext/>
        <w:spacing w:before="240" w:after="80"/>
      </w:pPr>
      <w:r>
        <w:rPr>
          <w:b/>
          <w:color w:val="003366"/>
          <w:sz w:val="32"/>
        </w:rPr>
        <w:t>11. Version History</w:t>
      </w:r>
    </w:p>
    <w:p>
      <w:pPr>
        <w:widowControl/>
        <w:spacing w:after="80"/>
      </w:pPr>
      <w:r>
        <w:rPr>
          <w:b/>
        </w:rPr>
        <w:t>v1.0 -- April 2026</w:t>
      </w:r>
      <w:r>
        <w:t>Initial Release</w:t>
      </w:r>
    </w:p>
    <w:p>
      <w:pPr>
        <w:widowControl/>
        <w:spacing w:after="80"/>
      </w:pPr>
      <w:r>
        <w:t>First public release of the Phishield Cyber Risk Scanner User Manual, covering all scanner capabilities delivered through Phase 3 implementation. This version includes:</w:t>
      </w:r>
    </w:p>
    <w:p>
      <w:pPr>
        <w:pStyle w:val="ListParagraph"/>
        <w:widowControl/>
        <w:spacing w:after="40"/>
      </w:pPr>
      <w:r>
        <w:t>Detailed explanations of all 25+ security checkers across six categories (Email Security, Network Security, Web Application Security, Reputation &amp; Intelligence, Identity &amp; Access, Compliance &amp; Privacy).</w:t>
      </w:r>
    </w:p>
    <w:p>
      <w:pPr>
        <w:pStyle w:val="ListParagraph"/>
        <w:widowControl/>
        <w:spacing w:after="40"/>
      </w:pPr>
      <w:r>
        <w:t>Insurance analytics methodology documentation including RSI, DBI, hybrid financial impact model with Monte Carlo simulation, and the remediation roadmap generation logic.</w:t>
      </w:r>
    </w:p>
    <w:p>
      <w:pPr>
        <w:pStyle w:val="ListParagraph"/>
        <w:widowControl/>
        <w:spacing w:after="40"/>
      </w:pPr>
      <w:r>
        <w:t>Complete scoring methodology with category weights, failsafe behaviour, scan completeness calculation, and score reliability guidance.</w:t>
      </w:r>
    </w:p>
    <w:p>
      <w:pPr>
        <w:pStyle w:val="ListParagraph"/>
        <w:widowControl/>
        <w:spacing w:after="40"/>
      </w:pPr>
      <w:r>
        <w:t>API integration guide covering all ten external data sources with cost models, data provided, and toggle availability.</w:t>
      </w:r>
    </w:p>
    <w:p>
      <w:pPr>
        <w:pStyle w:val="ListParagraph"/>
        <w:widowControl/>
        <w:spacing w:after="40"/>
      </w:pPr>
      <w:r>
        <w:t>PDF report format documentation for both the Full Technical Report and Broker Summary, including guidance on reading and interpreting report content.</w:t>
      </w:r>
    </w:p>
    <w:p>
      <w:pPr>
        <w:pStyle w:val="ListParagraph"/>
        <w:widowControl/>
        <w:spacing w:after="40"/>
      </w:pPr>
      <w:r>
        <w:t>Known limitations and planned improvements referencing the Phase 4-6 roadmap.</w:t>
      </w:r>
    </w:p>
    <w:p>
      <w:pPr>
        <w:pStyle w:val="ListParagraph"/>
        <w:widowControl/>
        <w:spacing w:after="40"/>
      </w:pPr>
      <w:r>
        <w:t>Comprehensive glossary of 40+ technical terms written for non-technical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