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97316"/>
          <w:sz w:val="72"/>
        </w:rPr>
        <w:t>PHISHIELD</w:t>
      </w:r>
    </w:p>
    <w:p>
      <w:pPr>
        <w:jc w:val="center"/>
      </w:pPr>
      <w:r>
        <w:rPr>
          <w:rFonts w:ascii="Calibri" w:hAnsi="Calibri"/>
          <w:b/>
          <w:color w:val="0F172A"/>
          <w:sz w:val="56"/>
        </w:rPr>
        <w:t>SME Rating Engine</w:t>
      </w:r>
    </w:p>
    <w:p>
      <w:pPr>
        <w:jc w:val="center"/>
      </w:pPr>
      <w:r>
        <w:rPr>
          <w:rFonts w:ascii="Calibri" w:hAnsi="Calibri"/>
          <w:color w:val="64748B"/>
          <w:sz w:val="40"/>
        </w:rPr>
        <w:t>User Manual</w:t>
      </w:r>
    </w:p>
    <w:p/>
    <w:p>
      <w:pPr>
        <w:jc w:val="center"/>
      </w:pPr>
      <w:r>
        <w:rPr>
          <w:i/>
          <w:color w:val="64748B"/>
          <w:sz w:val="24"/>
        </w:rPr>
        <w:t>Cyber Protect Business Policy (Risk Rated)</w:t>
      </w:r>
    </w:p>
    <w:p/>
    <w:p>
      <w:pPr>
        <w:jc w:val="center"/>
      </w:pPr>
      <w:r>
        <w:rPr>
          <w:color w:val="0F172A"/>
          <w:sz w:val="22"/>
        </w:rPr>
        <w:t>Administrator: Phishield UMA (Pty) Ltd</w:t>
      </w:r>
    </w:p>
    <w:p/>
    <w:p>
      <w:pPr>
        <w:jc w:val="center"/>
      </w:pPr>
      <w:r>
        <w:rPr>
          <w:color w:val="64748B"/>
          <w:sz w:val="20"/>
        </w:rPr>
        <w:t>Version 2.0  |  July 2026</w:t>
        <w:br/>
        <w:t>Confidential — Internal Use Only</w:t>
      </w:r>
    </w:p>
    <w:p>
      <w:r>
        <w:br w:type="page"/>
      </w:r>
    </w:p>
    <w:p>
      <w:pPr>
        <w:pStyle w:val="Heading1"/>
      </w:pPr>
      <w:r>
        <w:rPr>
          <w:rFonts w:ascii="Calibri" w:hAnsi="Calibri"/>
          <w:color w:val="0F172A"/>
          <w:sz w:val="32"/>
        </w:rPr>
        <w:t>Table of Contents</w:t>
      </w:r>
    </w:p>
    <w:p>
      <w:pPr>
        <w:spacing w:after="80"/>
      </w:pPr>
      <w:r>
        <w:rPr>
          <w:sz w:val="22"/>
        </w:rPr>
        <w:t>1. Introduction</w:t>
      </w:r>
    </w:p>
    <w:p>
      <w:pPr>
        <w:spacing w:after="80"/>
      </w:pPr>
      <w:r>
        <w:rPr>
          <w:sz w:val="22"/>
        </w:rPr>
        <w:t xml:space="preserve">   1.4 Decision Flowchart</w:t>
      </w:r>
    </w:p>
    <w:p>
      <w:pPr>
        <w:spacing w:after="80"/>
      </w:pPr>
      <w:r>
        <w:rPr>
          <w:sz w:val="22"/>
        </w:rPr>
        <w:t>2. Getting Started</w:t>
      </w:r>
    </w:p>
    <w:p>
      <w:pPr>
        <w:spacing w:after="80"/>
      </w:pPr>
      <w:r>
        <w:rPr>
          <w:sz w:val="22"/>
        </w:rPr>
        <w:t>3. Step 1: Client &amp; Industry</w:t>
      </w:r>
    </w:p>
    <w:p>
      <w:pPr>
        <w:spacing w:after="80"/>
      </w:pPr>
      <w:r>
        <w:rPr>
          <w:sz w:val="22"/>
        </w:rPr>
        <w:t xml:space="preserve">   3.5 Underwriting Assessment (Q1–Q8) — April 2026 revised</w:t>
      </w:r>
    </w:p>
    <w:p>
      <w:pPr>
        <w:spacing w:after="80"/>
      </w:pPr>
      <w:r>
        <w:rPr>
          <w:sz w:val="22"/>
        </w:rPr>
        <w:t xml:space="preserve">   3.7.1 Renewal Details (three required fields)</w:t>
      </w:r>
    </w:p>
    <w:p>
      <w:pPr>
        <w:spacing w:after="80"/>
      </w:pPr>
      <w:r>
        <w:rPr>
          <w:sz w:val="22"/>
        </w:rPr>
        <w:t xml:space="preserve">   3.7.2 Market Conditions Explained (Renewals)</w:t>
      </w:r>
    </w:p>
    <w:p>
      <w:pPr>
        <w:spacing w:after="80"/>
      </w:pPr>
      <w:r>
        <w:rPr>
          <w:sz w:val="22"/>
        </w:rPr>
        <w:t xml:space="preserve">   3.7.3 Premium-drop Protection (Renewals)</w:t>
      </w:r>
    </w:p>
    <w:p>
      <w:pPr>
        <w:spacing w:after="80"/>
      </w:pPr>
      <w:r>
        <w:rPr>
          <w:sz w:val="22"/>
        </w:rPr>
        <w:t>4. Step 2: Coverage Recommendations &amp; Selection</w:t>
      </w:r>
    </w:p>
    <w:p>
      <w:pPr>
        <w:spacing w:after="80"/>
      </w:pPr>
      <w:r>
        <w:rPr>
          <w:sz w:val="22"/>
        </w:rPr>
        <w:t>5. Step 3: Competitor Quotes &amp; Benchmarking</w:t>
      </w:r>
    </w:p>
    <w:p>
      <w:pPr>
        <w:spacing w:after="80"/>
      </w:pPr>
      <w:r>
        <w:rPr>
          <w:sz w:val="22"/>
        </w:rPr>
        <w:t xml:space="preserve">   5.5 Renewal Behaviour &amp; Insights Banner</w:t>
      </w:r>
    </w:p>
    <w:p>
      <w:pPr>
        <w:spacing w:after="80"/>
      </w:pPr>
      <w:r>
        <w:rPr>
          <w:sz w:val="22"/>
        </w:rPr>
        <w:t>6. Step 4: Adjustments &amp; Comparison</w:t>
      </w:r>
    </w:p>
    <w:p>
      <w:pPr>
        <w:spacing w:after="80"/>
      </w:pPr>
      <w:r>
        <w:rPr>
          <w:sz w:val="22"/>
        </w:rPr>
        <w:t>7. Step 5: Quote Summary &amp; Export</w:t>
      </w:r>
    </w:p>
    <w:p>
      <w:pPr>
        <w:spacing w:after="80"/>
      </w:pPr>
      <w:r>
        <w:rPr>
          <w:sz w:val="22"/>
        </w:rPr>
        <w:t>8. Common Scenarios (Worked Examples)</w:t>
      </w:r>
    </w:p>
    <w:p>
      <w:pPr>
        <w:spacing w:after="80"/>
      </w:pPr>
      <w:r>
        <w:rPr>
          <w:sz w:val="22"/>
        </w:rPr>
        <w:t xml:space="preserve">   8.2 Renewal Quote (normal)</w:t>
      </w:r>
    </w:p>
    <w:p>
      <w:pPr>
        <w:spacing w:after="80"/>
      </w:pPr>
      <w:r>
        <w:rPr>
          <w:sz w:val="22"/>
        </w:rPr>
        <w:t xml:space="preserve">   8.2b Renewal — Rule I triggered (adjacent target)</w:t>
      </w:r>
    </w:p>
    <w:p>
      <w:pPr>
        <w:spacing w:after="80"/>
      </w:pPr>
      <w:r>
        <w:rPr>
          <w:sz w:val="22"/>
        </w:rPr>
        <w:t xml:space="preserve">   8.2c Renewal — Rule I triggered (ladder gap)</w:t>
      </w:r>
    </w:p>
    <w:p>
      <w:pPr>
        <w:spacing w:after="80"/>
      </w:pPr>
      <w:r>
        <w:rPr>
          <w:sz w:val="22"/>
        </w:rPr>
        <w:t xml:space="preserve">   8.4 Common Mistakes to Avoid</w:t>
      </w:r>
    </w:p>
    <w:p>
      <w:pPr>
        <w:spacing w:after="80"/>
      </w:pPr>
      <w:r>
        <w:rPr>
          <w:sz w:val="22"/>
        </w:rPr>
        <w:t>9. Troubleshooting &amp; FAQ</w:t>
      </w:r>
    </w:p>
    <w:p>
      <w:pPr>
        <w:spacing w:after="80"/>
      </w:pPr>
      <w:r>
        <w:rPr>
          <w:sz w:val="22"/>
        </w:rPr>
        <w:t>10. Quick Reference Card</w:t>
      </w:r>
    </w:p>
    <w:p>
      <w:pPr>
        <w:spacing w:after="80"/>
      </w:pPr>
      <w:r>
        <w:rPr>
          <w:sz w:val="22"/>
        </w:rPr>
        <w:t>11. Glossary of Key Terms</w:t>
      </w:r>
    </w:p>
    <w:p>
      <w:pPr>
        <w:spacing w:after="80"/>
      </w:pPr>
      <w:r>
        <w:rPr>
          <w:sz w:val="22"/>
        </w:rPr>
        <w:t>12. Version History / Changelog</w:t>
      </w:r>
    </w:p>
    <w:p/>
    <w:p>
      <w:pPr>
        <w:spacing w:before="200" w:after="200"/>
        <w:ind w:left="567" w:right="283"/>
      </w:pPr>
      <w:r>
        <w:rPr>
          <w:b/>
          <w:color w:val="1E40AF"/>
          <w:sz w:val="20"/>
        </w:rPr>
        <w:t xml:space="preserve">NOTE: </w:t>
      </w:r>
      <w:r>
        <w:rPr>
          <w:color w:val="64748B"/>
          <w:sz w:val="20"/>
        </w:rPr>
        <w:t>Screenshots can be found in the manual_screenshots folder alongside this document, or captured fresh by following the steps in this manual.</w:t>
      </w:r>
    </w:p>
    <w:p>
      <w:r>
        <w:br w:type="page"/>
      </w:r>
    </w:p>
    <w:p>
      <w:pPr>
        <w:pStyle w:val="Heading1"/>
      </w:pPr>
      <w:r>
        <w:rPr>
          <w:rFonts w:ascii="Calibri" w:hAnsi="Calibri"/>
          <w:color w:val="0F172A"/>
          <w:sz w:val="32"/>
        </w:rPr>
        <w:t>1. Introduction</w:t>
      </w:r>
    </w:p>
    <w:p>
      <w:r>
        <w:t>The SME Rating Engine is an internal pricing tool used by Phishield UMA (Pty) Ltd underwriters to calculate cyber insurance premiums for Small and Medium Enterprise (SME) clients. It produces quotes for the Cyber Protect Business Policy (Risk Rated), underwritten by Bryte Insurance Company Limited.</w:t>
      </w:r>
    </w:p>
    <w:p>
      <w:pPr>
        <w:pStyle w:val="Heading2"/>
      </w:pPr>
      <w:r>
        <w:rPr>
          <w:rFonts w:ascii="Calibri" w:hAnsi="Calibri"/>
          <w:color w:val="0F172A"/>
          <w:sz w:val="26"/>
        </w:rPr>
        <w:t>1.1 Purpose</w:t>
      </w:r>
    </w:p>
    <w:p>
      <w:r>
        <w:t>This tool replaces manual spreadsheet-based rating. It automates premium calculations, applies underwriting rules, and produces professional PDF quote outputs. The engine ensures consistency across all quotes and provides a full audit trail for compliance.</w:t>
      </w:r>
    </w:p>
    <w:p>
      <w:pPr>
        <w:pStyle w:val="Heading2"/>
      </w:pPr>
      <w:r>
        <w:rPr>
          <w:rFonts w:ascii="Calibri" w:hAnsi="Calibri"/>
          <w:color w:val="0F172A"/>
          <w:sz w:val="26"/>
        </w:rPr>
        <w:t>1.2 Who Should Use This Manual</w:t>
      </w:r>
    </w:p>
    <w:p>
      <w:r>
        <w:t>This manual is intended for underwriters at Phishield UMA, including junior underwriters who are learning the rating process. Every field, rule, and calculation is explained in plain language so that you understand not just what to do, but why each step matters.</w:t>
      </w:r>
    </w:p>
    <w:p>
      <w:pPr>
        <w:pStyle w:val="Heading2"/>
      </w:pPr>
      <w:r>
        <w:rPr>
          <w:rFonts w:ascii="Calibri" w:hAnsi="Calibri"/>
          <w:color w:val="0F172A"/>
          <w:sz w:val="26"/>
        </w:rPr>
        <w:t>1.3 How the Engine Works (Overview)</w:t>
      </w:r>
    </w:p>
    <w:p>
      <w:r>
        <w:t>The engine follows a 5-step wizard flow. You move through each step sequentially, and the engine calculates premiums in real time as you enter data. The five steps are:</w:t>
      </w:r>
    </w:p>
    <w:p>
      <w:r>
        <w:rPr>
          <w:b/>
        </w:rPr>
        <w:t xml:space="preserve">Step 1: Client &amp; Industry — </w:t>
      </w:r>
      <w:r>
        <w:t>Enter company details, turnover, industry, and answer underwriting questions.</w:t>
      </w:r>
    </w:p>
    <w:p>
      <w:r>
        <w:rPr>
          <w:b/>
        </w:rPr>
        <w:t xml:space="preserve">Step 2: Coverage Selection — </w:t>
      </w:r>
      <w:r>
        <w:t>Choose cover limits and Funds Protect (FP) options based on recommendations.</w:t>
      </w:r>
    </w:p>
    <w:p>
      <w:r>
        <w:rPr>
          <w:b/>
        </w:rPr>
        <w:t xml:space="preserve">Step 3: Benchmarking — </w:t>
      </w:r>
      <w:r>
        <w:t>Compare Phishield pricing against industry benchmarks or competitor quotes.</w:t>
      </w:r>
    </w:p>
    <w:p>
      <w:r>
        <w:rPr>
          <w:b/>
        </w:rPr>
        <w:t xml:space="preserve">Step 4: Adjustments — </w:t>
      </w:r>
      <w:r>
        <w:t>Apply posture and discretionary discounts; review live comparison bars.</w:t>
      </w:r>
    </w:p>
    <w:p>
      <w:r>
        <w:rPr>
          <w:b/>
        </w:rPr>
        <w:t xml:space="preserve">Step 5: Summary &amp; Export — </w:t>
      </w:r>
      <w:r>
        <w:t>Review the full audit trail and download PDFs or copy the quote to clipboard.</w:t>
      </w:r>
    </w:p>
    <w:p>
      <w:pPr>
        <w:spacing w:before="200" w:after="200"/>
        <w:ind w:left="567" w:right="283"/>
      </w:pPr>
      <w:r>
        <w:rPr>
          <w:b/>
          <w:color w:val="059669"/>
          <w:sz w:val="20"/>
        </w:rPr>
        <w:t xml:space="preserve">TIP: </w:t>
      </w:r>
      <w:r>
        <w:rPr>
          <w:color w:val="64748B"/>
          <w:sz w:val="20"/>
        </w:rPr>
        <w:t>The engine saves every quote to a backend database automatically. You do not need to manually save your work.</w:t>
      </w:r>
    </w:p>
    <w:p>
      <w:pPr>
        <w:pStyle w:val="Heading2"/>
      </w:pPr>
      <w:r>
        <w:rPr>
          <w:rFonts w:ascii="Calibri" w:hAnsi="Calibri"/>
          <w:color w:val="0F172A"/>
          <w:sz w:val="26"/>
        </w:rPr>
        <w:t>1.4 Decision Flowchart</w:t>
      </w:r>
    </w:p>
    <w:p>
      <w:r>
        <w:t>The following text-based flowchart summarises the decision path from client data entry through to the final quote. Use this as a quick reference when assessing a new risk.</w:t>
      </w:r>
    </w:p>
    <w:p>
      <w:pPr>
        <w:spacing w:before="240" w:after="240"/>
        <w:jc w:val="center"/>
      </w:pPr>
      <w:r>
        <w:rPr>
          <w:i/>
          <w:color w:val="64748B"/>
          <w:sz w:val="20"/>
        </w:rPr>
        <w:t>Figure 1: Decision flowchart — visual representation of the rating process</w:t>
      </w:r>
    </w:p>
    <w:p>
      <w:pPr>
        <w:spacing w:after="20" w:before="20"/>
        <w:ind w:left="0"/>
      </w:pPr>
      <w:r>
        <w:rPr>
          <w:rFonts w:ascii="Consolas" w:hAnsi="Consolas"/>
          <w:b/>
          <w:color w:val="0F172A"/>
          <w:sz w:val="18"/>
        </w:rPr>
        <w:t>Client Details → Industry Check</w:t>
      </w:r>
    </w:p>
    <w:p>
      <w:pPr>
        <w:spacing w:after="20" w:before="20"/>
        <w:ind w:left="283"/>
      </w:pPr>
      <w:r>
        <w:rPr>
          <w:rFonts w:ascii="Consolas" w:hAnsi="Consolas"/>
          <w:color w:val="DC2626"/>
          <w:sz w:val="18"/>
        </w:rPr>
        <w:t>├─ Healthcare / Public Admin → REFER FOR UNDERWRITING (blocked)</w:t>
      </w:r>
    </w:p>
    <w:p>
      <w:pPr>
        <w:spacing w:after="20" w:before="20"/>
        <w:ind w:left="283"/>
      </w:pPr>
      <w:r>
        <w:rPr>
          <w:rFonts w:ascii="Consolas" w:hAnsi="Consolas"/>
          <w:color w:val="DC2626"/>
          <w:sz w:val="18"/>
        </w:rPr>
        <w:t>├─ Turnover &gt; R200M → REFER FOR UNDERWRITING (blocked)</w:t>
      </w:r>
    </w:p>
    <w:p>
      <w:pPr>
        <w:spacing w:after="20" w:before="20"/>
        <w:ind w:left="283"/>
      </w:pPr>
      <w:r>
        <w:rPr>
          <w:rFonts w:ascii="Consolas" w:hAnsi="Consolas"/>
          <w:color w:val="059669"/>
          <w:sz w:val="18"/>
        </w:rPr>
        <w:t>└─ All other industries → Continue</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Underwriting Assessment</w:t>
      </w:r>
    </w:p>
    <w:p>
      <w:pPr>
        <w:spacing w:after="20" w:before="20"/>
        <w:ind w:left="283"/>
      </w:pPr>
      <w:r>
        <w:rPr>
          <w:rFonts w:ascii="Consolas" w:hAnsi="Consolas"/>
          <w:color w:val="DC2626"/>
          <w:sz w:val="18"/>
        </w:rPr>
        <w:t>├─ Q1.1 (AV/EDR) No OR Q1.2 (Firewall) No → DECLINE (blocked)</w:t>
      </w:r>
    </w:p>
    <w:p>
      <w:pPr>
        <w:spacing w:after="20" w:before="20"/>
        <w:ind w:left="283"/>
      </w:pPr>
      <w:r>
        <w:rPr>
          <w:rFonts w:ascii="Consolas" w:hAnsi="Consolas"/>
          <w:color w:val="F97316"/>
          <w:sz w:val="18"/>
        </w:rPr>
        <w:t>├─ Q1.3 / Q1.4 No → Condition of Cover (proceed with caution)</w:t>
      </w:r>
    </w:p>
    <w:p>
      <w:pPr>
        <w:spacing w:after="20" w:before="20"/>
        <w:ind w:left="283"/>
      </w:pPr>
      <w:r>
        <w:rPr>
          <w:rFonts w:ascii="Consolas" w:hAnsi="Consolas"/>
          <w:color w:val="F97316"/>
          <w:sz w:val="18"/>
        </w:rPr>
        <w:t>├─ Q2.1–Q5: Count "No" answers → Apply loading (0–15%, grace of 2)</w:t>
      </w:r>
    </w:p>
    <w:p>
      <w:pPr>
        <w:spacing w:after="20" w:before="20"/>
        <w:ind w:left="283"/>
      </w:pPr>
      <w:r>
        <w:rPr>
          <w:rFonts w:ascii="Consolas" w:hAnsi="Consolas"/>
          <w:color w:val="F97316"/>
          <w:sz w:val="18"/>
        </w:rPr>
        <w:t>├─ Q6/Q7 (if FP &gt; R250k): No = Condition of Cover</w:t>
      </w:r>
    </w:p>
    <w:p>
      <w:pPr>
        <w:spacing w:after="20" w:before="20"/>
        <w:ind w:left="283"/>
      </w:pPr>
      <w:r>
        <w:rPr>
          <w:rFonts w:ascii="Consolas" w:hAnsi="Consolas"/>
          <w:color w:val="F97316"/>
          <w:sz w:val="18"/>
        </w:rPr>
        <w:t>└─ Q8 (prior cover) — auto-Yes on Renewal; No on Renewal → REFER</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Coverage Selection</w:t>
      </w:r>
    </w:p>
    <w:p>
      <w:pPr>
        <w:spacing w:after="20" w:before="20"/>
        <w:ind w:left="283"/>
      </w:pPr>
      <w:r>
        <w:rPr>
          <w:rFonts w:ascii="Consolas" w:hAnsi="Consolas"/>
          <w:color w:val="059669"/>
          <w:sz w:val="18"/>
        </w:rPr>
        <w:t>├─ T/O &lt; R50M + Cover ≤ R5M → MICRO SME rates</w:t>
      </w:r>
    </w:p>
    <w:p>
      <w:pPr>
        <w:spacing w:after="20" w:before="20"/>
        <w:ind w:left="283"/>
      </w:pPr>
      <w:r>
        <w:rPr>
          <w:rFonts w:ascii="Consolas" w:hAnsi="Consolas"/>
          <w:color w:val="1E40AF"/>
          <w:sz w:val="18"/>
        </w:rPr>
        <w:t>└─ Otherwise → STANDARD formula rates</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Industry Modifier Applied (S&amp;T: 1.35–1.63x, Finance: 1.28–1.46x)</w:t>
      </w:r>
    </w:p>
    <w:p>
      <w:pPr>
        <w:spacing w:after="20" w:before="20"/>
        <w:ind w:left="283"/>
      </w:pPr>
      <w:r>
        <w:rPr>
          <w:rFonts w:ascii="Consolas" w:hAnsi="Consolas"/>
          <w:color w:val="64748B"/>
          <w:sz w:val="18"/>
        </w:rPr>
        <w:t xml:space="preserve">    ↓</w:t>
      </w:r>
    </w:p>
    <w:p>
      <w:pPr>
        <w:spacing w:after="20" w:before="20"/>
        <w:ind w:left="0"/>
      </w:pPr>
      <w:r>
        <w:rPr>
          <w:rFonts w:ascii="Consolas" w:hAnsi="Consolas"/>
          <w:b/>
          <w:color w:val="0F172A"/>
          <w:sz w:val="18"/>
        </w:rPr>
        <w:t>Benchmarking → Adjustments → Summary &amp; Export</w:t>
      </w:r>
    </w:p>
    <w:p/>
    <w:p>
      <w:pPr>
        <w:spacing w:before="200" w:after="200"/>
        <w:ind w:left="567" w:right="283"/>
      </w:pPr>
      <w:r>
        <w:rPr>
          <w:b/>
          <w:color w:val="059669"/>
          <w:sz w:val="20"/>
        </w:rPr>
        <w:t xml:space="preserve">TIP: </w:t>
      </w:r>
      <w:r>
        <w:rPr>
          <w:color w:val="64748B"/>
          <w:sz w:val="20"/>
        </w:rPr>
        <w:t>Refer this flowchart whenever you are unsure about how the engine will treat a particular client profile. Each branch is enforced automatically by the engine.</w:t>
      </w:r>
    </w:p>
    <w:p>
      <w:r>
        <w:br w:type="page"/>
      </w:r>
    </w:p>
    <w:p>
      <w:pPr>
        <w:pStyle w:val="Heading1"/>
      </w:pPr>
      <w:r>
        <w:rPr>
          <w:rFonts w:ascii="Calibri" w:hAnsi="Calibri"/>
          <w:color w:val="0F172A"/>
          <w:sz w:val="32"/>
        </w:rPr>
        <w:t>2. Getting Started</w:t>
      </w:r>
    </w:p>
    <w:p>
      <w:pPr>
        <w:pStyle w:val="Heading2"/>
      </w:pPr>
      <w:r>
        <w:rPr>
          <w:rFonts w:ascii="Calibri" w:hAnsi="Calibri"/>
          <w:color w:val="0F172A"/>
          <w:sz w:val="26"/>
        </w:rPr>
        <w:t>2.1 Accessing the Engine</w:t>
      </w:r>
    </w:p>
    <w:p>
      <w:r>
        <w:t>The SME Rating Engine is a web-based application. You access it through your browser.</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Environment</w:t>
            </w:r>
          </w:p>
        </w:tc>
        <w:tc>
          <w:tcPr>
            <w:tcW w:type="dxa" w:w="4680"/>
            <w:tcMar w:top="60" w:left="80" w:bottom="60" w:right="80"/>
            <w:shd w:fill="0F172A"/>
          </w:tcPr>
          <w:p>
            <w:pPr>
              <w:jc w:val="center"/>
            </w:pPr>
            <w:r>
              <w:rPr>
                <w:rFonts w:ascii="Calibri" w:hAnsi="Calibri"/>
                <w:b/>
                <w:color w:val="FFFFFF"/>
                <w:sz w:val="20"/>
              </w:rPr>
              <w:t>URL</w:t>
            </w:r>
          </w:p>
        </w:tc>
      </w:tr>
      <w:tr>
        <w:tc>
          <w:tcPr>
            <w:tcW w:type="dxa" w:w="4680"/>
            <w:tcMar w:top="60" w:left="80" w:bottom="60" w:right="80"/>
          </w:tcPr>
          <w:p>
            <w:r>
              <w:rPr>
                <w:rFonts w:ascii="Calibri" w:hAnsi="Calibri"/>
                <w:sz w:val="20"/>
              </w:rPr>
              <w:t>Live (Production)</w:t>
            </w:r>
          </w:p>
        </w:tc>
        <w:tc>
          <w:tcPr>
            <w:tcW w:type="dxa" w:w="4680"/>
            <w:tcMar w:top="60" w:left="80" w:bottom="60" w:right="80"/>
          </w:tcPr>
          <w:p>
            <w:r>
              <w:rPr>
                <w:rFonts w:ascii="Calibri" w:hAnsi="Calibri"/>
                <w:sz w:val="20"/>
              </w:rPr>
              <w:t>https://veilguard.phishield.com/smerating/</w:t>
            </w:r>
          </w:p>
        </w:tc>
      </w:tr>
      <w:tr>
        <w:tc>
          <w:tcPr>
            <w:tcW w:type="dxa" w:w="4680"/>
            <w:tcMar w:top="60" w:left="80" w:bottom="60" w:right="80"/>
            <w:shd w:fill="F1F5F9"/>
          </w:tcPr>
          <w:p>
            <w:r>
              <w:rPr>
                <w:rFonts w:ascii="Calibri" w:hAnsi="Calibri"/>
                <w:sz w:val="20"/>
              </w:rPr>
              <w:t>Local Development</w:t>
            </w:r>
          </w:p>
        </w:tc>
        <w:tc>
          <w:tcPr>
            <w:tcW w:type="dxa" w:w="4680"/>
            <w:tcMar w:top="60" w:left="80" w:bottom="60" w:right="80"/>
            <w:shd w:fill="F1F5F9"/>
          </w:tcPr>
          <w:p>
            <w:r>
              <w:rPr>
                <w:rFonts w:ascii="Calibri" w:hAnsi="Calibri"/>
                <w:sz w:val="20"/>
              </w:rPr>
              <w:t>http://localhost:5002 (developer machine only)</w:t>
            </w:r>
          </w:p>
        </w:tc>
      </w:tr>
    </w:tbl>
    <w:p/>
    <w:p>
      <w:pPr>
        <w:spacing w:before="200" w:after="200"/>
        <w:ind w:left="567" w:right="283"/>
      </w:pPr>
      <w:r>
        <w:rPr>
          <w:b/>
          <w:color w:val="F97316"/>
          <w:sz w:val="20"/>
        </w:rPr>
        <w:t xml:space="preserve">IMPORTANT: </w:t>
      </w:r>
      <w:r>
        <w:rPr>
          <w:color w:val="64748B"/>
          <w:sz w:val="20"/>
        </w:rPr>
        <w:t>Always use the Live (Production) URL for actual client quotes. The local URL is for testing only.</w:t>
      </w:r>
    </w:p>
    <w:p>
      <w:pPr>
        <w:pStyle w:val="Heading2"/>
      </w:pPr>
      <w:r>
        <w:rPr>
          <w:rFonts w:ascii="Calibri" w:hAnsi="Calibri"/>
          <w:color w:val="0F172A"/>
          <w:sz w:val="26"/>
        </w:rPr>
        <w:t>2.2 Browser Requirements</w:t>
      </w:r>
    </w:p>
    <w:p>
      <w:r>
        <w:t>The engine works best in modern browsers. Recommended browsers:</w:t>
      </w:r>
    </w:p>
    <w:p>
      <w:pPr>
        <w:pStyle w:val="ListBullet"/>
      </w:pPr>
      <w:r>
        <w:t>Google Chrome (latest version)</w:t>
      </w:r>
    </w:p>
    <w:p>
      <w:pPr>
        <w:pStyle w:val="ListBullet"/>
      </w:pPr>
      <w:r>
        <w:t>Microsoft Edge (latest version)</w:t>
      </w:r>
    </w:p>
    <w:p>
      <w:pPr>
        <w:pStyle w:val="ListBullet"/>
      </w:pPr>
      <w:r>
        <w:t>Mozilla Firefox (latest version)</w:t>
      </w:r>
    </w:p>
    <w:p>
      <w:pPr>
        <w:spacing w:before="200" w:after="200"/>
        <w:ind w:left="567" w:right="283"/>
      </w:pPr>
      <w:r>
        <w:rPr>
          <w:b/>
          <w:color w:val="DC2626"/>
          <w:sz w:val="20"/>
        </w:rPr>
        <w:t xml:space="preserve">WARNING: </w:t>
      </w:r>
      <w:r>
        <w:rPr>
          <w:color w:val="64748B"/>
          <w:sz w:val="20"/>
        </w:rPr>
        <w:t>Internet Explorer is not supported. If the interface looks broken, check that you are using a supported browser.</w:t>
      </w:r>
    </w:p>
    <w:p>
      <w:pPr>
        <w:pStyle w:val="Heading2"/>
      </w:pPr>
      <w:r>
        <w:rPr>
          <w:rFonts w:ascii="Calibri" w:hAnsi="Calibri"/>
          <w:color w:val="0F172A"/>
          <w:sz w:val="26"/>
        </w:rPr>
        <w:t>2.3 Screen Layout</w:t>
      </w:r>
    </w:p>
    <w:p>
      <w:r>
        <w:t>When you open the engine, you will see:</w:t>
      </w:r>
    </w:p>
    <w:p>
      <w:pPr>
        <w:pStyle w:val="ListBullet"/>
      </w:pPr>
      <w:r>
        <w:t>Header bar with the Phishield branding</w:t>
      </w:r>
    </w:p>
    <w:p>
      <w:pPr>
        <w:pStyle w:val="ListBullet"/>
      </w:pPr>
      <w:r>
        <w:t>Progress bar showing the 5 steps (Client, Coverage, Compare, Adjust, Summary)</w:t>
      </w:r>
    </w:p>
    <w:p>
      <w:pPr>
        <w:pStyle w:val="ListBullet"/>
      </w:pPr>
      <w:r>
        <w:t>The active step panel with form fields</w:t>
      </w:r>
    </w:p>
    <w:p>
      <w:pPr>
        <w:pStyle w:val="ListBullet"/>
      </w:pPr>
      <w:r>
        <w:t>A floating quote ticker (appears from Step 2 onward) showing the estimated monthly premium</w:t>
      </w:r>
    </w:p>
    <w:p>
      <w:pPr>
        <w:spacing w:before="240" w:after="240"/>
        <w:jc w:val="center"/>
      </w:pPr>
      <w:r>
        <w:rPr>
          <w:i/>
          <w:color w:val="64748B"/>
          <w:sz w:val="20"/>
        </w:rPr>
        <w:t>Figure 2: Main screen layout with header and progress bar</w:t>
      </w:r>
    </w:p>
    <w:p>
      <w:r>
        <w:br w:type="page"/>
      </w:r>
    </w:p>
    <w:p>
      <w:pPr>
        <w:pStyle w:val="Heading1"/>
      </w:pPr>
      <w:r>
        <w:rPr>
          <w:rFonts w:ascii="Calibri" w:hAnsi="Calibri"/>
          <w:color w:val="0F172A"/>
          <w:sz w:val="32"/>
        </w:rPr>
        <w:t>3. Step 1: Client &amp; Industry</w:t>
      </w:r>
    </w:p>
    <w:p>
      <w:r>
        <w:t>This is the data-capture step. You enter all client information and answer underwriting questions. The engine uses this data to determine the applicable revenue band, premium rates, and whether the risk can proceed or must be referred.</w:t>
      </w:r>
    </w:p>
    <w:p>
      <w:pPr>
        <w:spacing w:before="240" w:after="240"/>
        <w:jc w:val="center"/>
      </w:pPr>
      <w:r>
        <w:rPr>
          <w:i/>
          <w:color w:val="64748B"/>
          <w:sz w:val="20"/>
        </w:rPr>
        <w:t>Figure 3: Step 1 — Client details form with company name, searchable industry dropdown, turnover inputs, and employee count fields</w:t>
      </w:r>
    </w:p>
    <w:p>
      <w:pPr>
        <w:pStyle w:val="Heading2"/>
      </w:pPr>
      <w:r>
        <w:rPr>
          <w:rFonts w:ascii="Calibri" w:hAnsi="Calibri"/>
          <w:color w:val="0F172A"/>
          <w:sz w:val="26"/>
        </w:rPr>
        <w:t>3.1 Company Name</w:t>
      </w:r>
    </w:p>
    <w:p>
      <w:r>
        <w:t>Enter the full registered name of the client company. This appears on the quote output and PDF.</w:t>
      </w:r>
    </w:p>
    <w:p>
      <w:pPr>
        <w:spacing w:before="200" w:after="200"/>
        <w:ind w:left="567" w:right="283"/>
      </w:pPr>
      <w:r>
        <w:rPr>
          <w:b/>
          <w:color w:val="059669"/>
          <w:sz w:val="20"/>
        </w:rPr>
        <w:t xml:space="preserve">TIP: </w:t>
      </w:r>
      <w:r>
        <w:rPr>
          <w:color w:val="64748B"/>
          <w:sz w:val="20"/>
        </w:rPr>
        <w:t>Use the legal entity name, e.g. 'Acme Trading (Pty) Ltd' rather than just 'Acme'.</w:t>
      </w:r>
    </w:p>
    <w:p>
      <w:pPr>
        <w:pStyle w:val="Heading2"/>
      </w:pPr>
      <w:r>
        <w:rPr>
          <w:rFonts w:ascii="Calibri" w:hAnsi="Calibri"/>
          <w:color w:val="0F172A"/>
          <w:sz w:val="26"/>
        </w:rPr>
        <w:t>3.2 Industry Selection</w:t>
      </w:r>
    </w:p>
    <w:p>
      <w:r>
        <w:t>The industry field is a searchable dropdown. Start typing to filter options, or click the dropdown arrow to browse. Industries are grouped by main category (e.g., Manufacturing, Services, Retail Trade).</w:t>
      </w:r>
    </w:p>
    <w:p>
      <w:r>
        <w:t>The industry you select affects the premium in two ways:</w:t>
      </w:r>
    </w:p>
    <w:p>
      <w:pPr>
        <w:pStyle w:val="ListBullet"/>
      </w:pPr>
      <w:r>
        <w:t>Industry modifier: Software &amp; Technology and Finance industries attract higher premiums (see Section 3.2.1).</w:t>
      </w:r>
    </w:p>
    <w:p>
      <w:pPr>
        <w:pStyle w:val="ListBullet"/>
      </w:pPr>
      <w:r>
        <w:t>Referral: Healthcare and Public Administration industries are always referred to a senior underwriter and cannot be quoted through the engine.</w:t>
      </w:r>
    </w:p>
    <w:p>
      <w:pPr>
        <w:pStyle w:val="Heading3"/>
      </w:pPr>
      <w:r>
        <w:rPr>
          <w:rFonts w:ascii="Calibri" w:hAnsi="Calibri"/>
          <w:color w:val="0F172A"/>
        </w:rPr>
        <w:t>3.2.1 Industry Modifiers</w:t>
      </w:r>
    </w:p>
    <w:p>
      <w:r>
        <w:t>Industry modifiers are multipliers applied to the base premium only (not to the Funds Protect cost). They reflect the higher cyber risk profile of certain industries.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Industry</w:t>
            </w:r>
          </w:p>
        </w:tc>
        <w:tc>
          <w:tcPr>
            <w:tcW w:type="dxa" w:w="1872"/>
            <w:tcMar w:top="60" w:left="80" w:bottom="60" w:right="80"/>
            <w:shd w:fill="0F172A"/>
          </w:tcPr>
          <w:p>
            <w:pPr>
              <w:jc w:val="center"/>
            </w:pPr>
            <w:r>
              <w:rPr>
                <w:rFonts w:ascii="Calibri" w:hAnsi="Calibri"/>
                <w:b/>
                <w:color w:val="FFFFFF"/>
                <w:sz w:val="20"/>
              </w:rPr>
              <w:t>Band 1-3</w:t>
            </w:r>
          </w:p>
        </w:tc>
        <w:tc>
          <w:tcPr>
            <w:tcW w:type="dxa" w:w="1872"/>
            <w:tcMar w:top="60" w:left="80" w:bottom="60" w:right="80"/>
            <w:shd w:fill="0F172A"/>
          </w:tcPr>
          <w:p>
            <w:pPr>
              <w:jc w:val="center"/>
            </w:pPr>
            <w:r>
              <w:rPr>
                <w:rFonts w:ascii="Calibri" w:hAnsi="Calibri"/>
                <w:b/>
                <w:color w:val="FFFFFF"/>
                <w:sz w:val="20"/>
              </w:rPr>
              <w:t>Band 4</w:t>
            </w:r>
          </w:p>
        </w:tc>
        <w:tc>
          <w:tcPr>
            <w:tcW w:type="dxa" w:w="1872"/>
            <w:tcMar w:top="60" w:left="80" w:bottom="60" w:right="80"/>
            <w:shd w:fill="0F172A"/>
          </w:tcPr>
          <w:p>
            <w:pPr>
              <w:jc w:val="center"/>
            </w:pPr>
            <w:r>
              <w:rPr>
                <w:rFonts w:ascii="Calibri" w:hAnsi="Calibri"/>
                <w:b/>
                <w:color w:val="FFFFFF"/>
                <w:sz w:val="20"/>
              </w:rPr>
              <w:t>Band 5</w:t>
            </w:r>
          </w:p>
        </w:tc>
        <w:tc>
          <w:tcPr>
            <w:tcW w:type="dxa" w:w="1872"/>
            <w:tcMar w:top="60" w:left="80" w:bottom="60" w:right="80"/>
            <w:shd w:fill="0F172A"/>
          </w:tcPr>
          <w:p>
            <w:pPr>
              <w:jc w:val="center"/>
            </w:pPr>
            <w:r>
              <w:rPr>
                <w:rFonts w:ascii="Calibri" w:hAnsi="Calibri"/>
                <w:b/>
                <w:color w:val="FFFFFF"/>
                <w:sz w:val="20"/>
              </w:rPr>
              <w:t>Band 6</w:t>
            </w:r>
          </w:p>
        </w:tc>
      </w:tr>
      <w:tr>
        <w:tc>
          <w:tcPr>
            <w:tcW w:type="dxa" w:w="1872"/>
            <w:tcMar w:top="60" w:left="80" w:bottom="60" w:right="80"/>
          </w:tcPr>
          <w:p>
            <w:r>
              <w:rPr>
                <w:rFonts w:ascii="Calibri" w:hAnsi="Calibri"/>
                <w:sz w:val="20"/>
              </w:rPr>
              <w:t>Software &amp; Technology</w:t>
            </w:r>
          </w:p>
        </w:tc>
        <w:tc>
          <w:tcPr>
            <w:tcW w:type="dxa" w:w="1872"/>
            <w:tcMar w:top="60" w:left="80" w:bottom="60" w:right="80"/>
          </w:tcPr>
          <w:p>
            <w:r>
              <w:rPr>
                <w:rFonts w:ascii="Calibri" w:hAnsi="Calibri"/>
                <w:sz w:val="20"/>
              </w:rPr>
              <w:t>1.35x</w:t>
            </w:r>
          </w:p>
        </w:tc>
        <w:tc>
          <w:tcPr>
            <w:tcW w:type="dxa" w:w="1872"/>
            <w:tcMar w:top="60" w:left="80" w:bottom="60" w:right="80"/>
          </w:tcPr>
          <w:p>
            <w:r>
              <w:rPr>
                <w:rFonts w:ascii="Calibri" w:hAnsi="Calibri"/>
                <w:sz w:val="20"/>
              </w:rPr>
              <w:t>1.41x</w:t>
            </w:r>
          </w:p>
        </w:tc>
        <w:tc>
          <w:tcPr>
            <w:tcW w:type="dxa" w:w="1872"/>
            <w:tcMar w:top="60" w:left="80" w:bottom="60" w:right="80"/>
          </w:tcPr>
          <w:p>
            <w:r>
              <w:rPr>
                <w:rFonts w:ascii="Calibri" w:hAnsi="Calibri"/>
                <w:sz w:val="20"/>
              </w:rPr>
              <w:t>1.51x</w:t>
            </w:r>
          </w:p>
        </w:tc>
        <w:tc>
          <w:tcPr>
            <w:tcW w:type="dxa" w:w="1872"/>
            <w:tcMar w:top="60" w:left="80" w:bottom="60" w:right="80"/>
          </w:tcPr>
          <w:p>
            <w:r>
              <w:rPr>
                <w:rFonts w:ascii="Calibri" w:hAnsi="Calibri"/>
                <w:sz w:val="20"/>
              </w:rPr>
              <w:t>1.63x</w:t>
            </w:r>
          </w:p>
        </w:tc>
      </w:tr>
      <w:tr>
        <w:tc>
          <w:tcPr>
            <w:tcW w:type="dxa" w:w="1872"/>
            <w:tcMar w:top="60" w:left="80" w:bottom="60" w:right="80"/>
            <w:shd w:fill="F1F5F9"/>
          </w:tcPr>
          <w:p>
            <w:r>
              <w:rPr>
                <w:rFonts w:ascii="Calibri" w:hAnsi="Calibri"/>
                <w:sz w:val="20"/>
              </w:rPr>
              <w:t>Finance / Insurance / Real Estate</w:t>
            </w:r>
          </w:p>
        </w:tc>
        <w:tc>
          <w:tcPr>
            <w:tcW w:type="dxa" w:w="1872"/>
            <w:tcMar w:top="60" w:left="80" w:bottom="60" w:right="80"/>
            <w:shd w:fill="F1F5F9"/>
          </w:tcPr>
          <w:p>
            <w:r>
              <w:rPr>
                <w:rFonts w:ascii="Calibri" w:hAnsi="Calibri"/>
                <w:sz w:val="20"/>
              </w:rPr>
              <w:t>1.28x</w:t>
            </w:r>
          </w:p>
        </w:tc>
        <w:tc>
          <w:tcPr>
            <w:tcW w:type="dxa" w:w="1872"/>
            <w:tcMar w:top="60" w:left="80" w:bottom="60" w:right="80"/>
            <w:shd w:fill="F1F5F9"/>
          </w:tcPr>
          <w:p>
            <w:r>
              <w:rPr>
                <w:rFonts w:ascii="Calibri" w:hAnsi="Calibri"/>
                <w:sz w:val="20"/>
              </w:rPr>
              <w:t>1.30x</w:t>
            </w:r>
          </w:p>
        </w:tc>
        <w:tc>
          <w:tcPr>
            <w:tcW w:type="dxa" w:w="1872"/>
            <w:tcMar w:top="60" w:left="80" w:bottom="60" w:right="80"/>
            <w:shd w:fill="F1F5F9"/>
          </w:tcPr>
          <w:p>
            <w:r>
              <w:rPr>
                <w:rFonts w:ascii="Calibri" w:hAnsi="Calibri"/>
                <w:sz w:val="20"/>
              </w:rPr>
              <w:t>1.36x</w:t>
            </w:r>
          </w:p>
        </w:tc>
        <w:tc>
          <w:tcPr>
            <w:tcW w:type="dxa" w:w="1872"/>
            <w:tcMar w:top="60" w:left="80" w:bottom="60" w:right="80"/>
            <w:shd w:fill="F1F5F9"/>
          </w:tcPr>
          <w:p>
            <w:r>
              <w:rPr>
                <w:rFonts w:ascii="Calibri" w:hAnsi="Calibri"/>
                <w:sz w:val="20"/>
              </w:rPr>
              <w:t>1.46x</w:t>
            </w:r>
          </w:p>
        </w:tc>
      </w:tr>
      <w:tr>
        <w:tc>
          <w:tcPr>
            <w:tcW w:type="dxa" w:w="1872"/>
            <w:tcMar w:top="60" w:left="80" w:bottom="60" w:right="80"/>
          </w:tcPr>
          <w:p>
            <w:r>
              <w:rPr>
                <w:rFonts w:ascii="Calibri" w:hAnsi="Calibri"/>
                <w:sz w:val="20"/>
              </w:rPr>
              <w:t>All Other Industries</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c>
          <w:tcPr>
            <w:tcW w:type="dxa" w:w="1872"/>
            <w:tcMar w:top="60" w:left="80" w:bottom="60" w:right="80"/>
          </w:tcPr>
          <w:p>
            <w:r>
              <w:rPr>
                <w:rFonts w:ascii="Calibri" w:hAnsi="Calibri"/>
                <w:sz w:val="20"/>
              </w:rPr>
              <w:t>1.00x</w:t>
            </w:r>
          </w:p>
        </w:tc>
      </w:tr>
    </w:tbl>
    <w:p/>
    <w:p>
      <w:pPr>
        <w:spacing w:before="200" w:after="200"/>
        <w:ind w:left="567" w:right="283"/>
      </w:pPr>
      <w:r>
        <w:rPr>
          <w:b/>
          <w:color w:val="1E40AF"/>
          <w:sz w:val="20"/>
        </w:rPr>
        <w:t xml:space="preserve">NOTE: </w:t>
      </w:r>
      <w:r>
        <w:rPr>
          <w:color w:val="64748B"/>
          <w:sz w:val="20"/>
        </w:rPr>
        <w:t>Finance sub-industries include: Depository Institutions, Non-depository Credit Institutions, Security &amp; Commodity Brokers, Insurance Carriers, Insurance Agents/Brokers, Real Estate, and Holding &amp; Other Investment Offices.</w:t>
      </w:r>
    </w:p>
    <w:p>
      <w:pPr>
        <w:pStyle w:val="Heading3"/>
      </w:pPr>
      <w:r>
        <w:rPr>
          <w:rFonts w:ascii="Calibri" w:hAnsi="Calibri"/>
          <w:color w:val="0F172A"/>
        </w:rPr>
        <w:t>3.2.2 Referred Industries</w:t>
      </w:r>
    </w:p>
    <w:p>
      <w:r>
        <w:t>The following industries always trigger 'Refer for Underwriting' and block the quote:</w:t>
      </w:r>
    </w:p>
    <w:p>
      <w:pPr>
        <w:pStyle w:val="ListBullet"/>
      </w:pPr>
      <w:r>
        <w:t>Healthcare (all sub-categories: Healthcare Services, Hospitals, Medical Practices, Pharmacies)</w:t>
      </w:r>
    </w:p>
    <w:p>
      <w:pPr>
        <w:pStyle w:val="ListBullet"/>
      </w:pPr>
      <w:r>
        <w:t>Public Administration (Government Services, Non-classifiable Establishments)</w:t>
      </w:r>
    </w:p>
    <w:p>
      <w:pPr>
        <w:spacing w:before="200" w:after="200"/>
        <w:ind w:left="567" w:right="283"/>
      </w:pPr>
      <w:r>
        <w:rPr>
          <w:b/>
          <w:color w:val="DC2626"/>
          <w:sz w:val="20"/>
        </w:rPr>
        <w:t xml:space="preserve">WARNING: </w:t>
      </w:r>
      <w:r>
        <w:rPr>
          <w:color w:val="64748B"/>
          <w:sz w:val="20"/>
        </w:rPr>
        <w:t>If a client's industry triggers a referral, contact a senior underwriter. The engine will display a blocker overlay and the Continue button will be disabled.</w:t>
      </w:r>
    </w:p>
    <w:p>
      <w:pPr>
        <w:pStyle w:val="Heading2"/>
      </w:pPr>
      <w:r>
        <w:rPr>
          <w:rFonts w:ascii="Calibri" w:hAnsi="Calibri"/>
          <w:color w:val="0F172A"/>
          <w:sz w:val="26"/>
        </w:rPr>
        <w:t>3.3 Turnover</w:t>
      </w:r>
    </w:p>
    <w:p>
      <w:r>
        <w:t>You must enter two turnover figures:</w:t>
      </w:r>
    </w:p>
    <w:p>
      <w:pPr>
        <w:pStyle w:val="ListBullet"/>
      </w:pPr>
      <w:r>
        <w:t>Previous Financial Year Turnover — the completed, audited annual turnover.</w:t>
      </w:r>
    </w:p>
    <w:p>
      <w:pPr>
        <w:pStyle w:val="ListBullet"/>
      </w:pPr>
      <w:r>
        <w:t>Current Year Estimated Revenue — the projected revenue for the current financial year.</w:t>
      </w:r>
    </w:p>
    <w:p>
      <w:pPr>
        <w:pStyle w:val="Heading3"/>
      </w:pPr>
      <w:r>
        <w:rPr>
          <w:rFonts w:ascii="Calibri" w:hAnsi="Calibri"/>
          <w:color w:val="0F172A"/>
        </w:rPr>
        <w:t>3.3.1 Actual Turnover Calculation</w:t>
      </w:r>
    </w:p>
    <w:p>
      <w:r>
        <w:t>The engine calculates the Actual Turnover as the midpoint (average) of the two figures:</w:t>
      </w:r>
    </w:p>
    <w:p>
      <w:pPr>
        <w:jc w:val="center"/>
      </w:pPr>
      <w:r>
        <w:rPr>
          <w:b/>
          <w:sz w:val="22"/>
        </w:rPr>
        <w:t>Actual Turnover = (Previous Year + Current Year) / 2</w:t>
      </w:r>
    </w:p>
    <w:p>
      <w:r>
        <w:t>This midpoint approach is used for conservative underwriting. It smooths out fluctuations and gives a more stable basis for pricing.</w:t>
      </w:r>
    </w:p>
    <w:p>
      <w:r>
        <w:rPr>
          <w:b/>
          <w:sz w:val="22"/>
        </w:rPr>
        <w:t>Example:</w:t>
      </w:r>
    </w:p>
    <w:p>
      <w:r>
        <w:t>If Previous Year = R12,000,000 and Current Year = R18,000,000, then:</w:t>
        <w:br/>
        <w:t>Actual Turnover = (R12,000,000 + R18,000,000) / 2 = R15,000,000</w:t>
      </w:r>
    </w:p>
    <w:p>
      <w:pPr>
        <w:spacing w:before="200" w:after="200"/>
        <w:ind w:left="567" w:right="283"/>
      </w:pPr>
      <w:r>
        <w:rPr>
          <w:b/>
          <w:color w:val="1E40AF"/>
          <w:sz w:val="20"/>
        </w:rPr>
        <w:t xml:space="preserve">NOTE: </w:t>
      </w:r>
      <w:r>
        <w:rPr>
          <w:color w:val="64748B"/>
          <w:sz w:val="20"/>
        </w:rPr>
        <w:t>If only one turnover figure is available, the engine uses that single figure as the Actual Turnover.</w:t>
      </w:r>
    </w:p>
    <w:p>
      <w:pPr>
        <w:pStyle w:val="Heading3"/>
      </w:pPr>
      <w:r>
        <w:rPr>
          <w:rFonts w:ascii="Calibri" w:hAnsi="Calibri"/>
          <w:color w:val="0F172A"/>
        </w:rPr>
        <w:t>3.3.2 Revenue Bands</w:t>
      </w:r>
    </w:p>
    <w:p>
      <w:r>
        <w:t>The Actual Turnover is matched to a Revenue Band. This band determines the base premium rates and which cover limits are recommended.</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Revenue Band</w:t>
            </w:r>
          </w:p>
        </w:tc>
        <w:tc>
          <w:tcPr>
            <w:tcW w:type="dxa" w:w="4680"/>
            <w:tcMar w:top="60" w:left="80" w:bottom="60" w:right="80"/>
            <w:shd w:fill="0F172A"/>
          </w:tcPr>
          <w:p>
            <w:pPr>
              <w:jc w:val="center"/>
            </w:pPr>
            <w:r>
              <w:rPr>
                <w:rFonts w:ascii="Calibri" w:hAnsi="Calibri"/>
                <w:b/>
                <w:color w:val="FFFFFF"/>
                <w:sz w:val="20"/>
              </w:rPr>
              <w:t>Turnover Range</w:t>
            </w:r>
          </w:p>
        </w:tc>
      </w:tr>
      <w:tr>
        <w:tc>
          <w:tcPr>
            <w:tcW w:type="dxa" w:w="4680"/>
            <w:tcMar w:top="60" w:left="80" w:bottom="60" w:right="80"/>
          </w:tcPr>
          <w:p>
            <w:r>
              <w:rPr>
                <w:rFonts w:ascii="Calibri" w:hAnsi="Calibri"/>
                <w:sz w:val="20"/>
              </w:rPr>
              <w:t>Band 1</w:t>
            </w:r>
          </w:p>
        </w:tc>
        <w:tc>
          <w:tcPr>
            <w:tcW w:type="dxa" w:w="4680"/>
            <w:tcMar w:top="60" w:left="80" w:bottom="60" w:right="80"/>
          </w:tcPr>
          <w:p>
            <w:r>
              <w:rPr>
                <w:rFonts w:ascii="Calibri" w:hAnsi="Calibri"/>
                <w:sz w:val="20"/>
              </w:rPr>
              <w:t>R0 – R10,000,000</w:t>
            </w:r>
          </w:p>
        </w:tc>
      </w:tr>
      <w:tr>
        <w:tc>
          <w:tcPr>
            <w:tcW w:type="dxa" w:w="4680"/>
            <w:tcMar w:top="60" w:left="80" w:bottom="60" w:right="80"/>
            <w:shd w:fill="F1F5F9"/>
          </w:tcPr>
          <w:p>
            <w:r>
              <w:rPr>
                <w:rFonts w:ascii="Calibri" w:hAnsi="Calibri"/>
                <w:sz w:val="20"/>
              </w:rPr>
              <w:t>Band 2</w:t>
            </w:r>
          </w:p>
        </w:tc>
        <w:tc>
          <w:tcPr>
            <w:tcW w:type="dxa" w:w="4680"/>
            <w:tcMar w:top="60" w:left="80" w:bottom="60" w:right="80"/>
            <w:shd w:fill="F1F5F9"/>
          </w:tcPr>
          <w:p>
            <w:r>
              <w:rPr>
                <w:rFonts w:ascii="Calibri" w:hAnsi="Calibri"/>
                <w:sz w:val="20"/>
              </w:rPr>
              <w:t>R10,000,001 – R25,000,000</w:t>
            </w:r>
          </w:p>
        </w:tc>
      </w:tr>
      <w:tr>
        <w:tc>
          <w:tcPr>
            <w:tcW w:type="dxa" w:w="4680"/>
            <w:tcMar w:top="60" w:left="80" w:bottom="60" w:right="80"/>
          </w:tcPr>
          <w:p>
            <w:r>
              <w:rPr>
                <w:rFonts w:ascii="Calibri" w:hAnsi="Calibri"/>
                <w:sz w:val="20"/>
              </w:rPr>
              <w:t>Band 3</w:t>
            </w:r>
          </w:p>
        </w:tc>
        <w:tc>
          <w:tcPr>
            <w:tcW w:type="dxa" w:w="4680"/>
            <w:tcMar w:top="60" w:left="80" w:bottom="60" w:right="80"/>
          </w:tcPr>
          <w:p>
            <w:r>
              <w:rPr>
                <w:rFonts w:ascii="Calibri" w:hAnsi="Calibri"/>
                <w:sz w:val="20"/>
              </w:rPr>
              <w:t>R25,000,001 – R50,000,000</w:t>
            </w:r>
          </w:p>
        </w:tc>
      </w:tr>
      <w:tr>
        <w:tc>
          <w:tcPr>
            <w:tcW w:type="dxa" w:w="4680"/>
            <w:tcMar w:top="60" w:left="80" w:bottom="60" w:right="80"/>
            <w:shd w:fill="F1F5F9"/>
          </w:tcPr>
          <w:p>
            <w:r>
              <w:rPr>
                <w:rFonts w:ascii="Calibri" w:hAnsi="Calibri"/>
                <w:sz w:val="20"/>
              </w:rPr>
              <w:t>Band 4</w:t>
            </w:r>
          </w:p>
        </w:tc>
        <w:tc>
          <w:tcPr>
            <w:tcW w:type="dxa" w:w="4680"/>
            <w:tcMar w:top="60" w:left="80" w:bottom="60" w:right="80"/>
            <w:shd w:fill="F1F5F9"/>
          </w:tcPr>
          <w:p>
            <w:r>
              <w:rPr>
                <w:rFonts w:ascii="Calibri" w:hAnsi="Calibri"/>
                <w:sz w:val="20"/>
              </w:rPr>
              <w:t>R50,000,001 – R75,000,000</w:t>
            </w:r>
          </w:p>
        </w:tc>
      </w:tr>
      <w:tr>
        <w:tc>
          <w:tcPr>
            <w:tcW w:type="dxa" w:w="4680"/>
            <w:tcMar w:top="60" w:left="80" w:bottom="60" w:right="80"/>
          </w:tcPr>
          <w:p>
            <w:r>
              <w:rPr>
                <w:rFonts w:ascii="Calibri" w:hAnsi="Calibri"/>
                <w:sz w:val="20"/>
              </w:rPr>
              <w:t>Band 5</w:t>
            </w:r>
          </w:p>
        </w:tc>
        <w:tc>
          <w:tcPr>
            <w:tcW w:type="dxa" w:w="4680"/>
            <w:tcMar w:top="60" w:left="80" w:bottom="60" w:right="80"/>
          </w:tcPr>
          <w:p>
            <w:r>
              <w:rPr>
                <w:rFonts w:ascii="Calibri" w:hAnsi="Calibri"/>
                <w:sz w:val="20"/>
              </w:rPr>
              <w:t>R75,000,001 – R100,000,000</w:t>
            </w:r>
          </w:p>
        </w:tc>
      </w:tr>
      <w:tr>
        <w:tc>
          <w:tcPr>
            <w:tcW w:type="dxa" w:w="4680"/>
            <w:tcMar w:top="60" w:left="80" w:bottom="60" w:right="80"/>
            <w:shd w:fill="F1F5F9"/>
          </w:tcPr>
          <w:p>
            <w:r>
              <w:rPr>
                <w:rFonts w:ascii="Calibri" w:hAnsi="Calibri"/>
                <w:sz w:val="20"/>
              </w:rPr>
              <w:t>Band 6</w:t>
            </w:r>
          </w:p>
        </w:tc>
        <w:tc>
          <w:tcPr>
            <w:tcW w:type="dxa" w:w="4680"/>
            <w:tcMar w:top="60" w:left="80" w:bottom="60" w:right="80"/>
            <w:shd w:fill="F1F5F9"/>
          </w:tcPr>
          <w:p>
            <w:r>
              <w:rPr>
                <w:rFonts w:ascii="Calibri" w:hAnsi="Calibri"/>
                <w:sz w:val="20"/>
              </w:rPr>
              <w:t>R100,000,001 – R150,000,000</w:t>
            </w:r>
          </w:p>
        </w:tc>
      </w:tr>
      <w:tr>
        <w:tc>
          <w:tcPr>
            <w:tcW w:type="dxa" w:w="4680"/>
            <w:tcMar w:top="60" w:left="80" w:bottom="60" w:right="80"/>
          </w:tcPr>
          <w:p>
            <w:r>
              <w:rPr>
                <w:rFonts w:ascii="Calibri" w:hAnsi="Calibri"/>
                <w:sz w:val="20"/>
              </w:rPr>
              <w:t>Band 7</w:t>
            </w:r>
          </w:p>
        </w:tc>
        <w:tc>
          <w:tcPr>
            <w:tcW w:type="dxa" w:w="4680"/>
            <w:tcMar w:top="60" w:left="80" w:bottom="60" w:right="80"/>
          </w:tcPr>
          <w:p>
            <w:r>
              <w:rPr>
                <w:rFonts w:ascii="Calibri" w:hAnsi="Calibri"/>
                <w:sz w:val="20"/>
              </w:rPr>
              <w:t>R150,000,001 – R200,000,000</w:t>
            </w:r>
          </w:p>
        </w:tc>
      </w:tr>
    </w:tbl>
    <w:p/>
    <w:p>
      <w:pPr>
        <w:spacing w:before="200" w:after="200"/>
        <w:ind w:left="567" w:right="283"/>
      </w:pPr>
      <w:r>
        <w:rPr>
          <w:b/>
          <w:color w:val="DC2626"/>
          <w:sz w:val="20"/>
        </w:rPr>
        <w:t xml:space="preserve">WARNING: </w:t>
      </w:r>
      <w:r>
        <w:rPr>
          <w:color w:val="64748B"/>
          <w:sz w:val="20"/>
        </w:rPr>
        <w:t>Turnover above R200,000,000 cannot be quoted in the engine. The system will display 'Refer for Underwriting' and block further progress. Contact a senior underwriter.</w:t>
      </w:r>
    </w:p>
    <w:p>
      <w:pPr>
        <w:pStyle w:val="Heading2"/>
      </w:pPr>
      <w:r>
        <w:rPr>
          <w:rFonts w:ascii="Calibri" w:hAnsi="Calibri"/>
          <w:color w:val="0F172A"/>
          <w:sz w:val="26"/>
        </w:rPr>
        <w:t>3.4 Employee Count &amp; Website Address</w:t>
      </w:r>
    </w:p>
    <w:p>
      <w:r>
        <w:t>Enter the number of employees and the company's website address. These are recorded for reference and appear on the quote output. They do not directly affect the premium calculation.</w:t>
      </w:r>
    </w:p>
    <w:p>
      <w:pPr>
        <w:pStyle w:val="Heading2"/>
      </w:pPr>
      <w:r>
        <w:rPr>
          <w:rFonts w:ascii="Calibri" w:hAnsi="Calibri"/>
          <w:color w:val="0F172A"/>
          <w:sz w:val="26"/>
        </w:rPr>
        <w:t>3.5 Underwriting Assessment (Q1–Q8)</w:t>
      </w:r>
    </w:p>
    <w:p>
      <w:r>
        <w:t>The underwriting questions assess the client's cyber security posture. Each question has a Yes (Y) or No (N) toggle. Your answers directly affect whether the quote can proceed, and whether a loading is applied to the premium.</w:t>
      </w:r>
    </w:p>
    <w:p>
      <w:pPr>
        <w:spacing w:before="200" w:after="200"/>
        <w:ind w:left="567" w:right="283"/>
      </w:pPr>
      <w:r>
        <w:rPr>
          <w:b/>
          <w:color w:val="F97316"/>
          <w:sz w:val="20"/>
        </w:rPr>
        <w:t xml:space="preserve">IMPORTANT: </w:t>
      </w:r>
      <w:r>
        <w:rPr>
          <w:color w:val="64748B"/>
          <w:sz w:val="20"/>
        </w:rPr>
        <w:t>April 2026 — the underwriting question set was expanded and renumbered to align with the V1 2026 Business Proposal e-file. Q1 is now a compound question with four minimum-baseline sub-parts. The old Q5 (email filter) has been absorbed into Q1.3 (email security solution), the old Q7/Q8 (FP-dependent) became Q6/Q7, and the old Q9 (prior cover) became Q8. The loading pool is now based on five INDEPENDENT questions (Q2.1, Q2.2, Q3, Q4, Q5) — Q2 is no longer compounded. See 3.5.2.</w:t>
      </w:r>
    </w:p>
    <w:p>
      <w:pPr>
        <w:pStyle w:val="Heading3"/>
      </w:pPr>
      <w:r>
        <w:rPr>
          <w:rFonts w:ascii="Calibri" w:hAnsi="Calibri"/>
          <w:color w:val="0F172A"/>
        </w:rPr>
        <w:t>3.5.1 Question-by-Question Guide</w:t>
      </w:r>
    </w:p>
    <w:p>
      <w:r>
        <w:rPr>
          <w:b/>
          <w:sz w:val="22"/>
        </w:rPr>
        <w:t>Q1: Internet Security Software (compound — 4 minimum-baseline sub-parts)</w:t>
      </w:r>
    </w:p>
    <w:p>
      <w:r>
        <w:t>"Does your business have a comprehensive, paid-for internet security software subscription installed and up to date on all computer systems and access devices? This must include at a minimum:"</w:t>
      </w:r>
    </w:p>
    <w:p>
      <w:pPr>
        <w:pStyle w:val="ListBullet"/>
      </w:pPr>
      <w:r>
        <w:t>Q1.1: Antivirus/anti-malware with real-time endpoint detection and response (EDR)</w:t>
      </w:r>
    </w:p>
    <w:p>
      <w:pPr>
        <w:pStyle w:val="ListBullet"/>
      </w:pPr>
      <w:r>
        <w:t>Q1.2: A network firewall configured to filter incoming and outgoing traffic</w:t>
      </w:r>
    </w:p>
    <w:p>
      <w:pPr>
        <w:pStyle w:val="ListBullet"/>
      </w:pPr>
      <w:r>
        <w:t>Q1.3: An email security solution that filters for phishing, malware and malicious attachments</w:t>
      </w:r>
    </w:p>
    <w:p>
      <w:pPr>
        <w:pStyle w:val="ListBullet"/>
      </w:pPr>
      <w:r>
        <w:t>Q1.4: A web-filtering solution that blocks access to known malicious or suspicious websites</w:t>
      </w:r>
    </w:p>
    <w:p>
      <w:r>
        <w:t>If Yes to any of the above, the optional free-text field ‘name of endpoint security vendor and product name’ is available for record-keeping (e.g. SentinelOne Singularity, Sophos Intercept X).</w:t>
      </w:r>
    </w:p>
    <w:p>
      <w:r>
        <w:rPr>
          <w:b/>
          <w:sz w:val="22"/>
        </w:rPr>
        <w:t>Q1 decision logic — decline gate vs Conditions of Cover</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Scenario</w:t>
            </w:r>
          </w:p>
        </w:tc>
        <w:tc>
          <w:tcPr>
            <w:tcW w:type="dxa" w:w="4680"/>
            <w:tcMar w:top="60" w:left="80" w:bottom="60" w:right="80"/>
            <w:shd w:fill="0F172A"/>
          </w:tcPr>
          <w:p>
            <w:pPr>
              <w:jc w:val="center"/>
            </w:pPr>
            <w:r>
              <w:rPr>
                <w:rFonts w:ascii="Calibri" w:hAnsi="Calibri"/>
                <w:b/>
                <w:color w:val="FFFFFF"/>
                <w:sz w:val="20"/>
              </w:rPr>
              <w:t>Engine behaviour</w:t>
            </w:r>
          </w:p>
        </w:tc>
      </w:tr>
      <w:tr>
        <w:tc>
          <w:tcPr>
            <w:tcW w:type="dxa" w:w="4680"/>
            <w:tcMar w:top="60" w:left="80" w:bottom="60" w:right="80"/>
          </w:tcPr>
          <w:p>
            <w:r>
              <w:rPr>
                <w:rFonts w:ascii="Calibri" w:hAnsi="Calibri"/>
                <w:sz w:val="20"/>
              </w:rPr>
              <w:t>Q1.1 No OR Q1.2 No</w:t>
            </w:r>
          </w:p>
        </w:tc>
        <w:tc>
          <w:tcPr>
            <w:tcW w:type="dxa" w:w="4680"/>
            <w:tcMar w:top="60" w:left="80" w:bottom="60" w:right="80"/>
          </w:tcPr>
          <w:p>
            <w:r>
              <w:rPr>
                <w:rFonts w:ascii="Calibri" w:hAnsi="Calibri"/>
                <w:sz w:val="20"/>
              </w:rPr>
              <w:t>Automatic decline. AV/EDR and firewall are non-negotiable baseline controls.</w:t>
            </w:r>
          </w:p>
        </w:tc>
      </w:tr>
      <w:tr>
        <w:tc>
          <w:tcPr>
            <w:tcW w:type="dxa" w:w="4680"/>
            <w:tcMar w:top="60" w:left="80" w:bottom="60" w:right="80"/>
            <w:shd w:fill="F1F5F9"/>
          </w:tcPr>
          <w:p>
            <w:r>
              <w:rPr>
                <w:rFonts w:ascii="Calibri" w:hAnsi="Calibri"/>
                <w:sz w:val="20"/>
              </w:rPr>
              <w:t>Q1.1 Yes AND Q1.2 Yes AND (Q1.3 No OR Q1.4 No)</w:t>
            </w:r>
          </w:p>
        </w:tc>
        <w:tc>
          <w:tcPr>
            <w:tcW w:type="dxa" w:w="4680"/>
            <w:tcMar w:top="60" w:left="80" w:bottom="60" w:right="80"/>
            <w:shd w:fill="F1F5F9"/>
          </w:tcPr>
          <w:p>
            <w:r>
              <w:rPr>
                <w:rFonts w:ascii="Calibri" w:hAnsi="Calibri"/>
                <w:sz w:val="20"/>
              </w:rPr>
              <w:t>Proceed with Caution. The missing baseline control(s) are added as Conditions of Cover and printed on the quote output.</w:t>
            </w:r>
          </w:p>
        </w:tc>
      </w:tr>
      <w:tr>
        <w:tc>
          <w:tcPr>
            <w:tcW w:type="dxa" w:w="4680"/>
            <w:tcMar w:top="60" w:left="80" w:bottom="60" w:right="80"/>
          </w:tcPr>
          <w:p>
            <w:r>
              <w:rPr>
                <w:rFonts w:ascii="Calibri" w:hAnsi="Calibri"/>
                <w:sz w:val="20"/>
              </w:rPr>
              <w:t>All four Yes</w:t>
            </w:r>
          </w:p>
        </w:tc>
        <w:tc>
          <w:tcPr>
            <w:tcW w:type="dxa" w:w="4680"/>
            <w:tcMar w:top="60" w:left="80" w:bottom="60" w:right="80"/>
          </w:tcPr>
          <w:p>
            <w:r>
              <w:rPr>
                <w:rFonts w:ascii="Calibri" w:hAnsi="Calibri"/>
                <w:sz w:val="20"/>
              </w:rPr>
              <w:t>Standard — no Q1 impact. (Loading may still be applied from Q2–Q5 Nos.)</w:t>
            </w:r>
          </w:p>
        </w:tc>
      </w:tr>
    </w:tbl>
    <w:p/>
    <w:p>
      <w:pPr>
        <w:spacing w:before="200" w:after="200"/>
        <w:ind w:left="567" w:right="283"/>
      </w:pPr>
      <w:r>
        <w:rPr>
          <w:b/>
          <w:color w:val="1E40AF"/>
          <w:sz w:val="20"/>
        </w:rPr>
        <w:t xml:space="preserve">NOTE: </w:t>
      </w:r>
      <w:r>
        <w:rPr>
          <w:color w:val="64748B"/>
          <w:sz w:val="20"/>
        </w:rPr>
        <w:t>The endpoint vendor / product name free-text field is OPTIONAL. The go/no-go for Q1 is the four Yes/No toggles only.</w:t>
      </w:r>
    </w:p>
    <w:p>
      <w:pPr>
        <w:spacing w:before="200" w:after="200"/>
        <w:ind w:left="567" w:right="283"/>
      </w:pPr>
      <w:r>
        <w:rPr>
          <w:b/>
          <w:color w:val="F97316"/>
          <w:sz w:val="20"/>
        </w:rPr>
        <w:t xml:space="preserve">IMPORTANT: </w:t>
      </w:r>
      <w:r>
        <w:rPr>
          <w:color w:val="64748B"/>
          <w:sz w:val="20"/>
        </w:rPr>
        <w:t>Q1 is the sole decline gate in the underwriting section. There is no decline driven by Q2–Q5 answers — those only drive loading.</w:t>
      </w:r>
    </w:p>
    <w:p>
      <w:r>
        <w:rPr>
          <w:b/>
          <w:sz w:val="22"/>
        </w:rPr>
        <w:t>Q2: Data Back-Up (Q2.1 and Q2.2 are INDEPENDENT scoreable questions)</w:t>
      </w:r>
    </w:p>
    <w:p>
      <w:pPr>
        <w:pStyle w:val="ListBullet"/>
      </w:pPr>
      <w:r>
        <w:t>Q2.1: "Do you back up your data on a weekly basis?"</w:t>
      </w:r>
    </w:p>
    <w:p>
      <w:pPr>
        <w:pStyle w:val="ListBullet"/>
      </w:pPr>
      <w:r>
        <w:t>Q2.2: "Do you perform recovery testing at least once per year?"</w:t>
      </w:r>
    </w:p>
    <w:p>
      <w:pPr>
        <w:spacing w:before="200" w:after="200"/>
        <w:ind w:left="567" w:right="283"/>
      </w:pPr>
      <w:r>
        <w:rPr>
          <w:b/>
          <w:color w:val="1E40AF"/>
          <w:sz w:val="20"/>
        </w:rPr>
        <w:t xml:space="preserve">NOTE: </w:t>
      </w:r>
      <w:r>
        <w:rPr>
          <w:color w:val="64748B"/>
          <w:sz w:val="20"/>
        </w:rPr>
        <w:t>April 2026 change: Q2.1 and Q2.2 are no longer compounded. Each is counted separately in the loading pool. A client that does weekly backups but skips annual recovery testing would contribute 1 ‘No’ to noCount (was 1 ‘No’ for the compound Q2 previously, but the loading-pool size and thresholds have changed).</w:t>
      </w:r>
    </w:p>
    <w:p>
      <w:r>
        <w:rPr>
          <w:b/>
          <w:sz w:val="22"/>
        </w:rPr>
        <w:t>Q3–Q5: Independent Security Practices</w:t>
      </w:r>
    </w:p>
    <w:p>
      <w:r>
        <w:t>Q3: Is data stored separately from the main computer (cloud or offline disk)?</w:t>
      </w:r>
    </w:p>
    <w:p>
      <w:r>
        <w:t>Q4: Are computers regularly updated and patched with latest security patches?</w:t>
      </w:r>
    </w:p>
    <w:p>
      <w:r>
        <w:t>Q5: Are employees regularly advised about secure computer use and internet/email dangers? (Was Q6 pre-April 2026.)</w:t>
      </w:r>
    </w:p>
    <w:p>
      <w:pPr>
        <w:pStyle w:val="Heading3"/>
      </w:pPr>
      <w:r>
        <w:rPr>
          <w:rFonts w:ascii="Calibri" w:hAnsi="Calibri"/>
          <w:color w:val="0F172A"/>
        </w:rPr>
        <w:t>3.5.2 Underwriting Loading Rules (April 2026 revised)</w:t>
      </w:r>
    </w:p>
    <w:p>
      <w:r>
        <w:t>The engine counts the number of ‘No’ answers across the FIVE independent questions (Q2.1, Q2.2, Q3, Q4, Q5) and applies loadings as follows. Note the grace of TWO ‘No’ answers before any loading is applied — reflecting that it is not uncommon for an otherwise sound client to skip one or two of the softer controls (e.g. annual recovery testing + employee training) without this constituting a material underwriting concern.</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No Answers (Q2.1–Q5)</w:t>
            </w:r>
          </w:p>
        </w:tc>
        <w:tc>
          <w:tcPr>
            <w:tcW w:type="dxa" w:w="3120"/>
            <w:tcMar w:top="60" w:left="80" w:bottom="60" w:right="80"/>
            <w:shd w:fill="0F172A"/>
          </w:tcPr>
          <w:p>
            <w:pPr>
              <w:jc w:val="center"/>
            </w:pPr>
            <w:r>
              <w:rPr>
                <w:rFonts w:ascii="Calibri" w:hAnsi="Calibri"/>
                <w:b/>
                <w:color w:val="FFFFFF"/>
                <w:sz w:val="20"/>
              </w:rPr>
              <w:t>Loading</w:t>
            </w:r>
          </w:p>
        </w:tc>
        <w:tc>
          <w:tcPr>
            <w:tcW w:type="dxa" w:w="3120"/>
            <w:tcMar w:top="60" w:left="80" w:bottom="60" w:right="80"/>
            <w:shd w:fill="0F172A"/>
          </w:tcPr>
          <w:p>
            <w:pPr>
              <w:jc w:val="center"/>
            </w:pPr>
            <w:r>
              <w:rPr>
                <w:rFonts w:ascii="Calibri" w:hAnsi="Calibri"/>
                <w:b/>
                <w:color w:val="FFFFFF"/>
                <w:sz w:val="20"/>
              </w:rPr>
              <w:t>Outcome Label</w:t>
            </w:r>
          </w:p>
        </w:tc>
      </w:tr>
      <w:tr>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Standard Rates</w:t>
            </w:r>
          </w:p>
        </w:tc>
      </w:tr>
      <w:tr>
        <w:tc>
          <w:tcPr>
            <w:tcW w:type="dxa" w:w="3120"/>
            <w:tcMar w:top="60" w:left="80" w:bottom="60" w:right="80"/>
            <w:shd w:fill="F1F5F9"/>
          </w:tcPr>
          <w:p>
            <w:r>
              <w:rPr>
                <w:rFonts w:ascii="Calibri" w:hAnsi="Calibri"/>
                <w:sz w:val="20"/>
              </w:rPr>
              <w:t>1</w:t>
            </w:r>
          </w:p>
        </w:tc>
        <w:tc>
          <w:tcPr>
            <w:tcW w:type="dxa" w:w="3120"/>
            <w:tcMar w:top="60" w:left="80" w:bottom="60" w:right="80"/>
            <w:shd w:fill="F1F5F9"/>
          </w:tcPr>
          <w:p>
            <w:r>
              <w:rPr>
                <w:rFonts w:ascii="Calibri" w:hAnsi="Calibri"/>
                <w:sz w:val="20"/>
              </w:rPr>
              <w:t>0%</w:t>
            </w:r>
          </w:p>
        </w:tc>
        <w:tc>
          <w:tcPr>
            <w:tcW w:type="dxa" w:w="3120"/>
            <w:tcMar w:top="60" w:left="80" w:bottom="60" w:right="80"/>
            <w:shd w:fill="F1F5F9"/>
          </w:tcPr>
          <w:p>
            <w:r>
              <w:rPr>
                <w:rFonts w:ascii="Calibri" w:hAnsi="Calibri"/>
                <w:sz w:val="20"/>
              </w:rPr>
              <w:t>Proceed with Caution (grace 1)</w:t>
            </w:r>
          </w:p>
        </w:tc>
      </w:tr>
      <w:tr>
        <w:tc>
          <w:tcPr>
            <w:tcW w:type="dxa" w:w="3120"/>
            <w:tcMar w:top="60" w:left="80" w:bottom="60" w:right="80"/>
          </w:tcPr>
          <w:p>
            <w:r>
              <w:rPr>
                <w:rFonts w:ascii="Calibri" w:hAnsi="Calibri"/>
                <w:sz w:val="20"/>
              </w:rPr>
              <w:t>2</w:t>
            </w:r>
          </w:p>
        </w:tc>
        <w:tc>
          <w:tcPr>
            <w:tcW w:type="dxa" w:w="3120"/>
            <w:tcMar w:top="60" w:left="80" w:bottom="60" w:right="80"/>
          </w:tcPr>
          <w:p>
            <w:r>
              <w:rPr>
                <w:rFonts w:ascii="Calibri" w:hAnsi="Calibri"/>
                <w:sz w:val="20"/>
              </w:rPr>
              <w:t>0%</w:t>
            </w:r>
          </w:p>
        </w:tc>
        <w:tc>
          <w:tcPr>
            <w:tcW w:type="dxa" w:w="3120"/>
            <w:tcMar w:top="60" w:left="80" w:bottom="60" w:right="80"/>
          </w:tcPr>
          <w:p>
            <w:r>
              <w:rPr>
                <w:rFonts w:ascii="Calibri" w:hAnsi="Calibri"/>
                <w:sz w:val="20"/>
              </w:rPr>
              <w:t>Proceed with Caution (grace 2)</w:t>
            </w:r>
          </w:p>
        </w:tc>
      </w:tr>
      <w:tr>
        <w:tc>
          <w:tcPr>
            <w:tcW w:type="dxa" w:w="3120"/>
            <w:tcMar w:top="60" w:left="80" w:bottom="60" w:right="80"/>
            <w:shd w:fill="F1F5F9"/>
          </w:tcPr>
          <w:p>
            <w:r>
              <w:rPr>
                <w:rFonts w:ascii="Calibri" w:hAnsi="Calibri"/>
                <w:sz w:val="20"/>
              </w:rPr>
              <w:t>3</w:t>
            </w:r>
          </w:p>
        </w:tc>
        <w:tc>
          <w:tcPr>
            <w:tcW w:type="dxa" w:w="3120"/>
            <w:tcMar w:top="60" w:left="80" w:bottom="60" w:right="80"/>
            <w:shd w:fill="F1F5F9"/>
          </w:tcPr>
          <w:p>
            <w:r>
              <w:rPr>
                <w:rFonts w:ascii="Calibri" w:hAnsi="Calibri"/>
                <w:sz w:val="20"/>
              </w:rPr>
              <w:t>5%</w:t>
            </w:r>
          </w:p>
        </w:tc>
        <w:tc>
          <w:tcPr>
            <w:tcW w:type="dxa" w:w="3120"/>
            <w:tcMar w:top="60" w:left="80" w:bottom="60" w:right="80"/>
            <w:shd w:fill="F1F5F9"/>
          </w:tcPr>
          <w:p>
            <w:r>
              <w:rPr>
                <w:rFonts w:ascii="Calibri" w:hAnsi="Calibri"/>
                <w:sz w:val="20"/>
              </w:rPr>
              <w:t>5% Loading Applied</w:t>
            </w:r>
          </w:p>
        </w:tc>
      </w:tr>
      <w:tr>
        <w:tc>
          <w:tcPr>
            <w:tcW w:type="dxa" w:w="3120"/>
            <w:tcMar w:top="60" w:left="80" w:bottom="60" w:right="80"/>
          </w:tcPr>
          <w:p>
            <w:r>
              <w:rPr>
                <w:rFonts w:ascii="Calibri" w:hAnsi="Calibri"/>
                <w:sz w:val="20"/>
              </w:rPr>
              <w:t>4</w:t>
            </w:r>
          </w:p>
        </w:tc>
        <w:tc>
          <w:tcPr>
            <w:tcW w:type="dxa" w:w="3120"/>
            <w:tcMar w:top="60" w:left="80" w:bottom="60" w:right="80"/>
          </w:tcPr>
          <w:p>
            <w:r>
              <w:rPr>
                <w:rFonts w:ascii="Calibri" w:hAnsi="Calibri"/>
                <w:sz w:val="20"/>
              </w:rPr>
              <w:t>10%</w:t>
            </w:r>
          </w:p>
        </w:tc>
        <w:tc>
          <w:tcPr>
            <w:tcW w:type="dxa" w:w="3120"/>
            <w:tcMar w:top="60" w:left="80" w:bottom="60" w:right="80"/>
          </w:tcPr>
          <w:p>
            <w:r>
              <w:rPr>
                <w:rFonts w:ascii="Calibri" w:hAnsi="Calibri"/>
                <w:sz w:val="20"/>
              </w:rPr>
              <w:t>10% Loading Applied</w:t>
            </w:r>
          </w:p>
        </w:tc>
      </w:tr>
      <w:tr>
        <w:tc>
          <w:tcPr>
            <w:tcW w:type="dxa" w:w="3120"/>
            <w:tcMar w:top="60" w:left="80" w:bottom="60" w:right="80"/>
            <w:shd w:fill="F1F5F9"/>
          </w:tcPr>
          <w:p>
            <w:r>
              <w:rPr>
                <w:rFonts w:ascii="Calibri" w:hAnsi="Calibri"/>
                <w:sz w:val="20"/>
              </w:rPr>
              <w:t>5</w:t>
            </w:r>
          </w:p>
        </w:tc>
        <w:tc>
          <w:tcPr>
            <w:tcW w:type="dxa" w:w="3120"/>
            <w:tcMar w:top="60" w:left="80" w:bottom="60" w:right="80"/>
            <w:shd w:fill="F1F5F9"/>
          </w:tcPr>
          <w:p>
            <w:r>
              <w:rPr>
                <w:rFonts w:ascii="Calibri" w:hAnsi="Calibri"/>
                <w:sz w:val="20"/>
              </w:rPr>
              <w:t>15%</w:t>
            </w:r>
          </w:p>
        </w:tc>
        <w:tc>
          <w:tcPr>
            <w:tcW w:type="dxa" w:w="3120"/>
            <w:tcMar w:top="60" w:left="80" w:bottom="60" w:right="80"/>
            <w:shd w:fill="F1F5F9"/>
          </w:tcPr>
          <w:p>
            <w:r>
              <w:rPr>
                <w:rFonts w:ascii="Calibri" w:hAnsi="Calibri"/>
                <w:sz w:val="20"/>
              </w:rPr>
              <w:t>15% Loading Applied</w:t>
            </w:r>
          </w:p>
        </w:tc>
      </w:tr>
    </w:tbl>
    <w:p/>
    <w:p>
      <w:pPr>
        <w:spacing w:before="200" w:after="200"/>
        <w:ind w:left="567" w:right="283"/>
      </w:pPr>
      <w:r>
        <w:rPr>
          <w:b/>
          <w:color w:val="1E40AF"/>
          <w:sz w:val="20"/>
        </w:rPr>
        <w:t xml:space="preserve">NOTE: </w:t>
      </w:r>
      <w:r>
        <w:rPr>
          <w:color w:val="64748B"/>
          <w:sz w:val="20"/>
        </w:rPr>
        <w:t>There is no decline from the Q2–Q5 loading pool. Even 5 Nos (every soft control absent) produces a 15% loading, not a decline. The decline gate is Q1.1 / Q1.2 only.</w:t>
      </w:r>
    </w:p>
    <w:p>
      <w:r>
        <w:rPr>
          <w:b/>
          <w:sz w:val="22"/>
        </w:rPr>
        <w:t>Q6 &amp; Q7: Funds Protect Questions (Conditional, was Q7/Q8 pre-Apr 2026)</w:t>
      </w:r>
    </w:p>
    <w:p>
      <w:r>
        <w:t>Q6 and Q7 only appear when the Funds Protect (FP) cover exceeds R250,000. This happens automatically for cover limits of R7.5M and above (since their base FP starts at R500,000+), or when you manually select an FP tier above R250,000.</w:t>
      </w:r>
    </w:p>
    <w:p>
      <w:r>
        <w:t>Q6 has three sub-parts asking about documented procedures for:</w:t>
      </w:r>
    </w:p>
    <w:p>
      <w:pPr>
        <w:pStyle w:val="ListBullet"/>
      </w:pPr>
      <w:r>
        <w:t>Q6.1: Vetting new vendors/customers/payees</w:t>
      </w:r>
    </w:p>
    <w:p>
      <w:pPr>
        <w:pStyle w:val="ListBullet"/>
      </w:pPr>
      <w:r>
        <w:t>Q6.2: Verifying new beneficiaries on banking profiles</w:t>
      </w:r>
    </w:p>
    <w:p>
      <w:pPr>
        <w:pStyle w:val="ListBullet"/>
      </w:pPr>
      <w:r>
        <w:t>Q6.3: Verifying requests to amend existing beneficiary payment details</w:t>
      </w:r>
    </w:p>
    <w:p>
      <w:r>
        <w:t>Q7: "Does your business utilise account verification services offered by your bank or third-party provider?"</w:t>
      </w:r>
    </w:p>
    <w:p>
      <w:pPr>
        <w:spacing w:before="200" w:after="200"/>
        <w:ind w:left="567" w:right="283"/>
      </w:pPr>
      <w:r>
        <w:rPr>
          <w:b/>
          <w:color w:val="F97316"/>
          <w:sz w:val="20"/>
        </w:rPr>
        <w:t xml:space="preserve">IMPORTANT: </w:t>
      </w:r>
      <w:r>
        <w:rPr>
          <w:color w:val="64748B"/>
          <w:sz w:val="20"/>
        </w:rPr>
        <w:t>Q6/Q7 = No does NOT trigger a loading or decline. Instead, the relevant item becomes a Condition of Cover, which is noted on the quote output and PDF. This means the client must implement the procedure as a condition of their policy.</w:t>
      </w:r>
    </w:p>
    <w:p>
      <w:r>
        <w:rPr>
          <w:b/>
          <w:sz w:val="22"/>
        </w:rPr>
        <w:t>Q8: Prior Cyber Liability Cover (was Q9 pre-Apr 2026)</w:t>
      </w:r>
    </w:p>
    <w:p>
      <w:r>
        <w:t>"Have you been covered for cyber liability risks in the last 12 months prior to the inception date of this policy?"</w:t>
      </w:r>
    </w:p>
    <w:p>
      <w:r>
        <w:t>When Q8 = Yes, an optional follow-up panel appears capturing the prior Insurer name and Inception Date. Both fields are OPTIONAL for the purpose of generating a quote; they are captured for record-keeping and appear on the quote audit / PDF output.</w:t>
      </w:r>
    </w:p>
    <w:p>
      <w:pPr>
        <w:spacing w:before="200" w:after="200"/>
        <w:ind w:left="567" w:right="283"/>
      </w:pPr>
      <w:r>
        <w:rPr>
          <w:b/>
          <w:color w:val="F97316"/>
          <w:sz w:val="20"/>
        </w:rPr>
        <w:t xml:space="preserve">IMPORTANT: </w:t>
      </w:r>
      <w:r>
        <w:rPr>
          <w:color w:val="64748B"/>
          <w:sz w:val="20"/>
        </w:rPr>
        <w:t>When Quote Type = Renewal, Q8 is automatically set to Yes and locked — an existing Phishield policy implies prior cover by definition. The optional Insurer / Inception Date panel is revealed automatically so the underwriter can capture the prior-term details if desired.</w:t>
      </w:r>
    </w:p>
    <w:p>
      <w:pPr>
        <w:spacing w:before="200" w:after="200"/>
        <w:ind w:left="567" w:right="283"/>
      </w:pPr>
      <w:r>
        <w:rPr>
          <w:b/>
          <w:color w:val="1E40AF"/>
          <w:sz w:val="20"/>
        </w:rPr>
        <w:t xml:space="preserve">NOTE: </w:t>
      </w:r>
      <w:r>
        <w:rPr>
          <w:color w:val="64748B"/>
          <w:sz w:val="20"/>
        </w:rPr>
        <w:t>On New Business and Competing Quote, Q8 remains editable. Q8 = No on those types is informational and does not on its own block the quote. If Q8 arrives as No on a Renewal via any non-UI path (e.g. data load, programmatic entry), the engine treats this as a contradiction and blocks the quote as Refer to Senior UW.</w:t>
      </w:r>
    </w:p>
    <w:p>
      <w:pPr>
        <w:pStyle w:val="Heading2"/>
      </w:pPr>
      <w:r>
        <w:rPr>
          <w:rFonts w:ascii="Calibri" w:hAnsi="Calibri"/>
          <w:color w:val="0F172A"/>
          <w:sz w:val="26"/>
        </w:rPr>
        <w:t>3.6 Prior Claim</w:t>
      </w:r>
    </w:p>
    <w:p>
      <w:r>
        <w:t>A checkbox at the bottom of Step 1 asks: 'Prior claim in previous term'. Tick this if the client has had a cyber insurance claim in their previous policy term.</w:t>
      </w:r>
    </w:p>
    <w:p>
      <w:pPr>
        <w:spacing w:before="200" w:after="200"/>
        <w:ind w:left="567" w:right="283"/>
      </w:pPr>
      <w:r>
        <w:rPr>
          <w:b/>
          <w:color w:val="DC2626"/>
          <w:sz w:val="20"/>
        </w:rPr>
        <w:t xml:space="preserve">WARNING: </w:t>
      </w:r>
      <w:r>
        <w:rPr>
          <w:color w:val="64748B"/>
          <w:sz w:val="20"/>
        </w:rPr>
        <w:t>Ticking 'Prior claim' is a hard block. The underwriting outcome is set to Refer to Senior UW, the 'Continue to Coverage' button is disabled, and a blocker overlay is shown. The quote cannot proceed without senior underwriter review. Untick the box to clear the block if entered in error.</w:t>
      </w:r>
    </w:p>
    <w:p>
      <w:pPr>
        <w:pStyle w:val="Heading2"/>
      </w:pPr>
      <w:r>
        <w:rPr>
          <w:rFonts w:ascii="Calibri" w:hAnsi="Calibri"/>
          <w:color w:val="0F172A"/>
          <w:sz w:val="26"/>
        </w:rPr>
        <w:t>3.7 Quote Type</w:t>
      </w:r>
    </w:p>
    <w:p>
      <w:r>
        <w:t>Select one of three quote types. The type you choose changes the behaviour of later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Quote Type</w:t>
            </w:r>
          </w:p>
        </w:tc>
        <w:tc>
          <w:tcPr>
            <w:tcW w:type="dxa" w:w="3120"/>
            <w:tcMar w:top="60" w:left="80" w:bottom="60" w:right="80"/>
            <w:shd w:fill="0F172A"/>
          </w:tcPr>
          <w:p>
            <w:pPr>
              <w:jc w:val="center"/>
            </w:pPr>
            <w:r>
              <w:rPr>
                <w:rFonts w:ascii="Calibri" w:hAnsi="Calibri"/>
                <w:b/>
                <w:color w:val="FFFFFF"/>
                <w:sz w:val="20"/>
              </w:rPr>
              <w:t>When to Use</w:t>
            </w:r>
          </w:p>
        </w:tc>
        <w:tc>
          <w:tcPr>
            <w:tcW w:type="dxa" w:w="3120"/>
            <w:tcMar w:top="60" w:left="80" w:bottom="60" w:right="80"/>
            <w:shd w:fill="0F172A"/>
          </w:tcPr>
          <w:p>
            <w:pPr>
              <w:jc w:val="center"/>
            </w:pPr>
            <w:r>
              <w:rPr>
                <w:rFonts w:ascii="Calibri" w:hAnsi="Calibri"/>
                <w:b/>
                <w:color w:val="FFFFFF"/>
                <w:sz w:val="20"/>
              </w:rPr>
              <w:t>Effect on Engine</w:t>
            </w:r>
          </w:p>
        </w:tc>
      </w:tr>
      <w:tr>
        <w:tc>
          <w:tcPr>
            <w:tcW w:type="dxa" w:w="3120"/>
            <w:tcMar w:top="60" w:left="80" w:bottom="60" w:right="80"/>
          </w:tcPr>
          <w:p>
            <w:r>
              <w:rPr>
                <w:rFonts w:ascii="Calibri" w:hAnsi="Calibri"/>
                <w:sz w:val="20"/>
              </w:rPr>
              <w:t>New Business</w:t>
            </w:r>
          </w:p>
        </w:tc>
        <w:tc>
          <w:tcPr>
            <w:tcW w:type="dxa" w:w="3120"/>
            <w:tcMar w:top="60" w:left="80" w:bottom="60" w:right="80"/>
          </w:tcPr>
          <w:p>
            <w:r>
              <w:rPr>
                <w:rFonts w:ascii="Calibri" w:hAnsi="Calibri"/>
                <w:sz w:val="20"/>
              </w:rPr>
              <w:t>Client has no existing Phishield policy</w:t>
            </w:r>
          </w:p>
        </w:tc>
        <w:tc>
          <w:tcPr>
            <w:tcW w:type="dxa" w:w="3120"/>
            <w:tcMar w:top="60" w:left="80" w:bottom="60" w:right="80"/>
          </w:tcPr>
          <w:p>
            <w:r>
              <w:rPr>
                <w:rFonts w:ascii="Calibri" w:hAnsi="Calibri"/>
                <w:sz w:val="20"/>
              </w:rPr>
              <w:t>Standard flow. Industry benchmark (IToo) comparison in Step 3.</w:t>
            </w:r>
          </w:p>
        </w:tc>
      </w:tr>
      <w:tr>
        <w:tc>
          <w:tcPr>
            <w:tcW w:type="dxa" w:w="3120"/>
            <w:tcMar w:top="60" w:left="80" w:bottom="60" w:right="80"/>
            <w:shd w:fill="F1F5F9"/>
          </w:tcPr>
          <w:p>
            <w:r>
              <w:rPr>
                <w:rFonts w:ascii="Calibri" w:hAnsi="Calibri"/>
                <w:sz w:val="20"/>
              </w:rPr>
              <w:t>Renewal</w:t>
            </w:r>
          </w:p>
        </w:tc>
        <w:tc>
          <w:tcPr>
            <w:tcW w:type="dxa" w:w="3120"/>
            <w:tcMar w:top="60" w:left="80" w:bottom="60" w:right="80"/>
            <w:shd w:fill="F1F5F9"/>
          </w:tcPr>
          <w:p>
            <w:r>
              <w:rPr>
                <w:rFonts w:ascii="Calibri" w:hAnsi="Calibri"/>
                <w:sz w:val="20"/>
              </w:rPr>
              <w:t>Client has an existing Phishield policy being renewed</w:t>
            </w:r>
          </w:p>
        </w:tc>
        <w:tc>
          <w:tcPr>
            <w:tcW w:type="dxa" w:w="3120"/>
            <w:tcMar w:top="60" w:left="80" w:bottom="60" w:right="80"/>
            <w:shd w:fill="F1F5F9"/>
          </w:tcPr>
          <w:p>
            <w:r>
              <w:rPr>
                <w:rFonts w:ascii="Calibri" w:hAnsi="Calibri"/>
                <w:sz w:val="20"/>
              </w:rPr>
              <w:t>Enter current cover limit, current annual premium, and current FP sub-limit. Q9 is auto-set to Yes. Comparison becomes 'Existing Policy' vs new quote. FP equivalent auto-set to Yes. Market condition badge shown. Triggers renewal-specific recommendation logic on Step 2 (Current Cover pin + market-condition options + Premium-drop protection).</w:t>
            </w:r>
          </w:p>
        </w:tc>
      </w:tr>
      <w:tr>
        <w:tc>
          <w:tcPr>
            <w:tcW w:type="dxa" w:w="3120"/>
            <w:tcMar w:top="60" w:left="80" w:bottom="60" w:right="80"/>
          </w:tcPr>
          <w:p>
            <w:r>
              <w:rPr>
                <w:rFonts w:ascii="Calibri" w:hAnsi="Calibri"/>
                <w:sz w:val="20"/>
              </w:rPr>
              <w:t>Competing Quote</w:t>
            </w:r>
          </w:p>
        </w:tc>
        <w:tc>
          <w:tcPr>
            <w:tcW w:type="dxa" w:w="3120"/>
            <w:tcMar w:top="60" w:left="80" w:bottom="60" w:right="80"/>
          </w:tcPr>
          <w:p>
            <w:r>
              <w:rPr>
                <w:rFonts w:ascii="Calibri" w:hAnsi="Calibri"/>
                <w:sz w:val="20"/>
              </w:rPr>
              <w:t>Client has a quote from another insurer</w:t>
            </w:r>
          </w:p>
        </w:tc>
        <w:tc>
          <w:tcPr>
            <w:tcW w:type="dxa" w:w="3120"/>
            <w:tcMar w:top="60" w:left="80" w:bottom="60" w:right="80"/>
          </w:tcPr>
          <w:p>
            <w:r>
              <w:rPr>
                <w:rFonts w:ascii="Calibri" w:hAnsi="Calibri"/>
                <w:sz w:val="20"/>
              </w:rPr>
              <w:t>Competitor details entered in Step 3. Comparison against competitor pricing.</w:t>
            </w:r>
          </w:p>
        </w:tc>
      </w:tr>
    </w:tbl>
    <w:p/>
    <w:p>
      <w:pPr>
        <w:pStyle w:val="Heading3"/>
      </w:pPr>
      <w:r>
        <w:rPr>
          <w:rFonts w:ascii="Calibri" w:hAnsi="Calibri"/>
          <w:color w:val="0F172A"/>
        </w:rPr>
        <w:t>3.7.1 Renewal Details</w:t>
      </w:r>
    </w:p>
    <w:p>
      <w:r>
        <w:t>When you select 'Renewal', three additional fields appear, all of which are required before the 'Continue to Coverage' button will enable:</w:t>
      </w:r>
    </w:p>
    <w:p>
      <w:pPr>
        <w:pStyle w:val="ListBullet"/>
      </w:pPr>
      <w:r>
        <w:t>Current Cover Limit — select the client's existing cover limit from the dropdown.</w:t>
      </w:r>
    </w:p>
    <w:p>
      <w:pPr>
        <w:pStyle w:val="ListBullet"/>
      </w:pPr>
      <w:r>
        <w:t>Current Annual Premium — enter the premium they are currently paying (gross of any discounts already applied).</w:t>
      </w:r>
    </w:p>
    <w:p>
      <w:pPr>
        <w:pStyle w:val="ListBullet"/>
      </w:pPr>
      <w:r>
        <w:t>Current Funds Protect Sub-limit — select the FP sub-limit on the existing policy. This is required for apples-to-apples premium comparison by the Premium-drop Protection rule.</w:t>
      </w:r>
    </w:p>
    <w:p>
      <w:pPr>
        <w:spacing w:before="200" w:after="200"/>
        <w:ind w:left="567" w:right="283"/>
      </w:pPr>
      <w:r>
        <w:rPr>
          <w:b/>
          <w:color w:val="059669"/>
          <w:sz w:val="20"/>
        </w:rPr>
        <w:t xml:space="preserve">TIP: </w:t>
      </w:r>
      <w:r>
        <w:rPr>
          <w:color w:val="64748B"/>
          <w:sz w:val="20"/>
        </w:rPr>
        <w:t>All three fields must be populated. Until they are, 'Continue to Coverage' stays disabled. Switching away from Renewal (e.g. to New Business) clears all three fields and unlocks Q9.</w:t>
      </w:r>
    </w:p>
    <w:p>
      <w:r>
        <w:t>A market condition badge is displayed (currently: 'Softening market for 2026'). The market condition drives which secondary options (upgrades / alternatives / downgrades) appear alongside the existing cover on Step 2 — see section 3.7.2.</w:t>
      </w:r>
    </w:p>
    <w:p>
      <w:pPr>
        <w:pStyle w:val="Heading3"/>
      </w:pPr>
      <w:r>
        <w:rPr>
          <w:rFonts w:ascii="Calibri" w:hAnsi="Calibri"/>
          <w:color w:val="0F172A"/>
        </w:rPr>
        <w:t>3.7.2 Market Conditions Explained (Renewals)</w:t>
      </w:r>
    </w:p>
    <w:p>
      <w:r>
        <w:t>Understanding the current market condition is critical for renewals. The engine displays a market condition badge, but it is up to you to apply the right strategy. Below are the three market states and the recommended approach for each.</w:t>
      </w:r>
    </w:p>
    <w:p>
      <w:r>
        <w:rPr>
          <w:b/>
          <w:sz w:val="22"/>
        </w:rPr>
        <w:t>Softening Market (Current 2026)</w:t>
      </w:r>
    </w:p>
    <w:p>
      <w:r>
        <w:t>Premium rates are decreasing across the industry. Strategy: the engine pins the existing cover as 'Current Cover' and adds up to two higher cover limits as 'Upgrade Option' cards. The client can retain the same cover for a similar or lower premium, or trade up to higher cover at competitive rates.</w:t>
      </w:r>
    </w:p>
    <w:p>
      <w:pPr>
        <w:spacing w:before="200" w:after="200"/>
        <w:ind w:left="567" w:right="283"/>
      </w:pPr>
      <w:r>
        <w:rPr>
          <w:b/>
          <w:color w:val="059669"/>
          <w:sz w:val="20"/>
        </w:rPr>
        <w:t xml:space="preserve">TIP: </w:t>
      </w:r>
      <w:r>
        <w:rPr>
          <w:color w:val="64748B"/>
          <w:sz w:val="20"/>
        </w:rPr>
        <w:t>In a softening market, always present at least one upgrade option alongside the like-for-like renewal. Clients are more receptive to increasing cover when rates are falling.</w:t>
      </w:r>
    </w:p>
    <w:p>
      <w:r>
        <w:rPr>
          <w:b/>
          <w:sz w:val="22"/>
        </w:rPr>
        <w:t>Stable Market</w:t>
      </w:r>
    </w:p>
    <w:p>
      <w:r>
        <w:t>Rates are steady with minor inflation adjustment. Strategy: the engine pins the existing cover as 'Current Cover' and adds one lower and one higher cover as 'Alternative' cards so the underwriter can show the price point either side of the current cover. Discretionary discounts should be minimal. Focus on the value of the Funds Protect benefit as a differentiator.</w:t>
      </w:r>
    </w:p>
    <w:p>
      <w:r>
        <w:rPr>
          <w:b/>
          <w:sz w:val="22"/>
        </w:rPr>
        <w:t>Hardening Market</w:t>
      </w:r>
    </w:p>
    <w:p>
      <w:r>
        <w:t>Rates are increasing due to higher claims frequency or severity. Strategy: the engine pins the existing cover as 'Current Cover' and adds one lower cover as a 'Downgrade Option' — giving the underwriter a conversation-starter if the client is price-sensitive. Be transparent about the increase, emphasise the value of comprehensive cover, and use the audit trail to justify the premium. The comparison bars in Step 4 help demonstrate that the increase is market-wide, not Phishield-specific.</w:t>
      </w:r>
    </w:p>
    <w:p>
      <w:pPr>
        <w:spacing w:before="200" w:after="200"/>
        <w:ind w:left="567" w:right="283"/>
      </w:pPr>
      <w:r>
        <w:rPr>
          <w:b/>
          <w:color w:val="059669"/>
          <w:sz w:val="20"/>
        </w:rPr>
        <w:t xml:space="preserve">TIP: </w:t>
      </w:r>
      <w:r>
        <w:rPr>
          <w:color w:val="64748B"/>
          <w:sz w:val="20"/>
        </w:rPr>
        <w:t>In a hardening market, the audit trail is your best tool. Walk the broker through each calculation step so they can explain the increase to their client.</w:t>
      </w:r>
    </w:p>
    <w:p>
      <w:pPr>
        <w:pStyle w:val="Heading3"/>
      </w:pPr>
      <w:r>
        <w:rPr>
          <w:rFonts w:ascii="Calibri" w:hAnsi="Calibri"/>
          <w:color w:val="0F172A"/>
        </w:rPr>
        <w:t>3.7.3 Premium-drop Protection (Renewals)</w:t>
      </w:r>
    </w:p>
    <w:p>
      <w:r>
        <w:t>On renewals, the engine runs an additional check to guard against premium erosion — particularly in a softening market where market-rate decreases could silently reduce the client's premium well below the prior year's. The rule fires regardless of market condition so that any anomalous drop is flagged.</w:t>
      </w:r>
    </w:p>
    <w:p>
      <w:r>
        <w:rPr>
          <w:b/>
          <w:sz w:val="22"/>
        </w:rPr>
        <w:t>Trigger</w:t>
      </w:r>
    </w:p>
    <w:p>
      <w:r>
        <w:t>When the renewal inputs are all populated, the engine calculates the new premium at the same cover limit and same FP sub-limit as the existing policy (matching all three inputs the underwriter has captured). If that new premium is more than 20% lower than the current annual premium, the rule fires.</w:t>
      </w:r>
    </w:p>
    <w:p>
      <w:pPr>
        <w:jc w:val="center"/>
      </w:pPr>
      <w:r>
        <w:rPr>
          <w:b/>
        </w:rPr>
        <w:t>Trigger condition: new premium at same cover/FP &lt; 80% of existing premium</w:t>
      </w:r>
    </w:p>
    <w:p>
      <w:r>
        <w:rPr>
          <w:b/>
          <w:sz w:val="22"/>
        </w:rPr>
        <w:t>Action when triggered</w:t>
      </w:r>
    </w:p>
    <w:p>
      <w:r>
        <w:t>The Step 2 cover recommendations are re-calculated to retain at least 90% of the existing premium. The card ladder adapts to how far the target sits above the existing cover:</w:t>
      </w:r>
    </w:p>
    <w:p>
      <w:pPr>
        <w:pStyle w:val="ListBullet"/>
      </w:pPr>
      <w:r>
        <w:t>The existing cover limit is always shown as 'Reference — Not Recommended' (dimmed, not pre-selected).</w:t>
      </w:r>
    </w:p>
    <w:p>
      <w:pPr>
        <w:pStyle w:val="ListBullet"/>
      </w:pPr>
      <w:r>
        <w:t>The 'Recommended' target is the lowest cover where the new premium retains at least 90% of the existing.</w:t>
      </w:r>
    </w:p>
    <w:p>
      <w:pPr>
        <w:pStyle w:val="ListBullet"/>
      </w:pPr>
      <w:r>
        <w:t>When the target is ADJACENT to the existing cover (one step up): 'Reference' + 'Recommended' + one cover above the target as 'Alternative' (natural one-step-further upsell).</w:t>
      </w:r>
    </w:p>
    <w:p>
      <w:pPr>
        <w:pStyle w:val="ListBullet"/>
      </w:pPr>
      <w:r>
        <w:t>When the target is MORE THAN ONE STEP above the existing cover (i.e. the algorithm skipped covers to reach 90%): every available cover between the existing and target appears as an 'Alternative' card. The card above the target is DROPPED. This prevents ladder gaps that would hide the natural one-step upgrade path.</w:t>
      </w:r>
    </w:p>
    <w:p>
      <w:pPr>
        <w:pStyle w:val="ListBullet"/>
      </w:pPr>
      <w:r>
        <w:t>Each intermediate 'Alternative' card shows a 'XX% retention' badge — the new premium expressed as a percentage of the existing premium, at matched FP. The underwriter sees at a glance how close each option sits to the 90% bar, and can decide whether a small discretionary pricing adjustment or an FP tier upgrade is worthwhile to bridge the gap.</w:t>
      </w:r>
    </w:p>
    <w:p>
      <w:pPr>
        <w:pStyle w:val="ListBullet"/>
      </w:pPr>
      <w:r>
        <w:t>A critical-severity banner appears on Step 2 notifying the underwriter of the potential premium loss and the adjusted recommendation.</w:t>
      </w:r>
    </w:p>
    <w:p>
      <w:pPr>
        <w:pStyle w:val="ListBullet"/>
      </w:pPr>
      <w:r>
        <w:t>The same information is reflected on the Step 4 UW Conditions Panel and the Step 5 PDF audit trail.</w:t>
      </w:r>
    </w:p>
    <w:p>
      <w:pPr>
        <w:spacing w:before="200" w:after="200"/>
        <w:ind w:left="567" w:right="283"/>
      </w:pPr>
      <w:r>
        <w:rPr>
          <w:b/>
          <w:color w:val="1E40AF"/>
          <w:sz w:val="20"/>
        </w:rPr>
        <w:t xml:space="preserve">NOTE: </w:t>
      </w:r>
      <w:r>
        <w:rPr>
          <w:color w:val="64748B"/>
          <w:sz w:val="20"/>
        </w:rPr>
        <w:t>The retention percentage on intermediate cards is calculated at the MATCHED FP sub-limit — the same FP basis used for the Rule I decision. Because higher cover limits have a minimum baseline FP, an intermediate cover may already use a higher FP than the existing policy (e.g. R7.5M forces a minimum FP of R500k even if the existing policy was at R250k FP). This is baked into the retention calculation — no adjustment required.</w:t>
      </w:r>
    </w:p>
    <w:p>
      <w:pPr>
        <w:spacing w:before="200" w:after="200"/>
        <w:ind w:left="567" w:right="283"/>
      </w:pPr>
      <w:r>
        <w:rPr>
          <w:b/>
          <w:color w:val="059669"/>
          <w:sz w:val="20"/>
        </w:rPr>
        <w:t xml:space="preserve">TIP: </w:t>
      </w:r>
      <w:r>
        <w:rPr>
          <w:color w:val="64748B"/>
          <w:sz w:val="20"/>
        </w:rPr>
        <w:t>Clients are more likely to accept a one-notch upgrade than a two-notch jump. Use the intermediate Alternative cards to anchor the conversation: 'You're currently at R5M. For similar protection against premium loss we'd normally recommend R10M, but R7.5M at 83%-retention is a realistic middle ground if we apply a small discretionary adjustment.'</w:t>
      </w:r>
    </w:p>
    <w:p>
      <w:r>
        <w:rPr>
          <w:b/>
          <w:sz w:val="22"/>
        </w:rPr>
        <w:t>Corporate-escalation edge case</w:t>
      </w:r>
    </w:p>
    <w:p>
      <w:r>
        <w:t>If the highest available SME cover still produces a premium below 90% retention, the engine escalates:</w:t>
      </w:r>
    </w:p>
    <w:p>
      <w:pPr>
        <w:pStyle w:val="ListBullet"/>
      </w:pPr>
      <w:r>
        <w:t>The banner upgrades to 'Premium loss risk — Corporate referral suggested'.</w:t>
      </w:r>
    </w:p>
    <w:p>
      <w:pPr>
        <w:pStyle w:val="ListBullet"/>
      </w:pPr>
      <w:r>
        <w:t>The Corporate escalation note is carried onto the Step 4 UW Conditions Panel and the Step 5 PDF audit trail.</w:t>
      </w:r>
    </w:p>
    <w:p>
      <w:pPr>
        <w:pStyle w:val="ListBullet"/>
      </w:pPr>
      <w:r>
        <w:t>The suggested action is to convert the client to a Corporate policy for higher cover limits — which requires referral to a senior underwriter.</w:t>
      </w:r>
    </w:p>
    <w:p>
      <w:pPr>
        <w:spacing w:before="200" w:after="200"/>
        <w:ind w:left="567" w:right="283"/>
      </w:pPr>
      <w:r>
        <w:rPr>
          <w:b/>
          <w:color w:val="F97316"/>
          <w:sz w:val="20"/>
        </w:rPr>
        <w:t xml:space="preserve">IMPORTANT: </w:t>
      </w:r>
      <w:r>
        <w:rPr>
          <w:color w:val="64748B"/>
          <w:sz w:val="20"/>
        </w:rPr>
        <w:t>The Premium-drop Protection rule does not itself refer the quote to UW — the underwriter can still produce the SME quote (at the adjusted target cover, or at the existing cover as reference). The rule's purpose is to surface the issue so the decision is made consciously. The Corporate-escalation variant is a stronger hint that the case may have outgrown the SME product.</w:t>
      </w:r>
    </w:p>
    <w:p>
      <w:r>
        <w:rPr>
          <w:b/>
          <w:sz w:val="22"/>
        </w:rPr>
        <w:t>Revenue band shift</w:t>
      </w:r>
    </w:p>
    <w:p>
      <w:r>
        <w:t>A related check: if the existing cover limit is not in the recommended set for the current turnover band (i.e., revenue has grown or shrunk enough to move the client to a different band), an informational banner is shown: 'Revenue band shift since last renewal'. This prompts the underwriter to verify that cover remains adequate. The existing cover is still pinned as 'Current Cover' — it is not hidden or de-selected.</w:t>
      </w:r>
    </w:p>
    <w:p>
      <w:r>
        <w:rPr>
          <w:b/>
          <w:sz w:val="22"/>
        </w:rPr>
        <w:t>UW loading comparison caveat</w:t>
      </w:r>
    </w:p>
    <w:p>
      <w:r>
        <w:t>When the current-year underwriting answers produce a loading (Q2–Q6 answers), the new renewal premium reflects that loading. The prior term's cyber-security posture is not on record in the rating engine, so a direct year-on-year comparison is not strictly like-for-like. The engine surfaces this as a note in the Step 2 banner and the Step 4 UW Conditions Panel. Each recommendation card also shows a small 'UW +X%' badge so the loading is visible at a glance. Industry modifiers (Software &amp; Technology, Financial) remain baked into the calculation silently — they are implied and do not typically change year-on-year.</w:t>
      </w:r>
    </w:p>
    <w:p>
      <w:pPr>
        <w:pStyle w:val="Heading2"/>
      </w:pPr>
      <w:r>
        <w:rPr>
          <w:rFonts w:ascii="Calibri" w:hAnsi="Calibri"/>
          <w:color w:val="0F172A"/>
          <w:sz w:val="26"/>
        </w:rPr>
        <w:t>3.8 Moving to Step 2</w:t>
      </w:r>
    </w:p>
    <w:p>
      <w:r>
        <w:t>The 'Continue to Coverage' button becomes active once all mandatory fields are completed:</w:t>
      </w:r>
    </w:p>
    <w:p>
      <w:pPr>
        <w:pStyle w:val="ListBullet"/>
      </w:pPr>
      <w:r>
        <w:t>Company Name is entered</w:t>
      </w:r>
    </w:p>
    <w:p>
      <w:pPr>
        <w:pStyle w:val="ListBullet"/>
      </w:pPr>
      <w:r>
        <w:t>Industry is selected</w:t>
      </w:r>
    </w:p>
    <w:p>
      <w:pPr>
        <w:pStyle w:val="ListBullet"/>
      </w:pPr>
      <w:r>
        <w:t>At least one turnover figure is entered</w:t>
      </w:r>
    </w:p>
    <w:p>
      <w:pPr>
        <w:pStyle w:val="ListBullet"/>
      </w:pPr>
      <w:r>
        <w:t>Q1 is answered (Yes or No)</w:t>
      </w:r>
    </w:p>
    <w:p>
      <w:pPr>
        <w:pStyle w:val="ListBullet"/>
      </w:pPr>
      <w:r>
        <w:t>On Renewal quotes only: Current Cover Limit, Current Annual Premium, AND Current FP Sub-limit are all populated</w:t>
      </w:r>
    </w:p>
    <w:p>
      <w:pPr>
        <w:spacing w:before="200" w:after="200"/>
        <w:ind w:left="567" w:right="283"/>
      </w:pPr>
      <w:r>
        <w:rPr>
          <w:b/>
          <w:color w:val="059669"/>
          <w:sz w:val="20"/>
        </w:rPr>
        <w:t xml:space="preserve">TIP: </w:t>
      </w:r>
      <w:r>
        <w:rPr>
          <w:color w:val="64748B"/>
          <w:sz w:val="20"/>
        </w:rPr>
        <w:t>If the button remains greyed out, check that all mandatory fields are filled in and that no blockers are active (Prior claim ticked, Refer for UW, turnover &gt; R200M, Q1.1 or Q1.2 = No, or Renewal-Q8 contradiction).</w:t>
      </w:r>
    </w:p>
    <w:p>
      <w:r>
        <w:br w:type="page"/>
      </w:r>
    </w:p>
    <w:p>
      <w:pPr>
        <w:pStyle w:val="Heading1"/>
      </w:pPr>
      <w:r>
        <w:rPr>
          <w:rFonts w:ascii="Calibri" w:hAnsi="Calibri"/>
          <w:color w:val="0F172A"/>
          <w:sz w:val="32"/>
        </w:rPr>
        <w:t>4. Step 2: Coverage Recommendations &amp; Selection</w:t>
      </w:r>
    </w:p>
    <w:p>
      <w:r>
        <w:t>In this step, the engine recommends appropriate cover limits based on the client's revenue band. You can accept the recommendations, select custom limits, or build a multi-cover quote with up to 4 options.</w:t>
      </w:r>
    </w:p>
    <w:p>
      <w:pPr>
        <w:spacing w:before="240" w:after="240"/>
        <w:jc w:val="center"/>
      </w:pPr>
      <w:r>
        <w:rPr>
          <w:i/>
          <w:color w:val="64748B"/>
          <w:sz w:val="20"/>
        </w:rPr>
        <w:t>Figure 4: Step 2 — Recommended cover option cards with Micro SME badge, FP selector, and estimated premium table</w:t>
      </w:r>
    </w:p>
    <w:p>
      <w:pPr>
        <w:pStyle w:val="Heading2"/>
      </w:pPr>
      <w:r>
        <w:rPr>
          <w:rFonts w:ascii="Calibri" w:hAnsi="Calibri"/>
          <w:color w:val="0F172A"/>
          <w:sz w:val="26"/>
        </w:rPr>
        <w:t>4.1 Recommended Cover Options</w:t>
      </w:r>
    </w:p>
    <w:p>
      <w:r>
        <w:t>The engine displays cover option cards based on the client's revenue band. Each card shows the cover limit, annual premium, monthly premium, and included FP cost. Cards are tagged as:</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Tag</w:t>
            </w:r>
          </w:p>
        </w:tc>
        <w:tc>
          <w:tcPr>
            <w:tcW w:type="dxa" w:w="4680"/>
            <w:tcMar w:top="60" w:left="80" w:bottom="60" w:right="80"/>
            <w:shd w:fill="0F172A"/>
          </w:tcPr>
          <w:p>
            <w:pPr>
              <w:jc w:val="center"/>
            </w:pPr>
            <w:r>
              <w:rPr>
                <w:rFonts w:ascii="Calibri" w:hAnsi="Calibri"/>
                <w:b/>
                <w:color w:val="FFFFFF"/>
                <w:sz w:val="20"/>
              </w:rPr>
              <w:t>Meaning</w:t>
            </w:r>
          </w:p>
        </w:tc>
      </w:tr>
      <w:tr>
        <w:tc>
          <w:tcPr>
            <w:tcW w:type="dxa" w:w="4680"/>
            <w:tcMar w:top="60" w:left="80" w:bottom="60" w:right="80"/>
          </w:tcPr>
          <w:p>
            <w:r>
              <w:rPr>
                <w:rFonts w:ascii="Calibri" w:hAnsi="Calibri"/>
                <w:sz w:val="20"/>
              </w:rPr>
              <w:t>Recommended</w:t>
            </w:r>
          </w:p>
        </w:tc>
        <w:tc>
          <w:tcPr>
            <w:tcW w:type="dxa" w:w="4680"/>
            <w:tcMar w:top="60" w:left="80" w:bottom="60" w:right="80"/>
          </w:tcPr>
          <w:p>
            <w:r>
              <w:rPr>
                <w:rFonts w:ascii="Calibri" w:hAnsi="Calibri"/>
                <w:sz w:val="20"/>
              </w:rPr>
              <w:t>Best fit for the client's revenue band (New Business / Competing Quote)</w:t>
            </w:r>
          </w:p>
        </w:tc>
      </w:tr>
      <w:tr>
        <w:tc>
          <w:tcPr>
            <w:tcW w:type="dxa" w:w="4680"/>
            <w:tcMar w:top="60" w:left="80" w:bottom="60" w:right="80"/>
            <w:shd w:fill="F1F5F9"/>
          </w:tcPr>
          <w:p>
            <w:r>
              <w:rPr>
                <w:rFonts w:ascii="Calibri" w:hAnsi="Calibri"/>
                <w:sz w:val="20"/>
              </w:rPr>
              <w:t>Optional</w:t>
            </w:r>
          </w:p>
        </w:tc>
        <w:tc>
          <w:tcPr>
            <w:tcW w:type="dxa" w:w="4680"/>
            <w:tcMar w:top="60" w:left="80" w:bottom="60" w:right="80"/>
            <w:shd w:fill="F1F5F9"/>
          </w:tcPr>
          <w:p>
            <w:r>
              <w:rPr>
                <w:rFonts w:ascii="Calibri" w:hAnsi="Calibri"/>
                <w:sz w:val="20"/>
              </w:rPr>
              <w:t>Available but not the primary recommendation</w:t>
            </w:r>
          </w:p>
        </w:tc>
      </w:tr>
      <w:tr>
        <w:tc>
          <w:tcPr>
            <w:tcW w:type="dxa" w:w="4680"/>
            <w:tcMar w:top="60" w:left="80" w:bottom="60" w:right="80"/>
          </w:tcPr>
          <w:p>
            <w:r>
              <w:rPr>
                <w:rFonts w:ascii="Calibri" w:hAnsi="Calibri"/>
                <w:sz w:val="20"/>
              </w:rPr>
              <w:t>Request Only</w:t>
            </w:r>
          </w:p>
        </w:tc>
        <w:tc>
          <w:tcPr>
            <w:tcW w:type="dxa" w:w="4680"/>
            <w:tcMar w:top="60" w:left="80" w:bottom="60" w:right="80"/>
          </w:tcPr>
          <w:p>
            <w:r>
              <w:rPr>
                <w:rFonts w:ascii="Calibri" w:hAnsi="Calibri"/>
                <w:sz w:val="20"/>
              </w:rPr>
              <w:t>Available on request; needs justification</w:t>
            </w:r>
          </w:p>
        </w:tc>
      </w:tr>
      <w:tr>
        <w:tc>
          <w:tcPr>
            <w:tcW w:type="dxa" w:w="4680"/>
            <w:tcMar w:top="60" w:left="80" w:bottom="60" w:right="80"/>
            <w:shd w:fill="F1F5F9"/>
          </w:tcPr>
          <w:p>
            <w:r>
              <w:rPr>
                <w:rFonts w:ascii="Calibri" w:hAnsi="Calibri"/>
                <w:sz w:val="20"/>
              </w:rPr>
              <w:t>N/A</w:t>
            </w:r>
          </w:p>
        </w:tc>
        <w:tc>
          <w:tcPr>
            <w:tcW w:type="dxa" w:w="4680"/>
            <w:tcMar w:top="60" w:left="80" w:bottom="60" w:right="80"/>
            <w:shd w:fill="F1F5F9"/>
          </w:tcPr>
          <w:p>
            <w:r>
              <w:rPr>
                <w:rFonts w:ascii="Calibri" w:hAnsi="Calibri"/>
                <w:sz w:val="20"/>
              </w:rPr>
              <w:t>Not available for this revenue band</w:t>
            </w:r>
          </w:p>
        </w:tc>
      </w:tr>
      <w:tr>
        <w:tc>
          <w:tcPr>
            <w:tcW w:type="dxa" w:w="4680"/>
            <w:tcMar w:top="60" w:left="80" w:bottom="60" w:right="80"/>
          </w:tcPr>
          <w:p>
            <w:r>
              <w:rPr>
                <w:rFonts w:ascii="Calibri" w:hAnsi="Calibri"/>
                <w:sz w:val="20"/>
              </w:rPr>
              <w:t>Current Cover</w:t>
            </w:r>
          </w:p>
        </w:tc>
        <w:tc>
          <w:tcPr>
            <w:tcW w:type="dxa" w:w="4680"/>
            <w:tcMar w:top="60" w:left="80" w:bottom="60" w:right="80"/>
          </w:tcPr>
          <w:p>
            <w:r>
              <w:rPr>
                <w:rFonts w:ascii="Calibri" w:hAnsi="Calibri"/>
                <w:sz w:val="20"/>
              </w:rPr>
              <w:t>Renewal only — the client's existing cover limit, pinned on Step 2 even if outside the recommended set for the current band. Auto-selected unless Premium-drop Protection fires.</w:t>
            </w:r>
          </w:p>
        </w:tc>
      </w:tr>
      <w:tr>
        <w:tc>
          <w:tcPr>
            <w:tcW w:type="dxa" w:w="4680"/>
            <w:tcMar w:top="60" w:left="80" w:bottom="60" w:right="80"/>
            <w:shd w:fill="F1F5F9"/>
          </w:tcPr>
          <w:p>
            <w:r>
              <w:rPr>
                <w:rFonts w:ascii="Calibri" w:hAnsi="Calibri"/>
                <w:sz w:val="20"/>
              </w:rPr>
              <w:t>Current Cover • Recommended</w:t>
            </w:r>
          </w:p>
        </w:tc>
        <w:tc>
          <w:tcPr>
            <w:tcW w:type="dxa" w:w="4680"/>
            <w:tcMar w:top="60" w:left="80" w:bottom="60" w:right="80"/>
            <w:shd w:fill="F1F5F9"/>
          </w:tcPr>
          <w:p>
            <w:r>
              <w:rPr>
                <w:rFonts w:ascii="Calibri" w:hAnsi="Calibri"/>
                <w:sz w:val="20"/>
              </w:rPr>
              <w:t>Renewal only — the existing cover is also in the recommended set for the current band (ideal case).</w:t>
            </w:r>
          </w:p>
        </w:tc>
      </w:tr>
      <w:tr>
        <w:tc>
          <w:tcPr>
            <w:tcW w:type="dxa" w:w="4680"/>
            <w:tcMar w:top="60" w:left="80" w:bottom="60" w:right="80"/>
          </w:tcPr>
          <w:p>
            <w:r>
              <w:rPr>
                <w:rFonts w:ascii="Calibri" w:hAnsi="Calibri"/>
                <w:sz w:val="20"/>
              </w:rPr>
              <w:t>Upgrade Option</w:t>
            </w:r>
          </w:p>
        </w:tc>
        <w:tc>
          <w:tcPr>
            <w:tcW w:type="dxa" w:w="4680"/>
            <w:tcMar w:top="60" w:left="80" w:bottom="60" w:right="80"/>
          </w:tcPr>
          <w:p>
            <w:r>
              <w:rPr>
                <w:rFonts w:ascii="Calibri" w:hAnsi="Calibri"/>
                <w:sz w:val="20"/>
              </w:rPr>
              <w:t>Renewal, softening market — higher cover shown alongside the current cover.</w:t>
            </w:r>
          </w:p>
        </w:tc>
      </w:tr>
      <w:tr>
        <w:tc>
          <w:tcPr>
            <w:tcW w:type="dxa" w:w="4680"/>
            <w:tcMar w:top="60" w:left="80" w:bottom="60" w:right="80"/>
            <w:shd w:fill="F1F5F9"/>
          </w:tcPr>
          <w:p>
            <w:r>
              <w:rPr>
                <w:rFonts w:ascii="Calibri" w:hAnsi="Calibri"/>
                <w:sz w:val="20"/>
              </w:rPr>
              <w:t>Alternative</w:t>
            </w:r>
          </w:p>
        </w:tc>
        <w:tc>
          <w:tcPr>
            <w:tcW w:type="dxa" w:w="4680"/>
            <w:tcMar w:top="60" w:left="80" w:bottom="60" w:right="80"/>
            <w:shd w:fill="F1F5F9"/>
          </w:tcPr>
          <w:p>
            <w:r>
              <w:rPr>
                <w:rFonts w:ascii="Calibri" w:hAnsi="Calibri"/>
                <w:sz w:val="20"/>
              </w:rPr>
              <w:t>Renewal, stable market — one cover above and one below the current cover, shown for comparison.</w:t>
            </w:r>
          </w:p>
        </w:tc>
      </w:tr>
      <w:tr>
        <w:tc>
          <w:tcPr>
            <w:tcW w:type="dxa" w:w="4680"/>
            <w:tcMar w:top="60" w:left="80" w:bottom="60" w:right="80"/>
          </w:tcPr>
          <w:p>
            <w:r>
              <w:rPr>
                <w:rFonts w:ascii="Calibri" w:hAnsi="Calibri"/>
                <w:sz w:val="20"/>
              </w:rPr>
              <w:t>Downgrade Option</w:t>
            </w:r>
          </w:p>
        </w:tc>
        <w:tc>
          <w:tcPr>
            <w:tcW w:type="dxa" w:w="4680"/>
            <w:tcMar w:top="60" w:left="80" w:bottom="60" w:right="80"/>
          </w:tcPr>
          <w:p>
            <w:r>
              <w:rPr>
                <w:rFonts w:ascii="Calibri" w:hAnsi="Calibri"/>
                <w:sz w:val="20"/>
              </w:rPr>
              <w:t>Renewal, hardening market — one cover below the current cover, offered as a price-sensitive alternative.</w:t>
            </w:r>
          </w:p>
        </w:tc>
      </w:tr>
      <w:tr>
        <w:tc>
          <w:tcPr>
            <w:tcW w:type="dxa" w:w="4680"/>
            <w:tcMar w:top="60" w:left="80" w:bottom="60" w:right="80"/>
            <w:shd w:fill="F1F5F9"/>
          </w:tcPr>
          <w:p>
            <w:r>
              <w:rPr>
                <w:rFonts w:ascii="Calibri" w:hAnsi="Calibri"/>
                <w:sz w:val="20"/>
              </w:rPr>
              <w:t>Reference — Not Recommended</w:t>
            </w:r>
          </w:p>
        </w:tc>
        <w:tc>
          <w:tcPr>
            <w:tcW w:type="dxa" w:w="4680"/>
            <w:tcMar w:top="60" w:left="80" w:bottom="60" w:right="80"/>
            <w:shd w:fill="F1F5F9"/>
          </w:tcPr>
          <w:p>
            <w:r>
              <w:rPr>
                <w:rFonts w:ascii="Calibri" w:hAnsi="Calibri"/>
                <w:sz w:val="20"/>
              </w:rPr>
              <w:t>Renewal, Premium-drop Protection triggered — the existing cover shown for reference only (dimmed, not auto-selected). The Recommended target appears alongside as a higher cover.</w:t>
            </w:r>
          </w:p>
        </w:tc>
      </w:tr>
      <w:tr>
        <w:tc>
          <w:tcPr>
            <w:tcW w:type="dxa" w:w="4680"/>
            <w:tcMar w:top="60" w:left="80" w:bottom="60" w:right="80"/>
          </w:tcPr>
          <w:p>
            <w:r>
              <w:rPr>
                <w:rFonts w:ascii="Calibri" w:hAnsi="Calibri"/>
                <w:sz w:val="20"/>
              </w:rPr>
              <w:t>Alternative + XX% retention</w:t>
            </w:r>
          </w:p>
        </w:tc>
        <w:tc>
          <w:tcPr>
            <w:tcW w:type="dxa" w:w="4680"/>
            <w:tcMar w:top="60" w:left="80" w:bottom="60" w:right="80"/>
          </w:tcPr>
          <w:p>
            <w:r>
              <w:rPr>
                <w:rFonts w:ascii="Calibri" w:hAnsi="Calibri"/>
                <w:sz w:val="20"/>
              </w:rPr>
              <w:t>Renewal, Premium-drop Protection triggered with a ladder gap (target &gt; existing+1). Each skipped cover between the existing and the Recommended target is surfaced as an Alternative, tagged with a 'XX% retention' badge showing how close that cover's premium sits to the 90% retention target at matched FP.</w:t>
            </w:r>
          </w:p>
        </w:tc>
      </w:tr>
    </w:tbl>
    <w:p/>
    <w:p>
      <w:pPr>
        <w:pStyle w:val="Heading3"/>
      </w:pPr>
      <w:r>
        <w:rPr>
          <w:rFonts w:ascii="Calibri" w:hAnsi="Calibri"/>
          <w:color w:val="0F172A"/>
        </w:rPr>
        <w:t>4.1.1 Cover Availability by Revenue Band</w:t>
      </w:r>
    </w:p>
    <w:p>
      <w:r>
        <w:t>The following table shows which cover limits are recommended (R), optional (O), request-only (Q), or not available (—) for each revenue band: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60" w:left="80" w:bottom="60" w:right="80"/>
            <w:shd w:fill="0F172A"/>
          </w:tcPr>
          <w:p>
            <w:pPr>
              <w:jc w:val="center"/>
            </w:pPr>
            <w:r>
              <w:rPr>
                <w:rFonts w:ascii="Calibri" w:hAnsi="Calibri"/>
                <w:b/>
                <w:color w:val="FFFFFF"/>
                <w:sz w:val="20"/>
              </w:rPr>
              <w:t>Revenue Band</w:t>
            </w:r>
          </w:p>
        </w:tc>
        <w:tc>
          <w:tcPr>
            <w:tcW w:type="dxa" w:w="1337"/>
            <w:tcMar w:top="60" w:left="80" w:bottom="60" w:right="80"/>
            <w:shd w:fill="0F172A"/>
          </w:tcPr>
          <w:p>
            <w:pPr>
              <w:jc w:val="center"/>
            </w:pPr>
            <w:r>
              <w:rPr>
                <w:rFonts w:ascii="Calibri" w:hAnsi="Calibri"/>
                <w:b/>
                <w:color w:val="FFFFFF"/>
                <w:sz w:val="20"/>
              </w:rPr>
              <w:t>R1M</w:t>
            </w:r>
          </w:p>
        </w:tc>
        <w:tc>
          <w:tcPr>
            <w:tcW w:type="dxa" w:w="1337"/>
            <w:tcMar w:top="60" w:left="80" w:bottom="60" w:right="80"/>
            <w:shd w:fill="0F172A"/>
          </w:tcPr>
          <w:p>
            <w:pPr>
              <w:jc w:val="center"/>
            </w:pPr>
            <w:r>
              <w:rPr>
                <w:rFonts w:ascii="Calibri" w:hAnsi="Calibri"/>
                <w:b/>
                <w:color w:val="FFFFFF"/>
                <w:sz w:val="20"/>
              </w:rPr>
              <w:t>R2.5M</w:t>
            </w:r>
          </w:p>
        </w:tc>
        <w:tc>
          <w:tcPr>
            <w:tcW w:type="dxa" w:w="1337"/>
            <w:tcMar w:top="60" w:left="80" w:bottom="60" w:right="80"/>
            <w:shd w:fill="0F172A"/>
          </w:tcPr>
          <w:p>
            <w:pPr>
              <w:jc w:val="center"/>
            </w:pPr>
            <w:r>
              <w:rPr>
                <w:rFonts w:ascii="Calibri" w:hAnsi="Calibri"/>
                <w:b/>
                <w:color w:val="FFFFFF"/>
                <w:sz w:val="20"/>
              </w:rPr>
              <w:t>R5M</w:t>
            </w:r>
          </w:p>
        </w:tc>
        <w:tc>
          <w:tcPr>
            <w:tcW w:type="dxa" w:w="1337"/>
            <w:tcMar w:top="60" w:left="80" w:bottom="60" w:right="80"/>
            <w:shd w:fill="0F172A"/>
          </w:tcPr>
          <w:p>
            <w:pPr>
              <w:jc w:val="center"/>
            </w:pPr>
            <w:r>
              <w:rPr>
                <w:rFonts w:ascii="Calibri" w:hAnsi="Calibri"/>
                <w:b/>
                <w:color w:val="FFFFFF"/>
                <w:sz w:val="20"/>
              </w:rPr>
              <w:t>R7.5M</w:t>
            </w:r>
          </w:p>
        </w:tc>
        <w:tc>
          <w:tcPr>
            <w:tcW w:type="dxa" w:w="1337"/>
            <w:tcMar w:top="60" w:left="80" w:bottom="60" w:right="80"/>
            <w:shd w:fill="0F172A"/>
          </w:tcPr>
          <w:p>
            <w:pPr>
              <w:jc w:val="center"/>
            </w:pPr>
            <w:r>
              <w:rPr>
                <w:rFonts w:ascii="Calibri" w:hAnsi="Calibri"/>
                <w:b/>
                <w:color w:val="FFFFFF"/>
                <w:sz w:val="20"/>
              </w:rPr>
              <w:t>R10M</w:t>
            </w:r>
          </w:p>
        </w:tc>
        <w:tc>
          <w:tcPr>
            <w:tcW w:type="dxa" w:w="1337"/>
            <w:tcMar w:top="60" w:left="80" w:bottom="60" w:right="80"/>
            <w:shd w:fill="0F172A"/>
          </w:tcPr>
          <w:p>
            <w:pPr>
              <w:jc w:val="center"/>
            </w:pPr>
            <w:r>
              <w:rPr>
                <w:rFonts w:ascii="Calibri" w:hAnsi="Calibri"/>
                <w:b/>
                <w:color w:val="FFFFFF"/>
                <w:sz w:val="20"/>
              </w:rPr>
              <w:t>R15M</w:t>
            </w:r>
          </w:p>
        </w:tc>
      </w:tr>
      <w:tr>
        <w:tc>
          <w:tcPr>
            <w:tcW w:type="dxa" w:w="1337"/>
            <w:tcMar w:top="60" w:left="80" w:bottom="60" w:right="80"/>
          </w:tcPr>
          <w:p>
            <w:r>
              <w:rPr>
                <w:rFonts w:ascii="Calibri" w:hAnsi="Calibri"/>
                <w:sz w:val="20"/>
              </w:rPr>
              <w:t>R0–R10M</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R10M–R25M</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R25M–R50M</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R50M–R75M</w:t>
            </w:r>
          </w:p>
        </w:tc>
        <w:tc>
          <w:tcPr>
            <w:tcW w:type="dxa" w:w="1337"/>
            <w:tcMar w:top="60" w:left="80" w:bottom="60" w:right="80"/>
            <w:shd w:fill="F1F5F9"/>
          </w:tcPr>
          <w:p>
            <w:r>
              <w:rPr>
                <w:rFonts w:ascii="Calibri" w:hAnsi="Calibri"/>
                <w:sz w:val="20"/>
              </w:rPr>
              <w:t>Q</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R75M–R100M</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O</w:t>
            </w:r>
          </w:p>
        </w:tc>
      </w:tr>
      <w:tr>
        <w:tc>
          <w:tcPr>
            <w:tcW w:type="dxa" w:w="1337"/>
            <w:tcMar w:top="60" w:left="80" w:bottom="60" w:right="80"/>
            <w:shd w:fill="F1F5F9"/>
          </w:tcPr>
          <w:p>
            <w:r>
              <w:rPr>
                <w:rFonts w:ascii="Calibri" w:hAnsi="Calibri"/>
                <w:sz w:val="20"/>
              </w:rPr>
              <w:t>R100M–R150M</w:t>
            </w:r>
          </w:p>
        </w:tc>
        <w:tc>
          <w:tcPr>
            <w:tcW w:type="dxa" w:w="1337"/>
            <w:tcMar w:top="60" w:left="80" w:bottom="60" w:right="80"/>
            <w:shd w:fill="F1F5F9"/>
          </w:tcPr>
          <w:p>
            <w:r>
              <w:rPr>
                <w:rFonts w:ascii="Calibri" w:hAnsi="Calibri"/>
                <w:sz w:val="20"/>
              </w:rPr>
              <w:t>—</w:t>
            </w:r>
          </w:p>
        </w:tc>
        <w:tc>
          <w:tcPr>
            <w:tcW w:type="dxa" w:w="1337"/>
            <w:tcMar w:top="60" w:left="80" w:bottom="60" w:right="80"/>
            <w:shd w:fill="F1F5F9"/>
          </w:tcPr>
          <w:p>
            <w:r>
              <w:rPr>
                <w:rFonts w:ascii="Calibri" w:hAnsi="Calibri"/>
                <w:sz w:val="20"/>
              </w:rPr>
              <w:t>—</w:t>
            </w:r>
          </w:p>
        </w:tc>
        <w:tc>
          <w:tcPr>
            <w:tcW w:type="dxa" w:w="1337"/>
            <w:tcMar w:top="60" w:left="80" w:bottom="60" w:right="80"/>
            <w:shd w:fill="F1F5F9"/>
          </w:tcPr>
          <w:p>
            <w:r>
              <w:rPr>
                <w:rFonts w:ascii="Calibri" w:hAnsi="Calibri"/>
                <w:sz w:val="20"/>
              </w:rPr>
              <w:t>O</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R</w:t>
            </w:r>
          </w:p>
        </w:tc>
        <w:tc>
          <w:tcPr>
            <w:tcW w:type="dxa" w:w="1337"/>
            <w:tcMar w:top="60" w:left="80" w:bottom="60" w:right="80"/>
            <w:shd w:fill="F1F5F9"/>
          </w:tcPr>
          <w:p>
            <w:r>
              <w:rPr>
                <w:rFonts w:ascii="Calibri" w:hAnsi="Calibri"/>
                <w:sz w:val="20"/>
              </w:rPr>
              <w:t>O</w:t>
            </w:r>
          </w:p>
        </w:tc>
      </w:tr>
      <w:tr>
        <w:tc>
          <w:tcPr>
            <w:tcW w:type="dxa" w:w="1337"/>
            <w:tcMar w:top="60" w:left="80" w:bottom="60" w:right="80"/>
          </w:tcPr>
          <w:p>
            <w:r>
              <w:rPr>
                <w:rFonts w:ascii="Calibri" w:hAnsi="Calibri"/>
                <w:sz w:val="20"/>
              </w:rPr>
              <w:t>R150M–R200M</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O</w:t>
            </w:r>
          </w:p>
        </w:tc>
        <w:tc>
          <w:tcPr>
            <w:tcW w:type="dxa" w:w="1337"/>
            <w:tcMar w:top="60" w:left="80" w:bottom="60" w:right="80"/>
          </w:tcPr>
          <w:p>
            <w:r>
              <w:rPr>
                <w:rFonts w:ascii="Calibri" w:hAnsi="Calibri"/>
                <w:sz w:val="20"/>
              </w:rPr>
              <w:t>R</w:t>
            </w:r>
          </w:p>
        </w:tc>
        <w:tc>
          <w:tcPr>
            <w:tcW w:type="dxa" w:w="1337"/>
            <w:tcMar w:top="60" w:left="80" w:bottom="60" w:right="80"/>
          </w:tcPr>
          <w:p>
            <w:r>
              <w:rPr>
                <w:rFonts w:ascii="Calibri" w:hAnsi="Calibri"/>
                <w:sz w:val="20"/>
              </w:rPr>
              <w:t>R</w:t>
            </w:r>
          </w:p>
        </w:tc>
      </w:tr>
    </w:tbl>
    <w:p/>
    <w:p>
      <w:pPr>
        <w:pStyle w:val="Heading2"/>
      </w:pPr>
      <w:r>
        <w:rPr>
          <w:rFonts w:ascii="Calibri" w:hAnsi="Calibri"/>
          <w:color w:val="0F172A"/>
          <w:sz w:val="26"/>
        </w:rPr>
        <w:t>4.2 Selecting Covers</w:t>
      </w:r>
    </w:p>
    <w:p>
      <w:r>
        <w:t>Click on a recommended card to select it. The card will highlight and the premium display updates. Click again to deselect.</w:t>
      </w:r>
    </w:p>
    <w:p>
      <w:r>
        <w:t>To select a non-recommended limit, click 'Select Custom Cover Limit' to reveal all available options.</w:t>
      </w:r>
    </w:p>
    <w:p>
      <w:pPr>
        <w:pStyle w:val="Heading2"/>
      </w:pPr>
      <w:r>
        <w:rPr>
          <w:rFonts w:ascii="Calibri" w:hAnsi="Calibri"/>
          <w:color w:val="0F172A"/>
          <w:sz w:val="26"/>
        </w:rPr>
        <w:t>4.3 Multi-Cover Quoting</w:t>
      </w:r>
    </w:p>
    <w:p>
      <w:r>
        <w:t>You can select multiple cover limits to present the client with options. Select 2–4 covers by clicking multiple cards. Each selected cover becomes a separate quote option.</w:t>
      </w:r>
    </w:p>
    <w:p>
      <w:pPr>
        <w:pStyle w:val="ListBullet"/>
      </w:pPr>
      <w:r>
        <w:t>Each option gets its own Funds Protect selection, discounts, and comparison.</w:t>
      </w:r>
    </w:p>
    <w:p>
      <w:pPr>
        <w:pStyle w:val="ListBullet"/>
      </w:pPr>
      <w:r>
        <w:t>You can add the same cover limit twice with different FP tiers using the '+' button on a card.</w:t>
      </w:r>
    </w:p>
    <w:p>
      <w:pPr>
        <w:pStyle w:val="ListBullet"/>
      </w:pPr>
      <w:r>
        <w:t>Maximum of 4 options per quote.</w:t>
      </w:r>
    </w:p>
    <w:p>
      <w:pPr>
        <w:pStyle w:val="ListBullet"/>
      </w:pPr>
      <w:r>
        <w:t>Each option receives a unique quote reference number.</w:t>
      </w:r>
    </w:p>
    <w:p>
      <w:pPr>
        <w:pStyle w:val="Heading2"/>
      </w:pPr>
      <w:r>
        <w:rPr>
          <w:rFonts w:ascii="Calibri" w:hAnsi="Calibri"/>
          <w:color w:val="0F172A"/>
          <w:sz w:val="26"/>
        </w:rPr>
        <w:t>4.4 Micro SME Pricing</w:t>
      </w:r>
    </w:p>
    <w:p>
      <w:r>
        <w:t>Micro SME rates apply when both conditions are met:</w:t>
      </w:r>
    </w:p>
    <w:p>
      <w:pPr>
        <w:pStyle w:val="ListBullet"/>
      </w:pPr>
      <w:r>
        <w:t>Actual Turnover is below R50,000,000 (revenue bands 1–3)</w:t>
      </w:r>
    </w:p>
    <w:p>
      <w:pPr>
        <w:pStyle w:val="ListBullet"/>
      </w:pPr>
      <w:r>
        <w:t>Cover limit is R5M or below (R1M, R2.5M, or R5M)</w:t>
      </w:r>
    </w:p>
    <w:p>
      <w:r>
        <w:t>When Micro SME applies, a badge is shown: 'Micro SME Rates Applied'. These are flat-rate premiums that are lower than the standard formula-based rates. Industry modifiers for Software &amp; Technology and Finance still apply to Micro SME base premiums.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60" w:left="80" w:bottom="60" w:right="80"/>
            <w:shd w:fill="0F172A"/>
          </w:tcPr>
          <w:p>
            <w:pPr>
              <w:jc w:val="center"/>
            </w:pPr>
            <w:r>
              <w:rPr>
                <w:rFonts w:ascii="Calibri" w:hAnsi="Calibri"/>
                <w:b/>
                <w:color w:val="FFFFFF"/>
                <w:sz w:val="20"/>
              </w:rPr>
              <w:t>Cover Limit</w:t>
            </w:r>
          </w:p>
        </w:tc>
        <w:tc>
          <w:tcPr>
            <w:tcW w:type="dxa" w:w="2340"/>
            <w:tcMar w:top="60" w:left="80" w:bottom="60" w:right="80"/>
            <w:shd w:fill="0F172A"/>
          </w:tcPr>
          <w:p>
            <w:pPr>
              <w:jc w:val="center"/>
            </w:pPr>
            <w:r>
              <w:rPr>
                <w:rFonts w:ascii="Calibri" w:hAnsi="Calibri"/>
                <w:b/>
                <w:color w:val="FFFFFF"/>
                <w:sz w:val="20"/>
              </w:rPr>
              <w:t>Base Premium</w:t>
            </w:r>
          </w:p>
        </w:tc>
        <w:tc>
          <w:tcPr>
            <w:tcW w:type="dxa" w:w="2340"/>
            <w:tcMar w:top="60" w:left="80" w:bottom="60" w:right="80"/>
            <w:shd w:fill="0F172A"/>
          </w:tcPr>
          <w:p>
            <w:pPr>
              <w:jc w:val="center"/>
            </w:pPr>
            <w:r>
              <w:rPr>
                <w:rFonts w:ascii="Calibri" w:hAnsi="Calibri"/>
                <w:b/>
                <w:color w:val="FFFFFF"/>
                <w:sz w:val="20"/>
              </w:rPr>
              <w:t>Base FP Cost</w:t>
            </w:r>
          </w:p>
        </w:tc>
        <w:tc>
          <w:tcPr>
            <w:tcW w:type="dxa" w:w="2340"/>
            <w:tcMar w:top="60" w:left="80" w:bottom="60" w:right="80"/>
            <w:shd w:fill="0F172A"/>
          </w:tcPr>
          <w:p>
            <w:pPr>
              <w:jc w:val="center"/>
            </w:pPr>
            <w:r>
              <w:rPr>
                <w:rFonts w:ascii="Calibri" w:hAnsi="Calibri"/>
                <w:b/>
                <w:color w:val="FFFFFF"/>
                <w:sz w:val="20"/>
              </w:rPr>
              <w:t>Total (Base + FP)</w:t>
            </w:r>
          </w:p>
        </w:tc>
      </w:tr>
      <w:tr>
        <w:tc>
          <w:tcPr>
            <w:tcW w:type="dxa" w:w="2340"/>
            <w:tcMar w:top="60" w:left="80" w:bottom="60" w:right="80"/>
          </w:tcPr>
          <w:p>
            <w:r>
              <w:rPr>
                <w:rFonts w:ascii="Calibri" w:hAnsi="Calibri"/>
                <w:sz w:val="20"/>
              </w:rPr>
              <w:t>R1M</w:t>
            </w:r>
          </w:p>
        </w:tc>
        <w:tc>
          <w:tcPr>
            <w:tcW w:type="dxa" w:w="2340"/>
            <w:tcMar w:top="60" w:left="80" w:bottom="60" w:right="80"/>
          </w:tcPr>
          <w:p>
            <w:r>
              <w:rPr>
                <w:rFonts w:ascii="Calibri" w:hAnsi="Calibri"/>
                <w:sz w:val="20"/>
              </w:rPr>
              <w:t>R4,164</w:t>
            </w:r>
          </w:p>
        </w:tc>
        <w:tc>
          <w:tcPr>
            <w:tcW w:type="dxa" w:w="2340"/>
            <w:tcMar w:top="60" w:left="80" w:bottom="60" w:right="80"/>
          </w:tcPr>
          <w:p>
            <w:r>
              <w:rPr>
                <w:rFonts w:ascii="Calibri" w:hAnsi="Calibri"/>
                <w:sz w:val="20"/>
              </w:rPr>
              <w:t>R2,100</w:t>
            </w:r>
          </w:p>
        </w:tc>
        <w:tc>
          <w:tcPr>
            <w:tcW w:type="dxa" w:w="2340"/>
            <w:tcMar w:top="60" w:left="80" w:bottom="60" w:right="80"/>
          </w:tcPr>
          <w:p>
            <w:r>
              <w:rPr>
                <w:rFonts w:ascii="Calibri" w:hAnsi="Calibri"/>
                <w:sz w:val="20"/>
              </w:rPr>
              <w:t>R6,264</w:t>
            </w:r>
          </w:p>
        </w:tc>
      </w:tr>
      <w:tr>
        <w:tc>
          <w:tcPr>
            <w:tcW w:type="dxa" w:w="2340"/>
            <w:tcMar w:top="60" w:left="80" w:bottom="60" w:right="80"/>
            <w:shd w:fill="F1F5F9"/>
          </w:tcPr>
          <w:p>
            <w:r>
              <w:rPr>
                <w:rFonts w:ascii="Calibri" w:hAnsi="Calibri"/>
                <w:sz w:val="20"/>
              </w:rPr>
              <w:t>R2.5M</w:t>
            </w:r>
          </w:p>
        </w:tc>
        <w:tc>
          <w:tcPr>
            <w:tcW w:type="dxa" w:w="2340"/>
            <w:tcMar w:top="60" w:left="80" w:bottom="60" w:right="80"/>
            <w:shd w:fill="F1F5F9"/>
          </w:tcPr>
          <w:p>
            <w:r>
              <w:rPr>
                <w:rFonts w:ascii="Calibri" w:hAnsi="Calibri"/>
                <w:sz w:val="20"/>
              </w:rPr>
              <w:t>R5,904</w:t>
            </w:r>
          </w:p>
        </w:tc>
        <w:tc>
          <w:tcPr>
            <w:tcW w:type="dxa" w:w="2340"/>
            <w:tcMar w:top="60" w:left="80" w:bottom="60" w:right="80"/>
            <w:shd w:fill="F1F5F9"/>
          </w:tcPr>
          <w:p>
            <w:r>
              <w:rPr>
                <w:rFonts w:ascii="Calibri" w:hAnsi="Calibri"/>
                <w:sz w:val="20"/>
              </w:rPr>
              <w:t>R2,616</w:t>
            </w:r>
          </w:p>
        </w:tc>
        <w:tc>
          <w:tcPr>
            <w:tcW w:type="dxa" w:w="2340"/>
            <w:tcMar w:top="60" w:left="80" w:bottom="60" w:right="80"/>
            <w:shd w:fill="F1F5F9"/>
          </w:tcPr>
          <w:p>
            <w:r>
              <w:rPr>
                <w:rFonts w:ascii="Calibri" w:hAnsi="Calibri"/>
                <w:sz w:val="20"/>
              </w:rPr>
              <w:t>R8,520</w:t>
            </w:r>
          </w:p>
        </w:tc>
      </w:tr>
      <w:tr>
        <w:tc>
          <w:tcPr>
            <w:tcW w:type="dxa" w:w="2340"/>
            <w:tcMar w:top="60" w:left="80" w:bottom="60" w:right="80"/>
          </w:tcPr>
          <w:p>
            <w:r>
              <w:rPr>
                <w:rFonts w:ascii="Calibri" w:hAnsi="Calibri"/>
                <w:sz w:val="20"/>
              </w:rPr>
              <w:t>R5M</w:t>
            </w:r>
          </w:p>
        </w:tc>
        <w:tc>
          <w:tcPr>
            <w:tcW w:type="dxa" w:w="2340"/>
            <w:tcMar w:top="60" w:left="80" w:bottom="60" w:right="80"/>
          </w:tcPr>
          <w:p>
            <w:r>
              <w:rPr>
                <w:rFonts w:ascii="Calibri" w:hAnsi="Calibri"/>
                <w:sz w:val="20"/>
              </w:rPr>
              <w:t>R7,908</w:t>
            </w:r>
          </w:p>
        </w:tc>
        <w:tc>
          <w:tcPr>
            <w:tcW w:type="dxa" w:w="2340"/>
            <w:tcMar w:top="60" w:left="80" w:bottom="60" w:right="80"/>
          </w:tcPr>
          <w:p>
            <w:r>
              <w:rPr>
                <w:rFonts w:ascii="Calibri" w:hAnsi="Calibri"/>
                <w:sz w:val="20"/>
              </w:rPr>
              <w:t>R3,144</w:t>
            </w:r>
          </w:p>
        </w:tc>
        <w:tc>
          <w:tcPr>
            <w:tcW w:type="dxa" w:w="2340"/>
            <w:tcMar w:top="60" w:left="80" w:bottom="60" w:right="80"/>
          </w:tcPr>
          <w:p>
            <w:r>
              <w:rPr>
                <w:rFonts w:ascii="Calibri" w:hAnsi="Calibri"/>
                <w:sz w:val="20"/>
              </w:rPr>
              <w:t>R11,052</w:t>
            </w:r>
          </w:p>
        </w:tc>
      </w:tr>
    </w:tbl>
    <w:p/>
    <w:p>
      <w:pPr>
        <w:pStyle w:val="Heading2"/>
      </w:pPr>
      <w:r>
        <w:rPr>
          <w:rFonts w:ascii="Calibri" w:hAnsi="Calibri"/>
          <w:color w:val="0F172A"/>
          <w:sz w:val="26"/>
        </w:rPr>
        <w:t>4.5 Funds Protect (FP) Cover</w:t>
      </w:r>
    </w:p>
    <w:p>
      <w:r>
        <w:t>Funds Protect is an add-on that covers the client against financial losses from cyber-enabled fraud (e.g., business email compromise, social engineering). Every quote includes a minimum FP level based on the cover limit.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Cover Limit</w:t>
            </w:r>
          </w:p>
        </w:tc>
        <w:tc>
          <w:tcPr>
            <w:tcW w:type="dxa" w:w="3120"/>
            <w:tcMar w:top="60" w:left="80" w:bottom="60" w:right="80"/>
            <w:shd w:fill="0F172A"/>
          </w:tcPr>
          <w:p>
            <w:pPr>
              <w:jc w:val="center"/>
            </w:pPr>
            <w:r>
              <w:rPr>
                <w:rFonts w:ascii="Calibri" w:hAnsi="Calibri"/>
                <w:b/>
                <w:color w:val="FFFFFF"/>
                <w:sz w:val="20"/>
              </w:rPr>
              <w:t>Minimum FP</w:t>
            </w:r>
          </w:p>
        </w:tc>
        <w:tc>
          <w:tcPr>
            <w:tcW w:type="dxa" w:w="3120"/>
            <w:tcMar w:top="60" w:left="80" w:bottom="60" w:right="80"/>
            <w:shd w:fill="0F172A"/>
          </w:tcPr>
          <w:p>
            <w:pPr>
              <w:jc w:val="center"/>
            </w:pPr>
            <w:r>
              <w:rPr>
                <w:rFonts w:ascii="Calibri" w:hAnsi="Calibri"/>
                <w:b/>
                <w:color w:val="FFFFFF"/>
                <w:sz w:val="20"/>
              </w:rPr>
              <w:t>Minimum FP Cost/yr</w:t>
            </w:r>
          </w:p>
        </w:tc>
      </w:tr>
      <w:tr>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R150,000</w:t>
            </w:r>
          </w:p>
        </w:tc>
        <w:tc>
          <w:tcPr>
            <w:tcW w:type="dxa" w:w="3120"/>
            <w:tcMar w:top="60" w:left="80" w:bottom="60" w:right="80"/>
          </w:tcPr>
          <w:p>
            <w:r>
              <w:rPr>
                <w:rFonts w:ascii="Calibri" w:hAnsi="Calibri"/>
                <w:sz w:val="20"/>
              </w:rPr>
              <w:t>R2,100</w:t>
            </w:r>
          </w:p>
        </w:tc>
      </w:tr>
      <w:tr>
        <w:tc>
          <w:tcPr>
            <w:tcW w:type="dxa" w:w="3120"/>
            <w:tcMar w:top="60" w:left="80" w:bottom="60" w:right="80"/>
            <w:shd w:fill="F1F5F9"/>
          </w:tcPr>
          <w:p>
            <w:r>
              <w:rPr>
                <w:rFonts w:ascii="Calibri" w:hAnsi="Calibri"/>
                <w:sz w:val="20"/>
              </w:rPr>
              <w:t>R2.5M</w:t>
            </w:r>
          </w:p>
        </w:tc>
        <w:tc>
          <w:tcPr>
            <w:tcW w:type="dxa" w:w="3120"/>
            <w:tcMar w:top="60" w:left="80" w:bottom="60" w:right="80"/>
            <w:shd w:fill="F1F5F9"/>
          </w:tcPr>
          <w:p>
            <w:r>
              <w:rPr>
                <w:rFonts w:ascii="Calibri" w:hAnsi="Calibri"/>
                <w:sz w:val="20"/>
              </w:rPr>
              <w:t>R200,000</w:t>
            </w:r>
          </w:p>
        </w:tc>
        <w:tc>
          <w:tcPr>
            <w:tcW w:type="dxa" w:w="3120"/>
            <w:tcMar w:top="60" w:left="80" w:bottom="60" w:right="80"/>
            <w:shd w:fill="F1F5F9"/>
          </w:tcPr>
          <w:p>
            <w:r>
              <w:rPr>
                <w:rFonts w:ascii="Calibri" w:hAnsi="Calibri"/>
                <w:sz w:val="20"/>
              </w:rPr>
              <w:t>R2,616</w:t>
            </w:r>
          </w:p>
        </w:tc>
      </w:tr>
      <w:tr>
        <w:tc>
          <w:tcPr>
            <w:tcW w:type="dxa" w:w="3120"/>
            <w:tcMar w:top="60" w:left="80" w:bottom="60" w:right="80"/>
          </w:tcPr>
          <w:p>
            <w:r>
              <w:rPr>
                <w:rFonts w:ascii="Calibri" w:hAnsi="Calibri"/>
                <w:sz w:val="20"/>
              </w:rPr>
              <w:t>R5M</w:t>
            </w:r>
          </w:p>
        </w:tc>
        <w:tc>
          <w:tcPr>
            <w:tcW w:type="dxa" w:w="3120"/>
            <w:tcMar w:top="60" w:left="80" w:bottom="60" w:right="80"/>
          </w:tcPr>
          <w:p>
            <w:r>
              <w:rPr>
                <w:rFonts w:ascii="Calibri" w:hAnsi="Calibri"/>
                <w:sz w:val="20"/>
              </w:rPr>
              <w:t>R250,000</w:t>
            </w:r>
          </w:p>
        </w:tc>
        <w:tc>
          <w:tcPr>
            <w:tcW w:type="dxa" w:w="3120"/>
            <w:tcMar w:top="60" w:left="80" w:bottom="60" w:right="80"/>
          </w:tcPr>
          <w:p>
            <w:r>
              <w:rPr>
                <w:rFonts w:ascii="Calibri" w:hAnsi="Calibri"/>
                <w:sz w:val="20"/>
              </w:rPr>
              <w:t>R3,144</w:t>
            </w:r>
          </w:p>
        </w:tc>
      </w:tr>
      <w:tr>
        <w:tc>
          <w:tcPr>
            <w:tcW w:type="dxa" w:w="3120"/>
            <w:tcMar w:top="60" w:left="80" w:bottom="60" w:right="80"/>
            <w:shd w:fill="F1F5F9"/>
          </w:tcPr>
          <w:p>
            <w:r>
              <w:rPr>
                <w:rFonts w:ascii="Calibri" w:hAnsi="Calibri"/>
                <w:sz w:val="20"/>
              </w:rPr>
              <w:t>R7.5M</w:t>
            </w:r>
          </w:p>
        </w:tc>
        <w:tc>
          <w:tcPr>
            <w:tcW w:type="dxa" w:w="3120"/>
            <w:tcMar w:top="60" w:left="80" w:bottom="60" w:right="80"/>
            <w:shd w:fill="F1F5F9"/>
          </w:tcPr>
          <w:p>
            <w:r>
              <w:rPr>
                <w:rFonts w:ascii="Calibri" w:hAnsi="Calibri"/>
                <w:sz w:val="20"/>
              </w:rPr>
              <w:t>R500,000</w:t>
            </w:r>
          </w:p>
        </w:tc>
        <w:tc>
          <w:tcPr>
            <w:tcW w:type="dxa" w:w="3120"/>
            <w:tcMar w:top="60" w:left="80" w:bottom="60" w:right="80"/>
            <w:shd w:fill="F1F5F9"/>
          </w:tcPr>
          <w:p>
            <w:r>
              <w:rPr>
                <w:rFonts w:ascii="Calibri" w:hAnsi="Calibri"/>
                <w:sz w:val="20"/>
              </w:rPr>
              <w:t>R4,800</w:t>
            </w:r>
          </w:p>
        </w:tc>
      </w:tr>
      <w:tr>
        <w:tc>
          <w:tcPr>
            <w:tcW w:type="dxa" w:w="3120"/>
            <w:tcMar w:top="60" w:left="80" w:bottom="60" w:right="80"/>
          </w:tcPr>
          <w:p>
            <w:r>
              <w:rPr>
                <w:rFonts w:ascii="Calibri" w:hAnsi="Calibri"/>
                <w:sz w:val="20"/>
              </w:rPr>
              <w:t>R10M</w:t>
            </w:r>
          </w:p>
        </w:tc>
        <w:tc>
          <w:tcPr>
            <w:tcW w:type="dxa" w:w="3120"/>
            <w:tcMar w:top="60" w:left="80" w:bottom="60" w:right="80"/>
          </w:tcPr>
          <w:p>
            <w:r>
              <w:rPr>
                <w:rFonts w:ascii="Calibri" w:hAnsi="Calibri"/>
                <w:sz w:val="20"/>
              </w:rPr>
              <w:t>R1,000,000</w:t>
            </w:r>
          </w:p>
        </w:tc>
        <w:tc>
          <w:tcPr>
            <w:tcW w:type="dxa" w:w="3120"/>
            <w:tcMar w:top="60" w:left="80" w:bottom="60" w:right="80"/>
          </w:tcPr>
          <w:p>
            <w:r>
              <w:rPr>
                <w:rFonts w:ascii="Calibri" w:hAnsi="Calibri"/>
                <w:sz w:val="20"/>
              </w:rPr>
              <w:t>R9,108</w:t>
            </w:r>
          </w:p>
        </w:tc>
      </w:tr>
      <w:tr>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R1,500,000</w:t>
            </w:r>
          </w:p>
        </w:tc>
        <w:tc>
          <w:tcPr>
            <w:tcW w:type="dxa" w:w="3120"/>
            <w:tcMar w:top="60" w:left="80" w:bottom="60" w:right="80"/>
            <w:shd w:fill="F1F5F9"/>
          </w:tcPr>
          <w:p>
            <w:r>
              <w:rPr>
                <w:rFonts w:ascii="Calibri" w:hAnsi="Calibri"/>
                <w:sz w:val="20"/>
              </w:rPr>
              <w:t>R15,756</w:t>
            </w:r>
          </w:p>
        </w:tc>
      </w:tr>
    </w:tbl>
    <w:p/>
    <w:p>
      <w:r>
        <w:t>You can upgrade the FP level by selecting a higher tier from the FP selector cards. Available upgrade tiers range up to R5M FP (R71,160/yr).</w:t>
      </w:r>
    </w:p>
    <w:p>
      <w:pPr>
        <w:spacing w:before="200" w:after="200"/>
        <w:ind w:left="567" w:right="283"/>
      </w:pPr>
      <w:r>
        <w:rPr>
          <w:b/>
          <w:color w:val="F97316"/>
          <w:sz w:val="20"/>
        </w:rPr>
        <w:t xml:space="preserve">IMPORTANT: </w:t>
      </w:r>
      <w:r>
        <w:rPr>
          <w:color w:val="64748B"/>
          <w:sz w:val="20"/>
        </w:rPr>
        <w:t>When FP exceeds R250,000, questions Q7 and Q8 become active in Step 1. If you go back and change the FP level, the underwriting questions adjust accordingly.</w:t>
      </w:r>
    </w:p>
    <w:p>
      <w:pPr>
        <w:pStyle w:val="Heading2"/>
      </w:pPr>
      <w:r>
        <w:rPr>
          <w:rFonts w:ascii="Calibri" w:hAnsi="Calibri"/>
          <w:color w:val="0F172A"/>
          <w:sz w:val="26"/>
        </w:rPr>
        <w:t>4.6 Excess (Deductible)</w:t>
      </w:r>
    </w:p>
    <w:p>
      <w:r>
        <w:t>Each cover limit has a standard excess amount:</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Cover Limit</w:t>
            </w:r>
          </w:p>
        </w:tc>
        <w:tc>
          <w:tcPr>
            <w:tcW w:type="dxa" w:w="4680"/>
            <w:tcMar w:top="60" w:left="80" w:bottom="60" w:right="80"/>
            <w:shd w:fill="0F172A"/>
          </w:tcPr>
          <w:p>
            <w:pPr>
              <w:jc w:val="center"/>
            </w:pPr>
            <w:r>
              <w:rPr>
                <w:rFonts w:ascii="Calibri" w:hAnsi="Calibri"/>
                <w:b/>
                <w:color w:val="FFFFFF"/>
                <w:sz w:val="20"/>
              </w:rPr>
              <w:t>Excess</w:t>
            </w:r>
          </w:p>
        </w:tc>
      </w:tr>
      <w:tr>
        <w:tc>
          <w:tcPr>
            <w:tcW w:type="dxa" w:w="4680"/>
            <w:tcMar w:top="60" w:left="80" w:bottom="60" w:right="80"/>
          </w:tcPr>
          <w:p>
            <w:r>
              <w:rPr>
                <w:rFonts w:ascii="Calibri" w:hAnsi="Calibri"/>
                <w:sz w:val="20"/>
              </w:rPr>
              <w:t>R1M</w:t>
            </w:r>
          </w:p>
        </w:tc>
        <w:tc>
          <w:tcPr>
            <w:tcW w:type="dxa" w:w="4680"/>
            <w:tcMar w:top="60" w:left="80" w:bottom="60" w:right="80"/>
          </w:tcPr>
          <w:p>
            <w:r>
              <w:rPr>
                <w:rFonts w:ascii="Calibri" w:hAnsi="Calibri"/>
                <w:sz w:val="20"/>
              </w:rPr>
              <w:t>R10,000</w:t>
            </w:r>
          </w:p>
        </w:tc>
      </w:tr>
      <w:tr>
        <w:tc>
          <w:tcPr>
            <w:tcW w:type="dxa" w:w="4680"/>
            <w:tcMar w:top="60" w:left="80" w:bottom="60" w:right="80"/>
            <w:shd w:fill="F1F5F9"/>
          </w:tcPr>
          <w:p>
            <w:r>
              <w:rPr>
                <w:rFonts w:ascii="Calibri" w:hAnsi="Calibri"/>
                <w:sz w:val="20"/>
              </w:rPr>
              <w:t>R2.5M</w:t>
            </w:r>
          </w:p>
        </w:tc>
        <w:tc>
          <w:tcPr>
            <w:tcW w:type="dxa" w:w="4680"/>
            <w:tcMar w:top="60" w:left="80" w:bottom="60" w:right="80"/>
            <w:shd w:fill="F1F5F9"/>
          </w:tcPr>
          <w:p>
            <w:r>
              <w:rPr>
                <w:rFonts w:ascii="Calibri" w:hAnsi="Calibri"/>
                <w:sz w:val="20"/>
              </w:rPr>
              <w:t>R10,000</w:t>
            </w:r>
          </w:p>
        </w:tc>
      </w:tr>
      <w:tr>
        <w:tc>
          <w:tcPr>
            <w:tcW w:type="dxa" w:w="4680"/>
            <w:tcMar w:top="60" w:left="80" w:bottom="60" w:right="80"/>
          </w:tcPr>
          <w:p>
            <w:r>
              <w:rPr>
                <w:rFonts w:ascii="Calibri" w:hAnsi="Calibri"/>
                <w:sz w:val="20"/>
              </w:rPr>
              <w:t>R5M</w:t>
            </w:r>
          </w:p>
        </w:tc>
        <w:tc>
          <w:tcPr>
            <w:tcW w:type="dxa" w:w="4680"/>
            <w:tcMar w:top="60" w:left="80" w:bottom="60" w:right="80"/>
          </w:tcPr>
          <w:p>
            <w:r>
              <w:rPr>
                <w:rFonts w:ascii="Calibri" w:hAnsi="Calibri"/>
                <w:sz w:val="20"/>
              </w:rPr>
              <w:t>R10,000</w:t>
            </w:r>
          </w:p>
        </w:tc>
      </w:tr>
      <w:tr>
        <w:tc>
          <w:tcPr>
            <w:tcW w:type="dxa" w:w="4680"/>
            <w:tcMar w:top="60" w:left="80" w:bottom="60" w:right="80"/>
            <w:shd w:fill="F1F5F9"/>
          </w:tcPr>
          <w:p>
            <w:r>
              <w:rPr>
                <w:rFonts w:ascii="Calibri" w:hAnsi="Calibri"/>
                <w:sz w:val="20"/>
              </w:rPr>
              <w:t>R7.5M</w:t>
            </w:r>
          </w:p>
        </w:tc>
        <w:tc>
          <w:tcPr>
            <w:tcW w:type="dxa" w:w="4680"/>
            <w:tcMar w:top="60" w:left="80" w:bottom="60" w:right="80"/>
            <w:shd w:fill="F1F5F9"/>
          </w:tcPr>
          <w:p>
            <w:r>
              <w:rPr>
                <w:rFonts w:ascii="Calibri" w:hAnsi="Calibri"/>
                <w:sz w:val="20"/>
              </w:rPr>
              <w:t>R15,000</w:t>
            </w:r>
          </w:p>
        </w:tc>
      </w:tr>
      <w:tr>
        <w:tc>
          <w:tcPr>
            <w:tcW w:type="dxa" w:w="4680"/>
            <w:tcMar w:top="60" w:left="80" w:bottom="60" w:right="80"/>
          </w:tcPr>
          <w:p>
            <w:r>
              <w:rPr>
                <w:rFonts w:ascii="Calibri" w:hAnsi="Calibri"/>
                <w:sz w:val="20"/>
              </w:rPr>
              <w:t>R10M</w:t>
            </w:r>
          </w:p>
        </w:tc>
        <w:tc>
          <w:tcPr>
            <w:tcW w:type="dxa" w:w="4680"/>
            <w:tcMar w:top="60" w:left="80" w:bottom="60" w:right="80"/>
          </w:tcPr>
          <w:p>
            <w:r>
              <w:rPr>
                <w:rFonts w:ascii="Calibri" w:hAnsi="Calibri"/>
                <w:sz w:val="20"/>
              </w:rPr>
              <w:t>R20,000</w:t>
            </w:r>
          </w:p>
        </w:tc>
      </w:tr>
      <w:tr>
        <w:tc>
          <w:tcPr>
            <w:tcW w:type="dxa" w:w="4680"/>
            <w:tcMar w:top="60" w:left="80" w:bottom="60" w:right="80"/>
            <w:shd w:fill="F1F5F9"/>
          </w:tcPr>
          <w:p>
            <w:r>
              <w:rPr>
                <w:rFonts w:ascii="Calibri" w:hAnsi="Calibri"/>
                <w:sz w:val="20"/>
              </w:rPr>
              <w:t>R15M</w:t>
            </w:r>
          </w:p>
        </w:tc>
        <w:tc>
          <w:tcPr>
            <w:tcW w:type="dxa" w:w="4680"/>
            <w:tcMar w:top="60" w:left="80" w:bottom="60" w:right="80"/>
            <w:shd w:fill="F1F5F9"/>
          </w:tcPr>
          <w:p>
            <w:r>
              <w:rPr>
                <w:rFonts w:ascii="Calibri" w:hAnsi="Calibri"/>
                <w:sz w:val="20"/>
              </w:rPr>
              <w:t>R25,000</w:t>
            </w:r>
          </w:p>
        </w:tc>
      </w:tr>
    </w:tbl>
    <w:p/>
    <w:p>
      <w:r>
        <w:br w:type="page"/>
      </w:r>
    </w:p>
    <w:p>
      <w:pPr>
        <w:pStyle w:val="Heading1"/>
      </w:pPr>
      <w:r>
        <w:rPr>
          <w:rFonts w:ascii="Calibri" w:hAnsi="Calibri"/>
          <w:color w:val="0F172A"/>
          <w:sz w:val="32"/>
        </w:rPr>
        <w:t>5. Step 3: Competitor Quotes &amp; Benchmarking</w:t>
      </w:r>
    </w:p>
    <w:p>
      <w:r>
        <w:t>This step lets you compare Phishield pricing against industry benchmarks (IToo pricing) or against an actual competitor quote the client has received.</w:t>
      </w:r>
    </w:p>
    <w:p>
      <w:pPr>
        <w:spacing w:before="240" w:after="240"/>
        <w:jc w:val="center"/>
      </w:pPr>
      <w:r>
        <w:rPr>
          <w:i/>
          <w:color w:val="64748B"/>
          <w:sz w:val="20"/>
        </w:rPr>
        <w:t>Figure 5: Step 3 — Competitor comparison with quote options auto-matched to selected covers and Industry Benchmark table</w:t>
      </w:r>
    </w:p>
    <w:p>
      <w:pPr>
        <w:pStyle w:val="Heading2"/>
      </w:pPr>
      <w:r>
        <w:rPr>
          <w:rFonts w:ascii="Calibri" w:hAnsi="Calibri"/>
          <w:color w:val="0F172A"/>
          <w:sz w:val="26"/>
        </w:rPr>
        <w:t>5.1 Industry Benchmark (Default)</w:t>
      </w:r>
    </w:p>
    <w:p>
      <w:r>
        <w:t>By default, the engine compares your quote against IToo pricing, which serves as the industry benchmark. IToo does not include a Funds Protect equivalent, so the comparison is structured to be fair:</w:t>
      </w:r>
    </w:p>
    <w:p>
      <w:pPr>
        <w:pStyle w:val="ListBullet"/>
      </w:pPr>
      <w:r>
        <w:t>Phishield (with FP): The full premium including Funds Protect.</w:t>
      </w:r>
    </w:p>
    <w:p>
      <w:pPr>
        <w:pStyle w:val="ListBullet"/>
      </w:pPr>
      <w:r>
        <w:t>Phishield (ex-FP): The premium excluding Funds Protect.</w:t>
      </w:r>
    </w:p>
    <w:p>
      <w:pPr>
        <w:pStyle w:val="ListBullet"/>
      </w:pPr>
      <w:r>
        <w:t>Industry Benchmark: The IToo premium for the same cover limit and turnover band.</w:t>
      </w:r>
    </w:p>
    <w:p>
      <w:pPr>
        <w:pStyle w:val="ListBullet"/>
      </w:pPr>
      <w:r>
        <w:t>Delta: The difference between Phishield (ex-FP) and the benchmark.</w:t>
      </w:r>
    </w:p>
    <w:p>
      <w:pPr>
        <w:pStyle w:val="Heading2"/>
      </w:pPr>
      <w:r>
        <w:rPr>
          <w:rFonts w:ascii="Calibri" w:hAnsi="Calibri"/>
          <w:color w:val="0F172A"/>
          <w:sz w:val="26"/>
        </w:rPr>
        <w:t>5.2 Competitor Comparison</w:t>
      </w:r>
    </w:p>
    <w:p>
      <w:r>
        <w:t>If the client has an existing quote from another insurer, toggle 'Does the client have existing quote(s) for comparison?' to 'Yes'. Then enter:</w:t>
      </w:r>
    </w:p>
    <w:p>
      <w:pPr>
        <w:pStyle w:val="ListBullet"/>
      </w:pPr>
      <w:r>
        <w:t>Competitor / Provider Name (e.g., Guardrisk, Chubb)</w:t>
      </w:r>
    </w:p>
    <w:p>
      <w:pPr>
        <w:pStyle w:val="ListBullet"/>
      </w:pPr>
      <w:r>
        <w:t>Number of cover limits to compare (1–4)</w:t>
      </w:r>
    </w:p>
    <w:p>
      <w:pPr>
        <w:pStyle w:val="ListBullet"/>
      </w:pPr>
      <w:r>
        <w:t>For each option: Requested Cover Limit, Competitor Overall Limit, and Competitor Premium</w:t>
      </w:r>
    </w:p>
    <w:p>
      <w:pPr>
        <w:pStyle w:val="Heading2"/>
      </w:pPr>
      <w:r>
        <w:rPr>
          <w:rFonts w:ascii="Calibri" w:hAnsi="Calibri"/>
          <w:color w:val="0F172A"/>
          <w:sz w:val="26"/>
        </w:rPr>
        <w:t>5.3 FP Equivalent Toggle</w:t>
      </w:r>
    </w:p>
    <w:p>
      <w:r>
        <w:t>An important toggle asks: 'Does the competitor quote include a FP equivalent?'</w:t>
      </w:r>
    </w:p>
    <w:p>
      <w:pPr>
        <w:pStyle w:val="ListBullet"/>
      </w:pPr>
      <w:r>
        <w:t>If No (default): The comparison uses Phishield ex-FP vs the competitor/benchmark, because comparing a premium that includes FP against one that does not would be unfair.</w:t>
      </w:r>
    </w:p>
    <w:p>
      <w:pPr>
        <w:pStyle w:val="ListBullet"/>
      </w:pPr>
      <w:r>
        <w:t>If Yes: The comparison uses Phishield full premium (with FP) vs the competitor/benchmark.</w:t>
      </w:r>
    </w:p>
    <w:p>
      <w:pPr>
        <w:spacing w:before="200" w:after="200"/>
        <w:ind w:left="567" w:right="283"/>
      </w:pPr>
      <w:r>
        <w:rPr>
          <w:b/>
          <w:color w:val="1E40AF"/>
          <w:sz w:val="20"/>
        </w:rPr>
        <w:t xml:space="preserve">NOTE: </w:t>
      </w:r>
      <w:r>
        <w:rPr>
          <w:color w:val="64748B"/>
          <w:sz w:val="20"/>
        </w:rPr>
        <w:t>For renewal quotes, the FP equivalent is automatically set to 'Yes' because the existing policy premium already includes FP-equivalent cover.</w:t>
      </w:r>
    </w:p>
    <w:p>
      <w:pPr>
        <w:pStyle w:val="Heading2"/>
      </w:pPr>
      <w:r>
        <w:rPr>
          <w:rFonts w:ascii="Calibri" w:hAnsi="Calibri"/>
          <w:color w:val="0F172A"/>
          <w:sz w:val="26"/>
        </w:rPr>
        <w:t>5.4 Understanding the Comparison Table</w:t>
      </w:r>
    </w:p>
    <w:p>
      <w:r>
        <w:t>The comparison table at the bottom of Step 3 shows a row for each selected cover option. The Delta column is colour-coded:</w:t>
      </w:r>
    </w:p>
    <w:p>
      <w:pPr>
        <w:pStyle w:val="ListBullet"/>
      </w:pPr>
      <w:r>
        <w:t>Green: Phishield is cheaper than the benchmark (competitive).</w:t>
      </w:r>
    </w:p>
    <w:p>
      <w:pPr>
        <w:pStyle w:val="ListBullet"/>
      </w:pPr>
      <w:r>
        <w:t>Amber: Phishield is within a small margin of the benchmark.</w:t>
      </w:r>
    </w:p>
    <w:p>
      <w:pPr>
        <w:pStyle w:val="ListBullet"/>
      </w:pPr>
      <w:r>
        <w:t>Red: Phishield is more expensive than the benchmark.</w:t>
      </w:r>
    </w:p>
    <w:p>
      <w:pPr>
        <w:spacing w:before="200" w:after="200"/>
        <w:ind w:left="567" w:right="283"/>
      </w:pPr>
      <w:r>
        <w:rPr>
          <w:b/>
          <w:color w:val="059669"/>
          <w:sz w:val="20"/>
        </w:rPr>
        <w:t xml:space="preserve">TIP: </w:t>
      </w:r>
      <w:r>
        <w:rPr>
          <w:color w:val="64748B"/>
          <w:sz w:val="20"/>
        </w:rPr>
        <w:t>A red delta does not mean you cannot quote. It means you may need to apply discounts in Step 4 to become competitive, or explain the value of the FP cover to the client.</w:t>
      </w:r>
    </w:p>
    <w:p>
      <w:pPr>
        <w:pStyle w:val="Heading2"/>
      </w:pPr>
      <w:r>
        <w:rPr>
          <w:rFonts w:ascii="Calibri" w:hAnsi="Calibri"/>
          <w:color w:val="0F172A"/>
          <w:sz w:val="26"/>
        </w:rPr>
        <w:t>5.5 Renewal Behaviour</w:t>
      </w:r>
    </w:p>
    <w:p>
      <w:r>
        <w:t>When the quote type is 'Renewal', the benchmark column changes from 'Industry Benchmark' to 'Existing Policy'. The comparison is then between the new Phishield quote and what the client is currently paying.</w:t>
      </w:r>
    </w:p>
    <w:p>
      <w:r>
        <w:t>Renewals also show a renewal-insights banner above the comparison table summarising any of the following that apply:</w:t>
      </w:r>
    </w:p>
    <w:p>
      <w:pPr>
        <w:pStyle w:val="ListBullet"/>
      </w:pPr>
      <w:r>
        <w:t>Premium-drop Protection triggered (critical severity) — see section 3.7.3.</w:t>
      </w:r>
    </w:p>
    <w:p>
      <w:pPr>
        <w:pStyle w:val="ListBullet"/>
      </w:pPr>
      <w:r>
        <w:t>Corporate escalation (critical severity) — max SME cover still below 90% retention.</w:t>
      </w:r>
    </w:p>
    <w:p>
      <w:pPr>
        <w:pStyle w:val="ListBullet"/>
      </w:pPr>
      <w:r>
        <w:t>Revenue band shift (informational) — existing cover outside current recommended set.</w:t>
      </w:r>
    </w:p>
    <w:p>
      <w:pPr>
        <w:pStyle w:val="ListBullet"/>
      </w:pPr>
      <w:r>
        <w:t>UW loading comparison caveat (informational) — current-year Q2–Q6 answers produce a loading; prior posture not on record.</w:t>
      </w:r>
    </w:p>
    <w:p>
      <w:r>
        <w:br w:type="page"/>
      </w:r>
    </w:p>
    <w:p>
      <w:pPr>
        <w:pStyle w:val="Heading1"/>
      </w:pPr>
      <w:r>
        <w:rPr>
          <w:rFonts w:ascii="Calibri" w:hAnsi="Calibri"/>
          <w:color w:val="0F172A"/>
          <w:sz w:val="32"/>
        </w:rPr>
        <w:t>6. Step 4: Adjustments &amp; Comparison</w:t>
      </w:r>
    </w:p>
    <w:p>
      <w:r>
        <w:t>In this step you can apply discounts, set a manual premium override, add endorsements, and see a live visual comparison of your quote against the benchmark.</w:t>
      </w:r>
    </w:p>
    <w:p>
      <w:pPr>
        <w:spacing w:before="240" w:after="240"/>
        <w:jc w:val="center"/>
      </w:pPr>
      <w:r>
        <w:rPr>
          <w:i/>
          <w:color w:val="64748B"/>
          <w:sz w:val="20"/>
        </w:rPr>
        <w:t>Figure 6: Step 4 — Discount inputs with 10% posture discount applied, comparison bars showing competitive status (green)</w:t>
      </w:r>
    </w:p>
    <w:p>
      <w:pPr>
        <w:pStyle w:val="Heading2"/>
      </w:pPr>
      <w:r>
        <w:rPr>
          <w:rFonts w:ascii="Calibri" w:hAnsi="Calibri"/>
          <w:color w:val="0F172A"/>
          <w:sz w:val="26"/>
        </w:rPr>
        <w:t>6.1 Posture Discount</w:t>
      </w:r>
    </w:p>
    <w:p>
      <w:r>
        <w:t>The Posture Discount reflects the quality of the client's cyber security posture based on your assessment. Enter a percentage from 0% to 35%.</w:t>
      </w:r>
    </w:p>
    <w:p>
      <w:r>
        <w:t>Use this when the client has demonstrably strong security practices beyond the minimum requirements (e.g., dedicated CISO, SOC 2 certification, penetration testing programme, security awareness training).</w:t>
      </w:r>
    </w:p>
    <w:p>
      <w:pPr>
        <w:pStyle w:val="Heading2"/>
      </w:pPr>
      <w:r>
        <w:rPr>
          <w:rFonts w:ascii="Calibri" w:hAnsi="Calibri"/>
          <w:color w:val="0F172A"/>
          <w:sz w:val="26"/>
        </w:rPr>
        <w:t>6.2 Discretionary Discount</w:t>
      </w:r>
    </w:p>
    <w:p>
      <w:r>
        <w:t>The Discretionary Discount is used for competitive positioning. Enter a percentage from 0% to 35%.</w:t>
      </w:r>
    </w:p>
    <w:p>
      <w:r>
        <w:t>Use this when you need to match or beat a competitor's premium to win the business. This should be justified and documented.</w:t>
      </w:r>
    </w:p>
    <w:p>
      <w:pPr>
        <w:pStyle w:val="Heading2"/>
      </w:pPr>
      <w:r>
        <w:rPr>
          <w:rFonts w:ascii="Calibri" w:hAnsi="Calibri"/>
          <w:color w:val="0F172A"/>
          <w:sz w:val="26"/>
        </w:rPr>
        <w:t>6.3 Discount Limits and Warnings</w:t>
      </w:r>
    </w:p>
    <w:p>
      <w:r>
        <w:t>Discounts are applied to the full premium (base + FP). They compound multiplicatively:</w:t>
      </w:r>
    </w:p>
    <w:p>
      <w:pPr>
        <w:jc w:val="center"/>
      </w:pPr>
      <w:r>
        <w:rPr>
          <w:b/>
        </w:rPr>
        <w:t>Final Premium = Premium x (1 - Posture%) x (1 - Discretionary%)</w:t>
      </w:r>
    </w:p>
    <w:p>
      <w:r>
        <w:t>For example, a 20% posture discount and 10% discretionary discount results in an effective discount of 28% (not 30%).</w:t>
      </w:r>
    </w:p>
    <w:p>
      <w:pPr>
        <w:spacing w:before="200" w:after="200"/>
        <w:ind w:left="567" w:right="283"/>
      </w:pPr>
      <w:r>
        <w:rPr>
          <w:b/>
          <w:color w:val="DC2626"/>
          <w:sz w:val="20"/>
        </w:rPr>
        <w:t xml:space="preserve">WARNING: </w:t>
      </w:r>
      <w:r>
        <w:rPr>
          <w:color w:val="64748B"/>
          <w:sz w:val="20"/>
        </w:rPr>
        <w:t>If the combined effective discount exceeds 35%, a warning is displayed: 'Combined discount exceeds 35%. Senior underwriter approval required.' You can still proceed, but the quote will require sign-off from a senior underwriter.</w:t>
      </w:r>
    </w:p>
    <w:p>
      <w:pPr>
        <w:pStyle w:val="Heading2"/>
      </w:pPr>
      <w:r>
        <w:rPr>
          <w:rFonts w:ascii="Calibri" w:hAnsi="Calibri"/>
          <w:color w:val="0F172A"/>
          <w:sz w:val="26"/>
        </w:rPr>
        <w:t>6.4 Manual Premium Override</w:t>
      </w:r>
    </w:p>
    <w:p>
      <w:r>
        <w:t>An optional field allows you to enter a specific premium amount, bypassing the calculated premium. Use this only in exceptional circumstances where the standard calculation does not apply (e.g., previously agreed renewal rates).</w:t>
      </w:r>
    </w:p>
    <w:p>
      <w:pPr>
        <w:pStyle w:val="Heading2"/>
      </w:pPr>
      <w:r>
        <w:rPr>
          <w:rFonts w:ascii="Calibri" w:hAnsi="Calibri"/>
          <w:color w:val="0F172A"/>
          <w:sz w:val="26"/>
        </w:rPr>
        <w:t>6.5 Underwriting Conditions Summary</w:t>
      </w:r>
    </w:p>
    <w:p>
      <w:r>
        <w:t>If any conditions of cover were triggered by Q7/Q8 answers, they are summarised here. These conditions will appear on the quote output and PDF.</w:t>
      </w:r>
    </w:p>
    <w:p>
      <w:pPr>
        <w:pStyle w:val="Heading2"/>
      </w:pPr>
      <w:r>
        <w:rPr>
          <w:rFonts w:ascii="Calibri" w:hAnsi="Calibri"/>
          <w:color w:val="0F172A"/>
          <w:sz w:val="26"/>
        </w:rPr>
        <w:t>6.6 Endorsements / Underwriter Notes</w:t>
      </w:r>
    </w:p>
    <w:p>
      <w:r>
        <w:t>A free-text area for recording endorsements, special conditions, or any notes to be included on the quote output. Common uses:</w:t>
      </w:r>
    </w:p>
    <w:p>
      <w:pPr>
        <w:pStyle w:val="ListBullet"/>
      </w:pPr>
      <w:r>
        <w:t>Special terms agreed with the client or broker</w:t>
      </w:r>
    </w:p>
    <w:p>
      <w:pPr>
        <w:pStyle w:val="ListBullet"/>
      </w:pPr>
      <w:r>
        <w:t>Exclusions specific to this risk</w:t>
      </w:r>
    </w:p>
    <w:p>
      <w:pPr>
        <w:pStyle w:val="ListBullet"/>
      </w:pPr>
      <w:r>
        <w:t>Notes about the client's risk profile</w:t>
      </w:r>
    </w:p>
    <w:p>
      <w:pPr>
        <w:pStyle w:val="Heading2"/>
      </w:pPr>
      <w:r>
        <w:rPr>
          <w:rFonts w:ascii="Calibri" w:hAnsi="Calibri"/>
          <w:color w:val="0F172A"/>
          <w:sz w:val="26"/>
        </w:rPr>
        <w:t>6.7 Live Comparison Bars</w:t>
      </w:r>
    </w:p>
    <w:p>
      <w:r>
        <w:t>The bottom of Step 4 shows a visual bar chart comparing your final premium against the selected benchmark (Industry or Competitor). You can toggle between 'Industry' and 'Competitor Quote(s)'.</w:t>
      </w:r>
    </w:p>
    <w:p>
      <w:r>
        <w:t>Each bar shows the Phishield premium as a filled bar, with a line marker indicating the benchmark. The delta (difference) is displayed as both a Rand amount and a percentage.</w:t>
      </w:r>
    </w:p>
    <w:p>
      <w:pPr>
        <w:pStyle w:val="Heading2"/>
      </w:pPr>
      <w:r>
        <w:rPr>
          <w:rFonts w:ascii="Calibri" w:hAnsi="Calibri"/>
          <w:color w:val="0F172A"/>
          <w:sz w:val="26"/>
        </w:rPr>
        <w:t>6.8 Multi-Cover: Apply to All</w:t>
      </w:r>
    </w:p>
    <w:p>
      <w:r>
        <w:t>When you have multiple quote options, a checkbox appears: 'Apply discounts to all quote options'. When ticked, the posture and discretionary discounts you enter are applied uniformly to all options. When unticked, you can set different discounts per option using the option tabs.</w:t>
      </w:r>
    </w:p>
    <w:p>
      <w:r>
        <w:br w:type="page"/>
      </w:r>
    </w:p>
    <w:p>
      <w:pPr>
        <w:pStyle w:val="Heading1"/>
      </w:pPr>
      <w:r>
        <w:rPr>
          <w:rFonts w:ascii="Calibri" w:hAnsi="Calibri"/>
          <w:color w:val="0F172A"/>
          <w:sz w:val="32"/>
        </w:rPr>
        <w:t>7. Step 5: Quote Summary &amp; Export</w:t>
      </w:r>
    </w:p>
    <w:p>
      <w:r>
        <w:t>The final step displays a comprehensive summary of the entire quote, including an audit trail of how the premium was calculated. This is also where you export the quote.</w:t>
      </w:r>
    </w:p>
    <w:p>
      <w:pPr>
        <w:spacing w:before="240" w:after="240"/>
        <w:jc w:val="center"/>
      </w:pPr>
      <w:r>
        <w:rPr>
          <w:i/>
          <w:color w:val="64748B"/>
          <w:sz w:val="20"/>
        </w:rPr>
        <w:t>Figure 7: Step 5 — Quote summary with client details, underwriting outcome, audit trail, and final premium breakdown</w:t>
      </w:r>
    </w:p>
    <w:p>
      <w:pPr>
        <w:pStyle w:val="Heading2"/>
      </w:pPr>
      <w:r>
        <w:rPr>
          <w:rFonts w:ascii="Calibri" w:hAnsi="Calibri"/>
          <w:color w:val="0F172A"/>
          <w:sz w:val="26"/>
        </w:rPr>
        <w:t>7.1 Quote Reference Number</w:t>
      </w:r>
    </w:p>
    <w:p>
      <w:r>
        <w:t>Each quote receives a unique reference number in the format:</w:t>
      </w:r>
    </w:p>
    <w:p>
      <w:pPr>
        <w:jc w:val="center"/>
      </w:pPr>
      <w:r>
        <w:rPr>
          <w:b/>
          <w:sz w:val="22"/>
        </w:rPr>
        <w:t>CPB-YYYYMMDD-NNNN-[CoverLimit]-FP[FPLimit]</w:t>
      </w:r>
    </w:p>
    <w:p>
      <w:r>
        <w:t>Where CPB = Cyber Protect Business, YYYYMMDD = date, NNNN = sequential number, CoverLimit = e.g. R10M, and FPLimit = e.g. R1M.</w:t>
      </w:r>
    </w:p>
    <w:p>
      <w:r>
        <w:t>For multi-cover quotes, all options share the same base reference (CPB-YYYYMMDD-NNNN) but each has a unique suffix for its cover limit and FP selection.</w:t>
      </w:r>
    </w:p>
    <w:p>
      <w:pPr>
        <w:pStyle w:val="Heading2"/>
      </w:pPr>
      <w:r>
        <w:rPr>
          <w:rFonts w:ascii="Calibri" w:hAnsi="Calibri"/>
          <w:color w:val="0F172A"/>
          <w:sz w:val="26"/>
        </w:rPr>
        <w:t>7.2 Client Details Summary</w:t>
      </w:r>
    </w:p>
    <w:p>
      <w:r>
        <w:t>A summary card displays: Company Name, Industry, Actual Turnover, Revenue Bracket, Website, and Quote Type. Review these for accuracy before exporting.</w:t>
      </w:r>
    </w:p>
    <w:p>
      <w:pPr>
        <w:pStyle w:val="Heading2"/>
      </w:pPr>
      <w:r>
        <w:rPr>
          <w:rFonts w:ascii="Calibri" w:hAnsi="Calibri"/>
          <w:color w:val="0F172A"/>
          <w:sz w:val="26"/>
        </w:rPr>
        <w:t>7.3 Underwriting Summary</w:t>
      </w:r>
    </w:p>
    <w:p>
      <w:r>
        <w:t>Shows the underwriting outcome (Standard Rates / Proceed with Caution / Loading / Refer / Decline), any loading percentage applied, and conditions of cover.</w:t>
      </w:r>
    </w:p>
    <w:p>
      <w:pPr>
        <w:pStyle w:val="Heading2"/>
      </w:pPr>
      <w:r>
        <w:rPr>
          <w:rFonts w:ascii="Calibri" w:hAnsi="Calibri"/>
          <w:color w:val="0F172A"/>
          <w:sz w:val="26"/>
        </w:rPr>
        <w:t>7.4 Premium Breakdown (Audit Trail)</w:t>
      </w:r>
    </w:p>
    <w:p>
      <w:r>
        <w:t>For each cover option quoted, a detailed breakdown table shows every calculation step:</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Step</w:t>
            </w:r>
          </w:p>
        </w:tc>
        <w:tc>
          <w:tcPr>
            <w:tcW w:type="dxa" w:w="3120"/>
            <w:tcMar w:top="60" w:left="80" w:bottom="60" w:right="80"/>
            <w:shd w:fill="0F172A"/>
          </w:tcPr>
          <w:p>
            <w:pPr>
              <w:jc w:val="center"/>
            </w:pPr>
            <w:r>
              <w:rPr>
                <w:rFonts w:ascii="Calibri" w:hAnsi="Calibri"/>
                <w:b/>
                <w:color w:val="FFFFFF"/>
                <w:sz w:val="20"/>
              </w:rPr>
              <w:t>Description</w:t>
            </w:r>
          </w:p>
        </w:tc>
        <w:tc>
          <w:tcPr>
            <w:tcW w:type="dxa" w:w="3120"/>
            <w:tcMar w:top="60" w:left="80" w:bottom="60" w:right="80"/>
            <w:shd w:fill="0F172A"/>
          </w:tcPr>
          <w:p>
            <w:pPr>
              <w:jc w:val="center"/>
            </w:pPr>
            <w:r>
              <w:rPr>
                <w:rFonts w:ascii="Calibri" w:hAnsi="Calibri"/>
                <w:b/>
                <w:color w:val="FFFFFF"/>
                <w:sz w:val="20"/>
              </w:rPr>
              <w:t>Example</w:t>
            </w:r>
          </w:p>
        </w:tc>
      </w:tr>
      <w:tr>
        <w:tc>
          <w:tcPr>
            <w:tcW w:type="dxa" w:w="3120"/>
            <w:tcMar w:top="60" w:left="80" w:bottom="60" w:right="80"/>
          </w:tcPr>
          <w:p>
            <w:r>
              <w:rPr>
                <w:rFonts w:ascii="Calibri" w:hAnsi="Calibri"/>
                <w:sz w:val="20"/>
              </w:rPr>
              <w:t>1</w:t>
            </w:r>
          </w:p>
        </w:tc>
        <w:tc>
          <w:tcPr>
            <w:tcW w:type="dxa" w:w="3120"/>
            <w:tcMar w:top="60" w:left="80" w:bottom="60" w:right="80"/>
          </w:tcPr>
          <w:p>
            <w:r>
              <w:rPr>
                <w:rFonts w:ascii="Calibri" w:hAnsi="Calibri"/>
                <w:sz w:val="20"/>
              </w:rPr>
              <w:t>Base premium (from table or formula)</w:t>
            </w:r>
          </w:p>
        </w:tc>
        <w:tc>
          <w:tcPr>
            <w:tcW w:type="dxa" w:w="3120"/>
            <w:tcMar w:top="60" w:left="80" w:bottom="60" w:right="80"/>
          </w:tcPr>
          <w:p>
            <w:r>
              <w:rPr>
                <w:rFonts w:ascii="Calibri" w:hAnsi="Calibri"/>
                <w:sz w:val="20"/>
              </w:rPr>
              <w:t>R11,160</w:t>
            </w:r>
          </w:p>
        </w:tc>
      </w:tr>
      <w:tr>
        <w:tc>
          <w:tcPr>
            <w:tcW w:type="dxa" w:w="3120"/>
            <w:tcMar w:top="60" w:left="80" w:bottom="60" w:right="80"/>
            <w:shd w:fill="F1F5F9"/>
          </w:tcPr>
          <w:p>
            <w:r>
              <w:rPr>
                <w:rFonts w:ascii="Calibri" w:hAnsi="Calibri"/>
                <w:sz w:val="20"/>
              </w:rPr>
              <w:t>2</w:t>
            </w:r>
          </w:p>
        </w:tc>
        <w:tc>
          <w:tcPr>
            <w:tcW w:type="dxa" w:w="3120"/>
            <w:tcMar w:top="60" w:left="80" w:bottom="60" w:right="80"/>
            <w:shd w:fill="F1F5F9"/>
          </w:tcPr>
          <w:p>
            <w:r>
              <w:rPr>
                <w:rFonts w:ascii="Calibri" w:hAnsi="Calibri"/>
                <w:sz w:val="20"/>
              </w:rPr>
              <w:t>Industry modifier applied</w:t>
            </w:r>
          </w:p>
        </w:tc>
        <w:tc>
          <w:tcPr>
            <w:tcW w:type="dxa" w:w="3120"/>
            <w:tcMar w:top="60" w:left="80" w:bottom="60" w:right="80"/>
            <w:shd w:fill="F1F5F9"/>
          </w:tcPr>
          <w:p>
            <w:r>
              <w:rPr>
                <w:rFonts w:ascii="Calibri" w:hAnsi="Calibri"/>
                <w:sz w:val="20"/>
              </w:rPr>
              <w:t>R11,160 x 1.00 = R11,160</w:t>
            </w:r>
          </w:p>
        </w:tc>
      </w:tr>
      <w:tr>
        <w:tc>
          <w:tcPr>
            <w:tcW w:type="dxa" w:w="3120"/>
            <w:tcMar w:top="60" w:left="80" w:bottom="60" w:right="80"/>
          </w:tcPr>
          <w:p>
            <w:r>
              <w:rPr>
                <w:rFonts w:ascii="Calibri" w:hAnsi="Calibri"/>
                <w:sz w:val="20"/>
              </w:rPr>
              <w:t>3</w:t>
            </w:r>
          </w:p>
        </w:tc>
        <w:tc>
          <w:tcPr>
            <w:tcW w:type="dxa" w:w="3120"/>
            <w:tcMar w:top="60" w:left="80" w:bottom="60" w:right="80"/>
          </w:tcPr>
          <w:p>
            <w:r>
              <w:rPr>
                <w:rFonts w:ascii="Calibri" w:hAnsi="Calibri"/>
                <w:sz w:val="20"/>
              </w:rPr>
              <w:t>UW loading (if applicable)</w:t>
            </w:r>
          </w:p>
        </w:tc>
        <w:tc>
          <w:tcPr>
            <w:tcW w:type="dxa" w:w="3120"/>
            <w:tcMar w:top="60" w:left="80" w:bottom="60" w:right="80"/>
          </w:tcPr>
          <w:p>
            <w:r>
              <w:rPr>
                <w:rFonts w:ascii="Calibri" w:hAnsi="Calibri"/>
                <w:sz w:val="20"/>
              </w:rPr>
              <w:t>R11,160 x 1.05 = R11,718</w:t>
            </w:r>
          </w:p>
        </w:tc>
      </w:tr>
      <w:tr>
        <w:tc>
          <w:tcPr>
            <w:tcW w:type="dxa" w:w="3120"/>
            <w:tcMar w:top="60" w:left="80" w:bottom="60" w:right="80"/>
            <w:shd w:fill="F1F5F9"/>
          </w:tcPr>
          <w:p>
            <w:r>
              <w:rPr>
                <w:rFonts w:ascii="Calibri" w:hAnsi="Calibri"/>
                <w:sz w:val="20"/>
              </w:rPr>
              <w:t>4</w:t>
            </w:r>
          </w:p>
        </w:tc>
        <w:tc>
          <w:tcPr>
            <w:tcW w:type="dxa" w:w="3120"/>
            <w:tcMar w:top="60" w:left="80" w:bottom="60" w:right="80"/>
            <w:shd w:fill="F1F5F9"/>
          </w:tcPr>
          <w:p>
            <w:r>
              <w:rPr>
                <w:rFonts w:ascii="Calibri" w:hAnsi="Calibri"/>
                <w:sz w:val="20"/>
              </w:rPr>
              <w:t>Funds Protect cost added</w:t>
            </w:r>
          </w:p>
        </w:tc>
        <w:tc>
          <w:tcPr>
            <w:tcW w:type="dxa" w:w="3120"/>
            <w:tcMar w:top="60" w:left="80" w:bottom="60" w:right="80"/>
            <w:shd w:fill="F1F5F9"/>
          </w:tcPr>
          <w:p>
            <w:r>
              <w:rPr>
                <w:rFonts w:ascii="Calibri" w:hAnsi="Calibri"/>
                <w:sz w:val="20"/>
              </w:rPr>
              <w:t>+ R3,144</w:t>
            </w:r>
          </w:p>
        </w:tc>
      </w:tr>
      <w:tr>
        <w:tc>
          <w:tcPr>
            <w:tcW w:type="dxa" w:w="3120"/>
            <w:tcMar w:top="60" w:left="80" w:bottom="60" w:right="80"/>
          </w:tcPr>
          <w:p>
            <w:r>
              <w:rPr>
                <w:rFonts w:ascii="Calibri" w:hAnsi="Calibri"/>
                <w:sz w:val="20"/>
              </w:rPr>
              <w:t>5</w:t>
            </w:r>
          </w:p>
        </w:tc>
        <w:tc>
          <w:tcPr>
            <w:tcW w:type="dxa" w:w="3120"/>
            <w:tcMar w:top="60" w:left="80" w:bottom="60" w:right="80"/>
          </w:tcPr>
          <w:p>
            <w:r>
              <w:rPr>
                <w:rFonts w:ascii="Calibri" w:hAnsi="Calibri"/>
                <w:sz w:val="20"/>
              </w:rPr>
              <w:t>Total before discounts</w:t>
            </w:r>
          </w:p>
        </w:tc>
        <w:tc>
          <w:tcPr>
            <w:tcW w:type="dxa" w:w="3120"/>
            <w:tcMar w:top="60" w:left="80" w:bottom="60" w:right="80"/>
          </w:tcPr>
          <w:p>
            <w:r>
              <w:rPr>
                <w:rFonts w:ascii="Calibri" w:hAnsi="Calibri"/>
                <w:sz w:val="20"/>
              </w:rPr>
              <w:t>R14,862</w:t>
            </w:r>
          </w:p>
        </w:tc>
      </w:tr>
      <w:tr>
        <w:tc>
          <w:tcPr>
            <w:tcW w:type="dxa" w:w="3120"/>
            <w:tcMar w:top="60" w:left="80" w:bottom="60" w:right="80"/>
            <w:shd w:fill="F1F5F9"/>
          </w:tcPr>
          <w:p>
            <w:r>
              <w:rPr>
                <w:rFonts w:ascii="Calibri" w:hAnsi="Calibri"/>
                <w:sz w:val="20"/>
              </w:rPr>
              <w:t>6</w:t>
            </w:r>
          </w:p>
        </w:tc>
        <w:tc>
          <w:tcPr>
            <w:tcW w:type="dxa" w:w="3120"/>
            <w:tcMar w:top="60" w:left="80" w:bottom="60" w:right="80"/>
            <w:shd w:fill="F1F5F9"/>
          </w:tcPr>
          <w:p>
            <w:r>
              <w:rPr>
                <w:rFonts w:ascii="Calibri" w:hAnsi="Calibri"/>
                <w:sz w:val="20"/>
              </w:rPr>
              <w:t>Discounts applied</w:t>
            </w:r>
          </w:p>
        </w:tc>
        <w:tc>
          <w:tcPr>
            <w:tcW w:type="dxa" w:w="3120"/>
            <w:tcMar w:top="60" w:left="80" w:bottom="60" w:right="80"/>
            <w:shd w:fill="F1F5F9"/>
          </w:tcPr>
          <w:p>
            <w:r>
              <w:rPr>
                <w:rFonts w:ascii="Calibri" w:hAnsi="Calibri"/>
                <w:sz w:val="20"/>
              </w:rPr>
              <w:t>x 0.80 = R11,890</w:t>
            </w:r>
          </w:p>
        </w:tc>
      </w:tr>
    </w:tbl>
    <w:p/>
    <w:p>
      <w:r>
        <w:t>Below the breakdown, final figures are displayed: Annual (with FP), Annual (excl FP), and Monthly.</w:t>
      </w:r>
    </w:p>
    <w:p>
      <w:pPr>
        <w:pStyle w:val="Heading2"/>
      </w:pPr>
      <w:r>
        <w:rPr>
          <w:rFonts w:ascii="Calibri" w:hAnsi="Calibri"/>
          <w:color w:val="0F172A"/>
          <w:sz w:val="26"/>
        </w:rPr>
        <w:t>7.5 Export Options</w:t>
      </w:r>
    </w:p>
    <w:p>
      <w:r>
        <w:t>Three export options are available:</w:t>
      </w:r>
    </w:p>
    <w:p>
      <w:r>
        <w:rPr>
          <w:b/>
          <w:sz w:val="22"/>
        </w:rPr>
        <w:t>Download PDF</w:t>
      </w:r>
    </w:p>
    <w:p>
      <w:r>
        <w:t>Generates a professional PDF document for each cover option. The PDF includes all client details, underwriting summary, premium breakdown, conditions of cover, and Phishield branding. PDFs are also saved to the backend database for record-keeping.</w:t>
      </w:r>
    </w:p>
    <w:p>
      <w:r>
        <w:rPr>
          <w:b/>
          <w:sz w:val="22"/>
        </w:rPr>
        <w:t>Copy to Clipboard</w:t>
      </w:r>
    </w:p>
    <w:p>
      <w:r>
        <w:t>Copies a plain-text summary of the quote to your clipboard. Useful for pasting into emails or other communication tools.</w:t>
      </w:r>
    </w:p>
    <w:p>
      <w:r>
        <w:rPr>
          <w:b/>
          <w:sz w:val="22"/>
        </w:rPr>
        <w:t>Print Quote</w:t>
      </w:r>
    </w:p>
    <w:p>
      <w:r>
        <w:t>Opens the browser's print dialog, allowing you to print the quote summary directly or save it as a PDF using the browser's built-in PDF printer.</w:t>
      </w:r>
    </w:p>
    <w:p>
      <w:pPr>
        <w:spacing w:before="200" w:after="200"/>
        <w:ind w:left="567" w:right="283"/>
      </w:pPr>
      <w:r>
        <w:rPr>
          <w:b/>
          <w:color w:val="059669"/>
          <w:sz w:val="20"/>
        </w:rPr>
        <w:t xml:space="preserve">TIP: </w:t>
      </w:r>
      <w:r>
        <w:rPr>
          <w:color w:val="64748B"/>
          <w:sz w:val="20"/>
        </w:rPr>
        <w:t>All quotes are automatically saved to the backend database when you reach Step 5. You do not need to manually save. The quote reference number is your key for retrieving the quote later.</w:t>
      </w:r>
    </w:p>
    <w:p>
      <w:r>
        <w:br w:type="page"/>
      </w:r>
    </w:p>
    <w:p>
      <w:pPr>
        <w:pStyle w:val="Heading1"/>
      </w:pPr>
      <w:r>
        <w:rPr>
          <w:rFonts w:ascii="Calibri" w:hAnsi="Calibri"/>
          <w:color w:val="0F172A"/>
          <w:sz w:val="32"/>
        </w:rPr>
        <w:t>8. Common Scenarios (Worked Examples)</w:t>
      </w:r>
    </w:p>
    <w:p>
      <w:pPr>
        <w:pStyle w:val="Heading2"/>
      </w:pPr>
      <w:r>
        <w:rPr>
          <w:rFonts w:ascii="Calibri" w:hAnsi="Calibri"/>
          <w:color w:val="0F172A"/>
          <w:sz w:val="26"/>
        </w:rPr>
        <w:t>8.1 Scenario 1: New Business Quote</w:t>
      </w:r>
    </w:p>
    <w:p>
      <w:r>
        <w:rPr>
          <w:b/>
          <w:sz w:val="22"/>
        </w:rPr>
        <w:t>Client: TechStart Solutions (Pty) Ltd</w:t>
      </w:r>
    </w:p>
    <w:p>
      <w:r>
        <w:t>Industry: Software and Technology</w:t>
        <w:br/>
        <w:t>Previous Turnover: R8,000,000</w:t>
        <w:br/>
        <w:t>Current Estimated: R12,000,000</w:t>
        <w:br/>
        <w:t>Employees: 35</w:t>
        <w:br/>
        <w:t>All underwriting questions: Yes</w:t>
      </w:r>
    </w:p>
    <w:p>
      <w:pPr>
        <w:pStyle w:val="Heading3"/>
      </w:pPr>
      <w:r>
        <w:rPr>
          <w:rFonts w:ascii="Calibri" w:hAnsi="Calibri"/>
          <w:color w:val="0F172A"/>
        </w:rPr>
        <w:t>Walkthrough:</w:t>
      </w:r>
    </w:p>
    <w:p>
      <w:r>
        <w:rPr>
          <w:b/>
          <w:color w:val="F97316"/>
        </w:rPr>
        <w:t xml:space="preserve">Step 1: </w:t>
      </w:r>
      <w:r>
        <w:rPr>
          <w:sz w:val="22"/>
        </w:rPr>
        <w:t>Enter client details in Step 1.</w:t>
      </w:r>
    </w:p>
    <w:p>
      <w:pPr>
        <w:ind w:left="567"/>
      </w:pPr>
      <w:r>
        <w:rPr>
          <w:color w:val="64748B"/>
          <w:sz w:val="20"/>
        </w:rPr>
        <w:t>Actual Turnover = (R8M + R12M) / 2 = R10M. Revenue Band: R0–R10M (Band 1). Quote Type: New Business.</w:t>
      </w:r>
    </w:p>
    <w:p>
      <w:r>
        <w:rPr>
          <w:b/>
          <w:color w:val="F97316"/>
        </w:rPr>
        <w:t xml:space="preserve">Step 2: </w:t>
      </w:r>
      <w:r>
        <w:rPr>
          <w:sz w:val="22"/>
        </w:rPr>
        <w:t>In Step 2, the engine recommends R1M and R2.5M covers.</w:t>
      </w:r>
    </w:p>
    <w:p>
      <w:pPr>
        <w:ind w:left="567"/>
      </w:pPr>
      <w:r>
        <w:rPr>
          <w:color w:val="64748B"/>
          <w:sz w:val="20"/>
        </w:rPr>
        <w:t>Both qualify for Micro SME rates (turnover &lt; R50M, cover &lt;= R5M). Select both recommended options. R1M premium: R4,164 base x 1.35 (S&amp;T modifier) = R5,621 + R2,100 FP = R7,721/yr. R2.5M premium: R5,904 x 1.35 = R7,970 + R2,616 FP = R10,586/yr.</w:t>
      </w:r>
    </w:p>
    <w:p>
      <w:pPr>
        <w:pStyle w:val="Heading4"/>
      </w:pPr>
      <w:r>
        <w:rPr>
          <w:rFonts w:ascii="Calibri" w:hAnsi="Calibri"/>
          <w:color w:val="0F172A"/>
        </w:rPr>
        <w:t>Step 3 Detail: Comparison Table</w:t>
      </w:r>
    </w:p>
    <w:p>
      <w:r>
        <w:t>The comparison table in Step 3 shows the following values for each selected cover option: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Phishield (with FP)</w:t>
            </w:r>
          </w:p>
        </w:tc>
        <w:tc>
          <w:tcPr>
            <w:tcW w:type="dxa" w:w="1872"/>
            <w:tcMar w:top="60" w:left="80" w:bottom="60" w:right="80"/>
            <w:shd w:fill="0F172A"/>
          </w:tcPr>
          <w:p>
            <w:pPr>
              <w:jc w:val="center"/>
            </w:pPr>
            <w:r>
              <w:rPr>
                <w:rFonts w:ascii="Calibri" w:hAnsi="Calibri"/>
                <w:b/>
                <w:color w:val="FFFFFF"/>
                <w:sz w:val="20"/>
              </w:rPr>
              <w:t>Phishield (ex-FP)</w:t>
            </w:r>
          </w:p>
        </w:tc>
        <w:tc>
          <w:tcPr>
            <w:tcW w:type="dxa" w:w="1872"/>
            <w:tcMar w:top="60" w:left="80" w:bottom="60" w:right="80"/>
            <w:shd w:fill="0F172A"/>
          </w:tcPr>
          <w:p>
            <w:pPr>
              <w:jc w:val="center"/>
            </w:pPr>
            <w:r>
              <w:rPr>
                <w:rFonts w:ascii="Calibri" w:hAnsi="Calibri"/>
                <w:b/>
                <w:color w:val="FFFFFF"/>
                <w:sz w:val="20"/>
              </w:rPr>
              <w:t>Industry Benchmark (IToo)</w:t>
            </w:r>
          </w:p>
        </w:tc>
        <w:tc>
          <w:tcPr>
            <w:tcW w:type="dxa" w:w="1872"/>
            <w:tcMar w:top="60" w:left="80" w:bottom="60" w:right="80"/>
            <w:shd w:fill="0F172A"/>
          </w:tcPr>
          <w:p>
            <w:pPr>
              <w:jc w:val="center"/>
            </w:pPr>
            <w:r>
              <w:rPr>
                <w:rFonts w:ascii="Calibri" w:hAnsi="Calibri"/>
                <w:b/>
                <w:color w:val="FFFFFF"/>
                <w:sz w:val="20"/>
              </w:rPr>
              <w:t>Delta</w:t>
            </w:r>
          </w:p>
        </w:tc>
      </w:tr>
      <w:tr>
        <w:tc>
          <w:tcPr>
            <w:tcW w:type="dxa" w:w="1872"/>
            <w:tcMar w:top="60" w:left="80" w:bottom="60" w:right="80"/>
          </w:tcPr>
          <w:p>
            <w:r>
              <w:rPr>
                <w:rFonts w:ascii="Calibri" w:hAnsi="Calibri"/>
                <w:sz w:val="20"/>
              </w:rPr>
              <w:t>R1M</w:t>
            </w:r>
          </w:p>
        </w:tc>
        <w:tc>
          <w:tcPr>
            <w:tcW w:type="dxa" w:w="1872"/>
            <w:tcMar w:top="60" w:left="80" w:bottom="60" w:right="80"/>
          </w:tcPr>
          <w:p>
            <w:r>
              <w:rPr>
                <w:rFonts w:ascii="Calibri" w:hAnsi="Calibri"/>
                <w:sz w:val="20"/>
              </w:rPr>
              <w:t>R7,721</w:t>
            </w:r>
          </w:p>
        </w:tc>
        <w:tc>
          <w:tcPr>
            <w:tcW w:type="dxa" w:w="1872"/>
            <w:tcMar w:top="60" w:left="80" w:bottom="60" w:right="80"/>
          </w:tcPr>
          <w:p>
            <w:r>
              <w:rPr>
                <w:rFonts w:ascii="Calibri" w:hAnsi="Calibri"/>
                <w:sz w:val="20"/>
              </w:rPr>
              <w:t>R5,621</w:t>
            </w:r>
          </w:p>
        </w:tc>
        <w:tc>
          <w:tcPr>
            <w:tcW w:type="dxa" w:w="1872"/>
            <w:tcMar w:top="60" w:left="80" w:bottom="60" w:right="80"/>
          </w:tcPr>
          <w:p>
            <w:r>
              <w:rPr>
                <w:rFonts w:ascii="Calibri" w:hAnsi="Calibri"/>
                <w:sz w:val="20"/>
              </w:rPr>
              <w:t>R5,375</w:t>
            </w:r>
          </w:p>
        </w:tc>
        <w:tc>
          <w:tcPr>
            <w:tcW w:type="dxa" w:w="1872"/>
            <w:tcMar w:top="60" w:left="80" w:bottom="60" w:right="80"/>
          </w:tcPr>
          <w:p>
            <w:r>
              <w:rPr>
                <w:rFonts w:ascii="Calibri" w:hAnsi="Calibri"/>
                <w:sz w:val="20"/>
              </w:rPr>
              <w:t>+R246 (4.6%)</w:t>
            </w:r>
          </w:p>
        </w:tc>
      </w:tr>
      <w:tr>
        <w:tc>
          <w:tcPr>
            <w:tcW w:type="dxa" w:w="1872"/>
            <w:tcMar w:top="60" w:left="80" w:bottom="60" w:right="80"/>
            <w:shd w:fill="F1F5F9"/>
          </w:tcPr>
          <w:p>
            <w:r>
              <w:rPr>
                <w:rFonts w:ascii="Calibri" w:hAnsi="Calibri"/>
                <w:sz w:val="20"/>
              </w:rPr>
              <w:t>R2.5M</w:t>
            </w:r>
          </w:p>
        </w:tc>
        <w:tc>
          <w:tcPr>
            <w:tcW w:type="dxa" w:w="1872"/>
            <w:tcMar w:top="60" w:left="80" w:bottom="60" w:right="80"/>
            <w:shd w:fill="F1F5F9"/>
          </w:tcPr>
          <w:p>
            <w:r>
              <w:rPr>
                <w:rFonts w:ascii="Calibri" w:hAnsi="Calibri"/>
                <w:sz w:val="20"/>
              </w:rPr>
              <w:t>R10,586</w:t>
            </w:r>
          </w:p>
        </w:tc>
        <w:tc>
          <w:tcPr>
            <w:tcW w:type="dxa" w:w="1872"/>
            <w:tcMar w:top="60" w:left="80" w:bottom="60" w:right="80"/>
            <w:shd w:fill="F1F5F9"/>
          </w:tcPr>
          <w:p>
            <w:r>
              <w:rPr>
                <w:rFonts w:ascii="Calibri" w:hAnsi="Calibri"/>
                <w:sz w:val="20"/>
              </w:rPr>
              <w:t>R7,970</w:t>
            </w:r>
          </w:p>
        </w:tc>
        <w:tc>
          <w:tcPr>
            <w:tcW w:type="dxa" w:w="1872"/>
            <w:tcMar w:top="60" w:left="80" w:bottom="60" w:right="80"/>
            <w:shd w:fill="F1F5F9"/>
          </w:tcPr>
          <w:p>
            <w:r>
              <w:rPr>
                <w:rFonts w:ascii="Calibri" w:hAnsi="Calibri"/>
                <w:sz w:val="20"/>
              </w:rPr>
              <w:t>R7,850</w:t>
            </w:r>
          </w:p>
        </w:tc>
        <w:tc>
          <w:tcPr>
            <w:tcW w:type="dxa" w:w="1872"/>
            <w:tcMar w:top="60" w:left="80" w:bottom="60" w:right="80"/>
            <w:shd w:fill="F1F5F9"/>
          </w:tcPr>
          <w:p>
            <w:r>
              <w:rPr>
                <w:rFonts w:ascii="Calibri" w:hAnsi="Calibri"/>
                <w:sz w:val="20"/>
              </w:rPr>
              <w:t>+R120 (1.5%)</w:t>
            </w:r>
          </w:p>
        </w:tc>
      </w:tr>
    </w:tbl>
    <w:p/>
    <w:p>
      <w:r>
        <w:t>Both options show amber/slight red deltas — Phishield ex-FP is marginally above the IToo benchmark. However, the FP cover provides significant additional value that the benchmark does not include.</w:t>
      </w:r>
    </w:p>
    <w:p>
      <w:pPr>
        <w:pStyle w:val="Heading4"/>
      </w:pPr>
      <w:r>
        <w:rPr>
          <w:rFonts w:ascii="Calibri" w:hAnsi="Calibri"/>
          <w:color w:val="0F172A"/>
        </w:rPr>
        <w:t>Step 4 Detail: Discount Calculation</w:t>
      </w:r>
    </w:p>
    <w:p>
      <w:r>
        <w:t>Client has SOC 2 certification, so apply a 10% posture discount. No discretionary discount needed.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Pre-Discount</w:t>
            </w:r>
          </w:p>
        </w:tc>
        <w:tc>
          <w:tcPr>
            <w:tcW w:type="dxa" w:w="1872"/>
            <w:tcMar w:top="60" w:left="80" w:bottom="60" w:right="80"/>
            <w:shd w:fill="0F172A"/>
          </w:tcPr>
          <w:p>
            <w:pPr>
              <w:jc w:val="center"/>
            </w:pPr>
            <w:r>
              <w:rPr>
                <w:rFonts w:ascii="Calibri" w:hAnsi="Calibri"/>
                <w:b/>
                <w:color w:val="FFFFFF"/>
                <w:sz w:val="20"/>
              </w:rPr>
              <w:t>Posture (10%)</w:t>
            </w:r>
          </w:p>
        </w:tc>
        <w:tc>
          <w:tcPr>
            <w:tcW w:type="dxa" w:w="1872"/>
            <w:tcMar w:top="60" w:left="80" w:bottom="60" w:right="80"/>
            <w:shd w:fill="0F172A"/>
          </w:tcPr>
          <w:p>
            <w:pPr>
              <w:jc w:val="center"/>
            </w:pPr>
            <w:r>
              <w:rPr>
                <w:rFonts w:ascii="Calibri" w:hAnsi="Calibri"/>
                <w:b/>
                <w:color w:val="FFFFFF"/>
                <w:sz w:val="20"/>
              </w:rPr>
              <w:t>Final Annual</w:t>
            </w:r>
          </w:p>
        </w:tc>
        <w:tc>
          <w:tcPr>
            <w:tcW w:type="dxa" w:w="1872"/>
            <w:tcMar w:top="60" w:left="80" w:bottom="60" w:right="80"/>
            <w:shd w:fill="0F172A"/>
          </w:tcPr>
          <w:p>
            <w:pPr>
              <w:jc w:val="center"/>
            </w:pPr>
            <w:r>
              <w:rPr>
                <w:rFonts w:ascii="Calibri" w:hAnsi="Calibri"/>
                <w:b/>
                <w:color w:val="FFFFFF"/>
                <w:sz w:val="20"/>
              </w:rPr>
              <w:t>Final Monthly</w:t>
            </w:r>
          </w:p>
        </w:tc>
      </w:tr>
      <w:tr>
        <w:tc>
          <w:tcPr>
            <w:tcW w:type="dxa" w:w="1872"/>
            <w:tcMar w:top="60" w:left="80" w:bottom="60" w:right="80"/>
          </w:tcPr>
          <w:p>
            <w:r>
              <w:rPr>
                <w:rFonts w:ascii="Calibri" w:hAnsi="Calibri"/>
                <w:sz w:val="20"/>
              </w:rPr>
              <w:t>R1M</w:t>
            </w:r>
          </w:p>
        </w:tc>
        <w:tc>
          <w:tcPr>
            <w:tcW w:type="dxa" w:w="1872"/>
            <w:tcMar w:top="60" w:left="80" w:bottom="60" w:right="80"/>
          </w:tcPr>
          <w:p>
            <w:r>
              <w:rPr>
                <w:rFonts w:ascii="Calibri" w:hAnsi="Calibri"/>
                <w:sz w:val="20"/>
              </w:rPr>
              <w:t>R7,721</w:t>
            </w:r>
          </w:p>
        </w:tc>
        <w:tc>
          <w:tcPr>
            <w:tcW w:type="dxa" w:w="1872"/>
            <w:tcMar w:top="60" w:left="80" w:bottom="60" w:right="80"/>
          </w:tcPr>
          <w:p>
            <w:r>
              <w:rPr>
                <w:rFonts w:ascii="Calibri" w:hAnsi="Calibri"/>
                <w:sz w:val="20"/>
              </w:rPr>
              <w:t>R7,721 x (1 - 0.10) = R6,949</w:t>
            </w:r>
          </w:p>
        </w:tc>
        <w:tc>
          <w:tcPr>
            <w:tcW w:type="dxa" w:w="1872"/>
            <w:tcMar w:top="60" w:left="80" w:bottom="60" w:right="80"/>
          </w:tcPr>
          <w:p>
            <w:r>
              <w:rPr>
                <w:rFonts w:ascii="Calibri" w:hAnsi="Calibri"/>
                <w:sz w:val="20"/>
              </w:rPr>
              <w:t>R6,949</w:t>
            </w:r>
          </w:p>
        </w:tc>
        <w:tc>
          <w:tcPr>
            <w:tcW w:type="dxa" w:w="1872"/>
            <w:tcMar w:top="60" w:left="80" w:bottom="60" w:right="80"/>
          </w:tcPr>
          <w:p>
            <w:r>
              <w:rPr>
                <w:rFonts w:ascii="Calibri" w:hAnsi="Calibri"/>
                <w:sz w:val="20"/>
              </w:rPr>
              <w:t>R579</w:t>
            </w:r>
          </w:p>
        </w:tc>
      </w:tr>
      <w:tr>
        <w:tc>
          <w:tcPr>
            <w:tcW w:type="dxa" w:w="1872"/>
            <w:tcMar w:top="60" w:left="80" w:bottom="60" w:right="80"/>
            <w:shd w:fill="F1F5F9"/>
          </w:tcPr>
          <w:p>
            <w:r>
              <w:rPr>
                <w:rFonts w:ascii="Calibri" w:hAnsi="Calibri"/>
                <w:sz w:val="20"/>
              </w:rPr>
              <w:t>R2.5M</w:t>
            </w:r>
          </w:p>
        </w:tc>
        <w:tc>
          <w:tcPr>
            <w:tcW w:type="dxa" w:w="1872"/>
            <w:tcMar w:top="60" w:left="80" w:bottom="60" w:right="80"/>
            <w:shd w:fill="F1F5F9"/>
          </w:tcPr>
          <w:p>
            <w:r>
              <w:rPr>
                <w:rFonts w:ascii="Calibri" w:hAnsi="Calibri"/>
                <w:sz w:val="20"/>
              </w:rPr>
              <w:t>R10,586</w:t>
            </w:r>
          </w:p>
        </w:tc>
        <w:tc>
          <w:tcPr>
            <w:tcW w:type="dxa" w:w="1872"/>
            <w:tcMar w:top="60" w:left="80" w:bottom="60" w:right="80"/>
            <w:shd w:fill="F1F5F9"/>
          </w:tcPr>
          <w:p>
            <w:r>
              <w:rPr>
                <w:rFonts w:ascii="Calibri" w:hAnsi="Calibri"/>
                <w:sz w:val="20"/>
              </w:rPr>
              <w:t>R10,586 x (1 - 0.10) = R9,527</w:t>
            </w:r>
          </w:p>
        </w:tc>
        <w:tc>
          <w:tcPr>
            <w:tcW w:type="dxa" w:w="1872"/>
            <w:tcMar w:top="60" w:left="80" w:bottom="60" w:right="80"/>
            <w:shd w:fill="F1F5F9"/>
          </w:tcPr>
          <w:p>
            <w:r>
              <w:rPr>
                <w:rFonts w:ascii="Calibri" w:hAnsi="Calibri"/>
                <w:sz w:val="20"/>
              </w:rPr>
              <w:t>R9,527</w:t>
            </w:r>
          </w:p>
        </w:tc>
        <w:tc>
          <w:tcPr>
            <w:tcW w:type="dxa" w:w="1872"/>
            <w:tcMar w:top="60" w:left="80" w:bottom="60" w:right="80"/>
            <w:shd w:fill="F1F5F9"/>
          </w:tcPr>
          <w:p>
            <w:r>
              <w:rPr>
                <w:rFonts w:ascii="Calibri" w:hAnsi="Calibri"/>
                <w:sz w:val="20"/>
              </w:rPr>
              <w:t>R794</w:t>
            </w:r>
          </w:p>
        </w:tc>
      </w:tr>
    </w:tbl>
    <w:p/>
    <w:p>
      <w:r>
        <w:t>The comparison bars now show green for R1M (R6,949 vs R5,375 benchmark — Phishield ex-FP after discount = R5,059, now below benchmark) and green for R2.5M (ex-FP after discount = R7,173, below the R7,850 benchmark).</w:t>
      </w:r>
    </w:p>
    <w:p>
      <w:r>
        <w:rPr>
          <w:b/>
          <w:color w:val="F97316"/>
        </w:rPr>
        <w:t xml:space="preserve">Step 5: </w:t>
      </w:r>
      <w:r>
        <w:rPr>
          <w:sz w:val="22"/>
        </w:rPr>
        <w:t>Download PDFs in Step 5 for both options.</w:t>
      </w:r>
    </w:p>
    <w:p>
      <w:pPr>
        <w:ind w:left="567"/>
      </w:pPr>
      <w:r>
        <w:rPr>
          <w:color w:val="64748B"/>
          <w:sz w:val="20"/>
        </w:rPr>
        <w:t>Quote refs: CPB-20260324-0001-R1M-FPR150k and CPB-20260324-0001-R2.5M-FPR200k.</w:t>
      </w:r>
    </w:p>
    <w:p>
      <w:pPr>
        <w:pStyle w:val="Heading2"/>
      </w:pPr>
      <w:r>
        <w:rPr>
          <w:rFonts w:ascii="Calibri" w:hAnsi="Calibri"/>
          <w:color w:val="0F172A"/>
          <w:sz w:val="26"/>
        </w:rPr>
        <w:t>8.2 Scenario 2: Renewal Quote (normal)</w:t>
      </w:r>
    </w:p>
    <w:p>
      <w:r>
        <w:rPr>
          <w:b/>
          <w:sz w:val="22"/>
        </w:rPr>
        <w:t>Client: SecureFinance Holdings (Pty) Ltd</w:t>
      </w:r>
    </w:p>
    <w:p>
      <w:r>
        <w:t>Industry: Insurance Agents, Brokers, and Service</w:t>
        <w:br/>
        <w:t>Previous Turnover: R60,000,000</w:t>
        <w:br/>
        <w:t>Current Estimated: R65,000,000</w:t>
        <w:br/>
        <w:t>Current Cover: R7.5M at R32,000/yr, FP sub-limit R500,000</w:t>
        <w:br/>
        <w:t>All underwriting questions: Yes</w:t>
      </w:r>
    </w:p>
    <w:p>
      <w:pPr>
        <w:pStyle w:val="Heading3"/>
      </w:pPr>
      <w:r>
        <w:rPr>
          <w:rFonts w:ascii="Calibri" w:hAnsi="Calibri"/>
          <w:color w:val="0F172A"/>
        </w:rPr>
        <w:t>Walkthrough:</w:t>
      </w:r>
    </w:p>
    <w:p>
      <w:r>
        <w:rPr>
          <w:b/>
          <w:color w:val="F97316"/>
        </w:rPr>
        <w:t xml:space="preserve">Step 1: </w:t>
      </w:r>
      <w:r>
        <w:rPr>
          <w:sz w:val="22"/>
        </w:rPr>
        <w:t>Enter details and select 'Renewal' as Quote Type.</w:t>
      </w:r>
    </w:p>
    <w:p>
      <w:pPr>
        <w:ind w:left="567"/>
      </w:pPr>
      <w:r>
        <w:rPr>
          <w:color w:val="64748B"/>
          <w:sz w:val="20"/>
        </w:rPr>
        <w:t>Actual Turnover = (R60M + R65M) / 2 = R62.5M. Revenue Band: R50M–R75M (Band 4). Enter Current Cover Limit: R7.5M, Current Premium: R32,000, Current FP Sub-limit: R500,000. Q9 is auto-set to Yes and locked. Market condition: Softening 2026.</w:t>
      </w:r>
    </w:p>
    <w:p>
      <w:r>
        <w:rPr>
          <w:b/>
          <w:color w:val="F97316"/>
        </w:rPr>
        <w:t xml:space="preserve">Step 2: </w:t>
      </w:r>
      <w:r>
        <w:rPr>
          <w:sz w:val="22"/>
        </w:rPr>
        <w:t>Engine pins R7.5M as 'Current Cover • Recommended' and adds R10M + R15M as Upgrade Options.</w:t>
      </w:r>
    </w:p>
    <w:p>
      <w:pPr>
        <w:ind w:left="567"/>
      </w:pPr>
      <w:r>
        <w:rPr>
          <w:color w:val="64748B"/>
          <w:sz w:val="20"/>
        </w:rPr>
        <w:t>The new premium at R7.5M/R500k FP is around R28,450 — that is only an 11% drop from R32,000, so Premium-drop Protection does not trigger. R7.5M auto-selects. The underwriter can also add R10M from the Upgrade Option cards to present an upsell path.</w:t>
      </w:r>
    </w:p>
    <w:p>
      <w:pPr>
        <w:pStyle w:val="Heading4"/>
      </w:pPr>
      <w:r>
        <w:rPr>
          <w:rFonts w:ascii="Calibri" w:hAnsi="Calibri"/>
          <w:color w:val="0F172A"/>
        </w:rPr>
        <w:t>Step 3 Detail: Comparison Table (Renewal)</w:t>
      </w:r>
    </w:p>
    <w:p>
      <w:r>
        <w:t>For renewals, the comparison shows 'Existing Policy' instead of 'Industry Benchmark'. FP equivalent is Yes, so full premium (with FP) is compared: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60" w:left="80" w:bottom="60" w:right="80"/>
            <w:shd w:fill="0F172A"/>
          </w:tcPr>
          <w:p>
            <w:pPr>
              <w:jc w:val="center"/>
            </w:pPr>
            <w:r>
              <w:rPr>
                <w:rFonts w:ascii="Calibri" w:hAnsi="Calibri"/>
                <w:b/>
                <w:color w:val="FFFFFF"/>
                <w:sz w:val="20"/>
              </w:rPr>
              <w:t>Cover</w:t>
            </w:r>
          </w:p>
        </w:tc>
        <w:tc>
          <w:tcPr>
            <w:tcW w:type="dxa" w:w="2340"/>
            <w:tcMar w:top="60" w:left="80" w:bottom="60" w:right="80"/>
            <w:shd w:fill="0F172A"/>
          </w:tcPr>
          <w:p>
            <w:pPr>
              <w:jc w:val="center"/>
            </w:pPr>
            <w:r>
              <w:rPr>
                <w:rFonts w:ascii="Calibri" w:hAnsi="Calibri"/>
                <w:b/>
                <w:color w:val="FFFFFF"/>
                <w:sz w:val="20"/>
              </w:rPr>
              <w:t>Phishield (with FP)</w:t>
            </w:r>
          </w:p>
        </w:tc>
        <w:tc>
          <w:tcPr>
            <w:tcW w:type="dxa" w:w="2340"/>
            <w:tcMar w:top="60" w:left="80" w:bottom="60" w:right="80"/>
            <w:shd w:fill="0F172A"/>
          </w:tcPr>
          <w:p>
            <w:pPr>
              <w:jc w:val="center"/>
            </w:pPr>
            <w:r>
              <w:rPr>
                <w:rFonts w:ascii="Calibri" w:hAnsi="Calibri"/>
                <w:b/>
                <w:color w:val="FFFFFF"/>
                <w:sz w:val="20"/>
              </w:rPr>
              <w:t>Existing Policy</w:t>
            </w:r>
          </w:p>
        </w:tc>
        <w:tc>
          <w:tcPr>
            <w:tcW w:type="dxa" w:w="2340"/>
            <w:tcMar w:top="60" w:left="80" w:bottom="60" w:right="80"/>
            <w:shd w:fill="0F172A"/>
          </w:tcPr>
          <w:p>
            <w:pPr>
              <w:jc w:val="center"/>
            </w:pPr>
            <w:r>
              <w:rPr>
                <w:rFonts w:ascii="Calibri" w:hAnsi="Calibri"/>
                <w:b/>
                <w:color w:val="FFFFFF"/>
                <w:sz w:val="20"/>
              </w:rPr>
              <w:t>Delta</w:t>
            </w:r>
          </w:p>
        </w:tc>
      </w:tr>
      <w:tr>
        <w:tc>
          <w:tcPr>
            <w:tcW w:type="dxa" w:w="2340"/>
            <w:tcMar w:top="60" w:left="80" w:bottom="60" w:right="80"/>
          </w:tcPr>
          <w:p>
            <w:r>
              <w:rPr>
                <w:rFonts w:ascii="Calibri" w:hAnsi="Calibri"/>
                <w:sz w:val="20"/>
              </w:rPr>
              <w:t>R7.5M (like-for-like)</w:t>
            </w:r>
          </w:p>
        </w:tc>
        <w:tc>
          <w:tcPr>
            <w:tcW w:type="dxa" w:w="2340"/>
            <w:tcMar w:top="60" w:left="80" w:bottom="60" w:right="80"/>
          </w:tcPr>
          <w:p>
            <w:r>
              <w:rPr>
                <w:rFonts w:ascii="Calibri" w:hAnsi="Calibri"/>
                <w:sz w:val="20"/>
              </w:rPr>
              <w:t>R28,450</w:t>
            </w:r>
          </w:p>
        </w:tc>
        <w:tc>
          <w:tcPr>
            <w:tcW w:type="dxa" w:w="2340"/>
            <w:tcMar w:top="60" w:left="80" w:bottom="60" w:right="80"/>
          </w:tcPr>
          <w:p>
            <w:r>
              <w:rPr>
                <w:rFonts w:ascii="Calibri" w:hAnsi="Calibri"/>
                <w:sz w:val="20"/>
              </w:rPr>
              <w:t>R32,000</w:t>
            </w:r>
          </w:p>
        </w:tc>
        <w:tc>
          <w:tcPr>
            <w:tcW w:type="dxa" w:w="2340"/>
            <w:tcMar w:top="60" w:left="80" w:bottom="60" w:right="80"/>
          </w:tcPr>
          <w:p>
            <w:r>
              <w:rPr>
                <w:rFonts w:ascii="Calibri" w:hAnsi="Calibri"/>
                <w:sz w:val="20"/>
              </w:rPr>
              <w:t>-R3,550 (-11.1%)</w:t>
            </w:r>
          </w:p>
        </w:tc>
      </w:tr>
      <w:tr>
        <w:tc>
          <w:tcPr>
            <w:tcW w:type="dxa" w:w="2340"/>
            <w:tcMar w:top="60" w:left="80" w:bottom="60" w:right="80"/>
            <w:shd w:fill="F1F5F9"/>
          </w:tcPr>
          <w:p>
            <w:r>
              <w:rPr>
                <w:rFonts w:ascii="Calibri" w:hAnsi="Calibri"/>
                <w:sz w:val="20"/>
              </w:rPr>
              <w:t>R10M (upgrade)</w:t>
            </w:r>
          </w:p>
        </w:tc>
        <w:tc>
          <w:tcPr>
            <w:tcW w:type="dxa" w:w="2340"/>
            <w:tcMar w:top="60" w:left="80" w:bottom="60" w:right="80"/>
            <w:shd w:fill="F1F5F9"/>
          </w:tcPr>
          <w:p>
            <w:r>
              <w:rPr>
                <w:rFonts w:ascii="Calibri" w:hAnsi="Calibri"/>
                <w:sz w:val="20"/>
              </w:rPr>
              <w:t>R35,200</w:t>
            </w:r>
          </w:p>
        </w:tc>
        <w:tc>
          <w:tcPr>
            <w:tcW w:type="dxa" w:w="2340"/>
            <w:tcMar w:top="60" w:left="80" w:bottom="60" w:right="80"/>
            <w:shd w:fill="F1F5F9"/>
          </w:tcPr>
          <w:p>
            <w:r>
              <w:rPr>
                <w:rFonts w:ascii="Calibri" w:hAnsi="Calibri"/>
                <w:sz w:val="20"/>
              </w:rPr>
              <w:t>R32,000</w:t>
            </w:r>
          </w:p>
        </w:tc>
        <w:tc>
          <w:tcPr>
            <w:tcW w:type="dxa" w:w="2340"/>
            <w:tcMar w:top="60" w:left="80" w:bottom="60" w:right="80"/>
            <w:shd w:fill="F1F5F9"/>
          </w:tcPr>
          <w:p>
            <w:r>
              <w:rPr>
                <w:rFonts w:ascii="Calibri" w:hAnsi="Calibri"/>
                <w:sz w:val="20"/>
              </w:rPr>
              <w:t>+R3,200 (+10.0%)</w:t>
            </w:r>
          </w:p>
        </w:tc>
      </w:tr>
    </w:tbl>
    <w:p/>
    <w:p>
      <w:r>
        <w:t>The R7.5M renewal shows a green delta — the client saves R3,550 on a like-for-like renewal in the softening market. The R10M upgrade is only R3,200 more than their current premium, giving them 33% more cover for a small increase.</w:t>
      </w:r>
    </w:p>
    <w:p>
      <w:pPr>
        <w:pStyle w:val="Heading4"/>
      </w:pPr>
      <w:r>
        <w:rPr>
          <w:rFonts w:ascii="Calibri" w:hAnsi="Calibri"/>
          <w:color w:val="0F172A"/>
        </w:rPr>
        <w:t>Step 4 Detail: Discount Calculation (Renewal)</w:t>
      </w:r>
    </w:p>
    <w:p>
      <w:r>
        <w:t>Apply a 5% discretionary discount to sweeten the renewal offer: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Pre-Discount</w:t>
            </w:r>
          </w:p>
        </w:tc>
        <w:tc>
          <w:tcPr>
            <w:tcW w:type="dxa" w:w="1872"/>
            <w:tcMar w:top="60" w:left="80" w:bottom="60" w:right="80"/>
            <w:shd w:fill="0F172A"/>
          </w:tcPr>
          <w:p>
            <w:pPr>
              <w:jc w:val="center"/>
            </w:pPr>
            <w:r>
              <w:rPr>
                <w:rFonts w:ascii="Calibri" w:hAnsi="Calibri"/>
                <w:b/>
                <w:color w:val="FFFFFF"/>
                <w:sz w:val="20"/>
              </w:rPr>
              <w:t>Discretionary (5%)</w:t>
            </w:r>
          </w:p>
        </w:tc>
        <w:tc>
          <w:tcPr>
            <w:tcW w:type="dxa" w:w="1872"/>
            <w:tcMar w:top="60" w:left="80" w:bottom="60" w:right="80"/>
            <w:shd w:fill="0F172A"/>
          </w:tcPr>
          <w:p>
            <w:pPr>
              <w:jc w:val="center"/>
            </w:pPr>
            <w:r>
              <w:rPr>
                <w:rFonts w:ascii="Calibri" w:hAnsi="Calibri"/>
                <w:b/>
                <w:color w:val="FFFFFF"/>
                <w:sz w:val="20"/>
              </w:rPr>
              <w:t>Final Annual</w:t>
            </w:r>
          </w:p>
        </w:tc>
        <w:tc>
          <w:tcPr>
            <w:tcW w:type="dxa" w:w="1872"/>
            <w:tcMar w:top="60" w:left="80" w:bottom="60" w:right="80"/>
            <w:shd w:fill="0F172A"/>
          </w:tcPr>
          <w:p>
            <w:pPr>
              <w:jc w:val="center"/>
            </w:pPr>
            <w:r>
              <w:rPr>
                <w:rFonts w:ascii="Calibri" w:hAnsi="Calibri"/>
                <w:b/>
                <w:color w:val="FFFFFF"/>
                <w:sz w:val="20"/>
              </w:rPr>
              <w:t>Final Monthly</w:t>
            </w:r>
          </w:p>
        </w:tc>
      </w:tr>
      <w:tr>
        <w:tc>
          <w:tcPr>
            <w:tcW w:type="dxa" w:w="1872"/>
            <w:tcMar w:top="60" w:left="80" w:bottom="60" w:right="80"/>
          </w:tcPr>
          <w:p>
            <w:r>
              <w:rPr>
                <w:rFonts w:ascii="Calibri" w:hAnsi="Calibri"/>
                <w:sz w:val="20"/>
              </w:rPr>
              <w:t>R7.5M</w:t>
            </w:r>
          </w:p>
        </w:tc>
        <w:tc>
          <w:tcPr>
            <w:tcW w:type="dxa" w:w="1872"/>
            <w:tcMar w:top="60" w:left="80" w:bottom="60" w:right="80"/>
          </w:tcPr>
          <w:p>
            <w:r>
              <w:rPr>
                <w:rFonts w:ascii="Calibri" w:hAnsi="Calibri"/>
                <w:sz w:val="20"/>
              </w:rPr>
              <w:t>R28,450</w:t>
            </w:r>
          </w:p>
        </w:tc>
        <w:tc>
          <w:tcPr>
            <w:tcW w:type="dxa" w:w="1872"/>
            <w:tcMar w:top="60" w:left="80" w:bottom="60" w:right="80"/>
          </w:tcPr>
          <w:p>
            <w:r>
              <w:rPr>
                <w:rFonts w:ascii="Calibri" w:hAnsi="Calibri"/>
                <w:sz w:val="20"/>
              </w:rPr>
              <w:t>R28,450 x (1 - 0.05) = R27,028</w:t>
            </w:r>
          </w:p>
        </w:tc>
        <w:tc>
          <w:tcPr>
            <w:tcW w:type="dxa" w:w="1872"/>
            <w:tcMar w:top="60" w:left="80" w:bottom="60" w:right="80"/>
          </w:tcPr>
          <w:p>
            <w:r>
              <w:rPr>
                <w:rFonts w:ascii="Calibri" w:hAnsi="Calibri"/>
                <w:sz w:val="20"/>
              </w:rPr>
              <w:t>R27,028</w:t>
            </w:r>
          </w:p>
        </w:tc>
        <w:tc>
          <w:tcPr>
            <w:tcW w:type="dxa" w:w="1872"/>
            <w:tcMar w:top="60" w:left="80" w:bottom="60" w:right="80"/>
          </w:tcPr>
          <w:p>
            <w:r>
              <w:rPr>
                <w:rFonts w:ascii="Calibri" w:hAnsi="Calibri"/>
                <w:sz w:val="20"/>
              </w:rPr>
              <w:t>R2,252</w:t>
            </w:r>
          </w:p>
        </w:tc>
      </w:tr>
      <w:tr>
        <w:tc>
          <w:tcPr>
            <w:tcW w:type="dxa" w:w="1872"/>
            <w:tcMar w:top="60" w:left="80" w:bottom="60" w:right="80"/>
            <w:shd w:fill="F1F5F9"/>
          </w:tcPr>
          <w:p>
            <w:r>
              <w:rPr>
                <w:rFonts w:ascii="Calibri" w:hAnsi="Calibri"/>
                <w:sz w:val="20"/>
              </w:rPr>
              <w:t>R10M</w:t>
            </w:r>
          </w:p>
        </w:tc>
        <w:tc>
          <w:tcPr>
            <w:tcW w:type="dxa" w:w="1872"/>
            <w:tcMar w:top="60" w:left="80" w:bottom="60" w:right="80"/>
            <w:shd w:fill="F1F5F9"/>
          </w:tcPr>
          <w:p>
            <w:r>
              <w:rPr>
                <w:rFonts w:ascii="Calibri" w:hAnsi="Calibri"/>
                <w:sz w:val="20"/>
              </w:rPr>
              <w:t>R35,200</w:t>
            </w:r>
          </w:p>
        </w:tc>
        <w:tc>
          <w:tcPr>
            <w:tcW w:type="dxa" w:w="1872"/>
            <w:tcMar w:top="60" w:left="80" w:bottom="60" w:right="80"/>
            <w:shd w:fill="F1F5F9"/>
          </w:tcPr>
          <w:p>
            <w:r>
              <w:rPr>
                <w:rFonts w:ascii="Calibri" w:hAnsi="Calibri"/>
                <w:sz w:val="20"/>
              </w:rPr>
              <w:t>R35,200 x (1 - 0.05) = R33,440</w:t>
            </w:r>
          </w:p>
        </w:tc>
        <w:tc>
          <w:tcPr>
            <w:tcW w:type="dxa" w:w="1872"/>
            <w:tcMar w:top="60" w:left="80" w:bottom="60" w:right="80"/>
            <w:shd w:fill="F1F5F9"/>
          </w:tcPr>
          <w:p>
            <w:r>
              <w:rPr>
                <w:rFonts w:ascii="Calibri" w:hAnsi="Calibri"/>
                <w:sz w:val="20"/>
              </w:rPr>
              <w:t>R33,440</w:t>
            </w:r>
          </w:p>
        </w:tc>
        <w:tc>
          <w:tcPr>
            <w:tcW w:type="dxa" w:w="1872"/>
            <w:tcMar w:top="60" w:left="80" w:bottom="60" w:right="80"/>
            <w:shd w:fill="F1F5F9"/>
          </w:tcPr>
          <w:p>
            <w:r>
              <w:rPr>
                <w:rFonts w:ascii="Calibri" w:hAnsi="Calibri"/>
                <w:sz w:val="20"/>
              </w:rPr>
              <w:t>R2,787</w:t>
            </w:r>
          </w:p>
        </w:tc>
      </w:tr>
    </w:tbl>
    <w:p/>
    <w:p>
      <w:r>
        <w:t>After discount, R7.5M is now R4,972 below the existing premium (-15.5%). R10M at R33,440 is now only R1,440 above the existing premium (+4.5%) — a compelling upgrade pitch. The comparison bars show deep green for both.</w:t>
      </w:r>
    </w:p>
    <w:p>
      <w:r>
        <w:rPr>
          <w:b/>
          <w:color w:val="F97316"/>
        </w:rPr>
        <w:t xml:space="preserve">Step 5: </w:t>
      </w:r>
      <w:r>
        <w:rPr>
          <w:sz w:val="22"/>
        </w:rPr>
        <w:t>Export both options for the broker.</w:t>
      </w:r>
    </w:p>
    <w:p>
      <w:pPr>
        <w:ind w:left="567"/>
      </w:pPr>
      <w:r>
        <w:rPr>
          <w:color w:val="64748B"/>
          <w:sz w:val="20"/>
        </w:rPr>
        <w:t>The renewal badge, market condition, and existing FP sub-limit are shown on the PDF.</w:t>
      </w:r>
    </w:p>
    <w:p>
      <w:pPr>
        <w:pStyle w:val="Heading2"/>
      </w:pPr>
      <w:r>
        <w:rPr>
          <w:rFonts w:ascii="Calibri" w:hAnsi="Calibri"/>
          <w:color w:val="0F172A"/>
          <w:sz w:val="26"/>
        </w:rPr>
        <w:t>8.2b Scenario 2b: Renewal — Premium-drop Protection triggered (adjacent target)</w:t>
      </w:r>
    </w:p>
    <w:p>
      <w:r>
        <w:rPr>
          <w:b/>
          <w:sz w:val="22"/>
        </w:rPr>
        <w:t>Client: Acme Transport (Pty) Ltd</w:t>
      </w:r>
    </w:p>
    <w:p>
      <w:r>
        <w:t>Industry: Railroad Transportation</w:t>
        <w:br/>
        <w:t>Previous Turnover: R15,000,000</w:t>
        <w:br/>
        <w:t>Current Estimated: R18,000,000</w:t>
        <w:br/>
        <w:t>Current Cover: R5M at R18,000/yr, FP sub-limit R250,000</w:t>
        <w:br/>
        <w:t>All underwriting questions: Yes</w:t>
      </w:r>
    </w:p>
    <w:p>
      <w:pPr>
        <w:pStyle w:val="Heading3"/>
      </w:pPr>
      <w:r>
        <w:rPr>
          <w:rFonts w:ascii="Calibri" w:hAnsi="Calibri"/>
          <w:color w:val="0F172A"/>
        </w:rPr>
        <w:t>Walkthrough:</w:t>
      </w:r>
    </w:p>
    <w:p>
      <w:r>
        <w:rPr>
          <w:b/>
          <w:color w:val="F97316"/>
        </w:rPr>
        <w:t xml:space="preserve">Step 1: </w:t>
      </w:r>
      <w:r>
        <w:rPr>
          <w:sz w:val="22"/>
        </w:rPr>
        <w:t>Enter details and select 'Renewal'. Fill all three renewal fields.</w:t>
      </w:r>
    </w:p>
    <w:p>
      <w:pPr>
        <w:ind w:left="567"/>
      </w:pPr>
      <w:r>
        <w:rPr>
          <w:color w:val="64748B"/>
          <w:sz w:val="20"/>
        </w:rPr>
        <w:t>Current Cover Limit: R5M, Current Premium: R18,000, Current FP Sub-limit: R250,000.</w:t>
      </w:r>
    </w:p>
    <w:p>
      <w:r>
        <w:rPr>
          <w:b/>
          <w:color w:val="F97316"/>
        </w:rPr>
        <w:t xml:space="preserve">Step 2: </w:t>
      </w:r>
      <w:r>
        <w:rPr>
          <w:sz w:val="22"/>
        </w:rPr>
        <w:t>Click Continue — Step 2 fires the Premium-drop Protection rule.</w:t>
      </w:r>
    </w:p>
    <w:p>
      <w:pPr>
        <w:ind w:left="567"/>
      </w:pPr>
      <w:r>
        <w:rPr>
          <w:color w:val="64748B"/>
          <w:sz w:val="20"/>
        </w:rPr>
        <w:t>New premium at R5M/R250k FP calculates to approximately R11,052. That is ~39% below existing (R18,000) — past the 20% threshold — so the rule fires. The algorithm lands on R7.5M as the lowest cover reaching 90% retention. R7.5M is ADJACENT to R5M so the standard Reference + Recommended + one-above-target Alternative card set is used:</w:t>
      </w:r>
    </w:p>
    <w:p>
      <w:pPr>
        <w:pStyle w:val="ListBullet"/>
      </w:pPr>
      <w:r>
        <w:t>R5M as 'Reference — Not Recommended' (dimmed, not pre-selected)</w:t>
      </w:r>
    </w:p>
    <w:p>
      <w:pPr>
        <w:pStyle w:val="ListBullet"/>
      </w:pPr>
      <w:r>
        <w:t>R7.5M as 'Recommended' (lowest cover where new premium ≥ 90% of R18,000) — auto-selected</w:t>
      </w:r>
    </w:p>
    <w:p>
      <w:pPr>
        <w:pStyle w:val="ListBullet"/>
      </w:pPr>
      <w:r>
        <w:t>R10M as 'Alternative' (one step further upsell)</w:t>
      </w:r>
    </w:p>
    <w:p>
      <w:pPr>
        <w:pStyle w:val="ListBullet"/>
      </w:pPr>
      <w:r>
        <w:t>Critical-severity banner summarising the premium drop and the adjusted recommendation</w:t>
      </w:r>
    </w:p>
    <w:p>
      <w:pPr>
        <w:spacing w:before="200" w:after="200"/>
        <w:ind w:left="567" w:right="283"/>
      </w:pPr>
      <w:r>
        <w:rPr>
          <w:b/>
          <w:color w:val="1E40AF"/>
          <w:sz w:val="20"/>
        </w:rPr>
        <w:t xml:space="preserve">NOTE: </w:t>
      </w:r>
      <w:r>
        <w:rPr>
          <w:color w:val="64748B"/>
          <w:sz w:val="20"/>
        </w:rPr>
        <w:t>The auto-selection moves from R5M to R7.5M so the underwriter starts from the protective default. If the underwriter disagrees they can click R5M (Reference) to add it to the quote anyway — the rule surfaces the decision, it does not enforce it.</w:t>
      </w:r>
    </w:p>
    <w:p>
      <w:r>
        <w:rPr>
          <w:b/>
          <w:color w:val="F97316"/>
        </w:rPr>
        <w:t xml:space="preserve">Step 3: </w:t>
      </w:r>
      <w:r>
        <w:rPr>
          <w:sz w:val="22"/>
        </w:rPr>
        <w:t>The Step 4 UW Conditions Panel and Step 5 PDF audit trail both include the 'Premium Loss Risk on Renewal' note.</w:t>
      </w:r>
    </w:p>
    <w:p>
      <w:pPr>
        <w:ind w:left="567"/>
      </w:pPr>
      <w:r>
        <w:rPr>
          <w:color w:val="64748B"/>
          <w:sz w:val="20"/>
        </w:rPr>
        <w:t>This creates a written record that the adjustment was considered — useful for compliance and broker conversations.</w:t>
      </w:r>
    </w:p>
    <w:p>
      <w:pPr>
        <w:pStyle w:val="Heading2"/>
      </w:pPr>
      <w:r>
        <w:rPr>
          <w:rFonts w:ascii="Calibri" w:hAnsi="Calibri"/>
          <w:color w:val="0F172A"/>
          <w:sz w:val="26"/>
        </w:rPr>
        <w:t>8.2c Scenario 2c: Renewal — Premium-drop Protection triggered (ladder gap)</w:t>
      </w:r>
    </w:p>
    <w:p>
      <w:r>
        <w:rPr>
          <w:b/>
          <w:sz w:val="22"/>
        </w:rPr>
        <w:t>Client: CapitalStream Real Estate Finance (Pty) Ltd</w:t>
      </w:r>
    </w:p>
    <w:p>
      <w:r>
        <w:t>Industry: Finance, Insurance and Real Estate — Real Estate</w:t>
        <w:br/>
        <w:t>Previous Turnover: R65,000,000</w:t>
        <w:br/>
        <w:t>Current Estimated: R75,000,000</w:t>
        <w:br/>
        <w:t>Current Cover: R5M at R45,000/yr, FP sub-limit R250,000</w:t>
        <w:br/>
        <w:t>Q3 = No, Q5 = No (2 No answers — within the grace of two, no UW loading applied)</w:t>
      </w:r>
    </w:p>
    <w:p>
      <w:pPr>
        <w:pStyle w:val="Heading3"/>
      </w:pPr>
      <w:r>
        <w:rPr>
          <w:rFonts w:ascii="Calibri" w:hAnsi="Calibri"/>
          <w:color w:val="0F172A"/>
        </w:rPr>
        <w:t>Walkthrough:</w:t>
      </w:r>
    </w:p>
    <w:p>
      <w:r>
        <w:rPr>
          <w:b/>
          <w:color w:val="F97316"/>
        </w:rPr>
        <w:t xml:space="preserve">Step 1: </w:t>
      </w:r>
      <w:r>
        <w:rPr>
          <w:sz w:val="22"/>
        </w:rPr>
        <w:t>Enter details and select 'Renewal'. Fill all three renewal fields.</w:t>
      </w:r>
    </w:p>
    <w:p>
      <w:pPr>
        <w:ind w:left="567"/>
      </w:pPr>
      <w:r>
        <w:rPr>
          <w:color w:val="64748B"/>
          <w:sz w:val="20"/>
        </w:rPr>
        <w:t>Current Cover: R5M, Current Premium: R45,000, Current FP Sub-limit: R250,000. Turnover R70M lands in Band 4 (R50M–R75M). Finance industry modifier applies.</w:t>
      </w:r>
    </w:p>
    <w:p>
      <w:r>
        <w:rPr>
          <w:b/>
          <w:color w:val="F97316"/>
        </w:rPr>
        <w:t xml:space="preserve">Step 2: </w:t>
      </w:r>
      <w:r>
        <w:rPr>
          <w:sz w:val="22"/>
        </w:rPr>
        <w:t>Click Continue — the rule fires, and the target is more than one step above existing.</w:t>
      </w:r>
    </w:p>
    <w:p>
      <w:pPr>
        <w:ind w:left="567"/>
      </w:pPr>
      <w:r>
        <w:rPr>
          <w:color w:val="64748B"/>
          <w:sz w:val="20"/>
        </w:rPr>
        <w:t>New premium at R5M/R250k FP is approximately R29,800 (about 34% below R45,000). The algorithm searches upward: R7.5M at matched FP (auto-bumped to R500k minimum) produces approximately R36,000 — that's around 80% retention, still below the 90% bar. R10M at matched FP (R500k) produces approximately R41,500 — ≥90% retention, so R10M becomes the Recommended target. Because the target (R10M) is TWO steps above the existing (R5M), the ladder-gap logic kicks in and the card set becomes:</w:t>
      </w:r>
    </w:p>
    <w:p>
      <w:pPr>
        <w:pStyle w:val="ListBullet"/>
      </w:pPr>
      <w:r>
        <w:t>R5M as 'Reference — Not Recommended'</w:t>
      </w:r>
    </w:p>
    <w:p>
      <w:pPr>
        <w:pStyle w:val="ListBullet"/>
      </w:pPr>
      <w:r>
        <w:t>R7.5M as 'Alternative' with a retention-percentage badge (around 80%) — the intermediate rung</w:t>
      </w:r>
    </w:p>
    <w:p>
      <w:pPr>
        <w:pStyle w:val="ListBullet"/>
      </w:pPr>
      <w:r>
        <w:t>R10M as 'Recommended' — auto-selected</w:t>
      </w:r>
    </w:p>
    <w:p>
      <w:pPr>
        <w:pStyle w:val="ListBullet"/>
      </w:pPr>
      <w:r>
        <w:t>R15M is NOT shown — the above-target Alternative is dropped when there are intermediate Alternatives</w:t>
      </w:r>
    </w:p>
    <w:p>
      <w:pPr>
        <w:spacing w:before="200" w:after="200"/>
        <w:ind w:left="567" w:right="283"/>
      </w:pPr>
      <w:r>
        <w:rPr>
          <w:b/>
          <w:color w:val="059669"/>
          <w:sz w:val="20"/>
        </w:rPr>
        <w:t xml:space="preserve">TIP: </w:t>
      </w:r>
      <w:r>
        <w:rPr>
          <w:color w:val="64748B"/>
          <w:sz w:val="20"/>
        </w:rPr>
        <w:t>R7.5M is the natural conversation rung: the client will often prefer a one-notch upgrade over a two-notch jump. The retention badge on R7.5M tells the underwriter exactly how close it sits to the 90% bar — a small discretionary adjustment on Step 4, or an FP tier bump (e.g. R500k → R1M), can often close the gap. Live FP updates on Step 2 mean the underwriter can click the FP tier buttons and watch the retention badge move in real time. The Recommended R10M remains the default so the protective option is always pre-selected.</w:t>
      </w:r>
    </w:p>
    <w:p>
      <w:r>
        <w:rPr>
          <w:b/>
          <w:sz w:val="22"/>
        </w:rPr>
        <w:t>Variant: Corporate escalation with full ladder visible</w:t>
      </w:r>
    </w:p>
    <w:p>
      <w:r>
        <w:t>If the existing premium was so high that even the highest available SME cover (R15M) still fell below 90% retention, the banner upgrades to 'Premium loss risk — Corporate referral suggested'. The ladder-gap logic still applies — every intermediate cover between the existing and R15M (the max-available target) appears as an Alternative with its retention badge. This gives the underwriter a complete picture of how SME cover falls short and strengthens the case for conversion to a Corporate product (requires senior-underwriter referral).</w:t>
      </w:r>
    </w:p>
    <w:p>
      <w:pPr>
        <w:pStyle w:val="Heading2"/>
      </w:pPr>
      <w:r>
        <w:rPr>
          <w:rFonts w:ascii="Calibri" w:hAnsi="Calibri"/>
          <w:color w:val="0F172A"/>
          <w:sz w:val="26"/>
        </w:rPr>
        <w:t>8.3 Scenario 3: Competing Quote</w:t>
      </w:r>
    </w:p>
    <w:p>
      <w:r>
        <w:rPr>
          <w:b/>
          <w:sz w:val="22"/>
        </w:rPr>
        <w:t>Client: GreenRetail (Pty) Ltd</w:t>
      </w:r>
    </w:p>
    <w:p>
      <w:r>
        <w:t>Industry: General Merchandise Stores</w:t>
        <w:br/>
        <w:t>Previous Turnover: R30,000,000</w:t>
        <w:br/>
        <w:t>Current Estimated: R35,000,000</w:t>
        <w:br/>
        <w:t>Competitor: Guardrisk at R18,500 for R5M cover (no FP equivalent)</w:t>
        <w:br/>
        <w:t>Q3 = No, Q4 = No, Q5 = No (3 'No' answers — past the grace of 2, 5% loading applies)</w:t>
      </w:r>
    </w:p>
    <w:p>
      <w:pPr>
        <w:pStyle w:val="Heading3"/>
      </w:pPr>
      <w:r>
        <w:rPr>
          <w:rFonts w:ascii="Calibri" w:hAnsi="Calibri"/>
          <w:color w:val="0F172A"/>
        </w:rPr>
        <w:t>Walkthrough:</w:t>
      </w:r>
    </w:p>
    <w:p>
      <w:r>
        <w:rPr>
          <w:b/>
          <w:color w:val="F97316"/>
        </w:rPr>
        <w:t xml:space="preserve">Step 1: </w:t>
      </w:r>
      <w:r>
        <w:rPr>
          <w:sz w:val="22"/>
        </w:rPr>
        <w:t>Enter details. Select 'Competing Quote' as Quote Type.</w:t>
      </w:r>
    </w:p>
    <w:p>
      <w:pPr>
        <w:ind w:left="567"/>
      </w:pPr>
      <w:r>
        <w:rPr>
          <w:color w:val="64748B"/>
          <w:sz w:val="20"/>
        </w:rPr>
        <w:t>Actual Turnover = (R30M + R35M) / 2 = R32.5M. Revenue Band: R25M–R50M (Band 3). Q3 = No, Q4 = No, Q5 = No: 3 'No' answers out of the Q2.1–Q5 pool = 5% loading applied. Industry modifier: 1.00 (Retail Trade).</w:t>
      </w:r>
    </w:p>
    <w:p>
      <w:r>
        <w:rPr>
          <w:b/>
          <w:color w:val="F97316"/>
        </w:rPr>
        <w:t xml:space="preserve">Step 2: </w:t>
      </w:r>
      <w:r>
        <w:rPr>
          <w:sz w:val="22"/>
        </w:rPr>
        <w:t>Select R5M cover. Micro SME applies (turnover &lt; R50M, cover &lt;= R5M).</w:t>
      </w:r>
    </w:p>
    <w:p>
      <w:pPr>
        <w:ind w:left="567"/>
      </w:pPr>
      <w:r>
        <w:rPr>
          <w:color w:val="64748B"/>
          <w:sz w:val="20"/>
        </w:rPr>
        <w:t>Base premium: R7,908 x 1.00 (modifier) x 1.05 (loading) = R8,303 + R3,144 FP = R11,447/yr.</w:t>
      </w:r>
    </w:p>
    <w:p>
      <w:pPr>
        <w:pStyle w:val="Heading4"/>
      </w:pPr>
      <w:r>
        <w:rPr>
          <w:rFonts w:ascii="Calibri" w:hAnsi="Calibri"/>
          <w:color w:val="0F172A"/>
        </w:rPr>
        <w:t>Step 3 Detail: Comparison Table (Competing Quote)</w:t>
      </w:r>
    </w:p>
    <w:p>
      <w:r>
        <w:t>Competitor details entered. FP equivalent = No, so Phishield ex-FP is used for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60" w:left="80" w:bottom="60" w:right="80"/>
            <w:shd w:fill="0F172A"/>
          </w:tcPr>
          <w:p>
            <w:pPr>
              <w:jc w:val="center"/>
            </w:pPr>
            <w:r>
              <w:rPr>
                <w:rFonts w:ascii="Calibri" w:hAnsi="Calibri"/>
                <w:b/>
                <w:color w:val="FFFFFF"/>
                <w:sz w:val="20"/>
              </w:rPr>
              <w:t>Cover</w:t>
            </w:r>
          </w:p>
        </w:tc>
        <w:tc>
          <w:tcPr>
            <w:tcW w:type="dxa" w:w="1872"/>
            <w:tcMar w:top="60" w:left="80" w:bottom="60" w:right="80"/>
            <w:shd w:fill="0F172A"/>
          </w:tcPr>
          <w:p>
            <w:pPr>
              <w:jc w:val="center"/>
            </w:pPr>
            <w:r>
              <w:rPr>
                <w:rFonts w:ascii="Calibri" w:hAnsi="Calibri"/>
                <w:b/>
                <w:color w:val="FFFFFF"/>
                <w:sz w:val="20"/>
              </w:rPr>
              <w:t>Phishield (with FP)</w:t>
            </w:r>
          </w:p>
        </w:tc>
        <w:tc>
          <w:tcPr>
            <w:tcW w:type="dxa" w:w="1872"/>
            <w:tcMar w:top="60" w:left="80" w:bottom="60" w:right="80"/>
            <w:shd w:fill="0F172A"/>
          </w:tcPr>
          <w:p>
            <w:pPr>
              <w:jc w:val="center"/>
            </w:pPr>
            <w:r>
              <w:rPr>
                <w:rFonts w:ascii="Calibri" w:hAnsi="Calibri"/>
                <w:b/>
                <w:color w:val="FFFFFF"/>
                <w:sz w:val="20"/>
              </w:rPr>
              <w:t>Phishield (ex-FP)</w:t>
            </w:r>
          </w:p>
        </w:tc>
        <w:tc>
          <w:tcPr>
            <w:tcW w:type="dxa" w:w="1872"/>
            <w:tcMar w:top="60" w:left="80" w:bottom="60" w:right="80"/>
            <w:shd w:fill="0F172A"/>
          </w:tcPr>
          <w:p>
            <w:pPr>
              <w:jc w:val="center"/>
            </w:pPr>
            <w:r>
              <w:rPr>
                <w:rFonts w:ascii="Calibri" w:hAnsi="Calibri"/>
                <w:b/>
                <w:color w:val="FFFFFF"/>
                <w:sz w:val="20"/>
              </w:rPr>
              <w:t>Competitor (Guardrisk)</w:t>
            </w:r>
          </w:p>
        </w:tc>
        <w:tc>
          <w:tcPr>
            <w:tcW w:type="dxa" w:w="1872"/>
            <w:tcMar w:top="60" w:left="80" w:bottom="60" w:right="80"/>
            <w:shd w:fill="0F172A"/>
          </w:tcPr>
          <w:p>
            <w:pPr>
              <w:jc w:val="center"/>
            </w:pPr>
            <w:r>
              <w:rPr>
                <w:rFonts w:ascii="Calibri" w:hAnsi="Calibri"/>
                <w:b/>
                <w:color w:val="FFFFFF"/>
                <w:sz w:val="20"/>
              </w:rPr>
              <w:t>Delta</w:t>
            </w:r>
          </w:p>
        </w:tc>
      </w:tr>
      <w:tr>
        <w:tc>
          <w:tcPr>
            <w:tcW w:type="dxa" w:w="1872"/>
            <w:tcMar w:top="60" w:left="80" w:bottom="60" w:right="80"/>
          </w:tcPr>
          <w:p>
            <w:r>
              <w:rPr>
                <w:rFonts w:ascii="Calibri" w:hAnsi="Calibri"/>
                <w:sz w:val="20"/>
              </w:rPr>
              <w:t>R5M</w:t>
            </w:r>
          </w:p>
        </w:tc>
        <w:tc>
          <w:tcPr>
            <w:tcW w:type="dxa" w:w="1872"/>
            <w:tcMar w:top="60" w:left="80" w:bottom="60" w:right="80"/>
          </w:tcPr>
          <w:p>
            <w:r>
              <w:rPr>
                <w:rFonts w:ascii="Calibri" w:hAnsi="Calibri"/>
                <w:sz w:val="20"/>
              </w:rPr>
              <w:t>R11,447</w:t>
            </w:r>
          </w:p>
        </w:tc>
        <w:tc>
          <w:tcPr>
            <w:tcW w:type="dxa" w:w="1872"/>
            <w:tcMar w:top="60" w:left="80" w:bottom="60" w:right="80"/>
          </w:tcPr>
          <w:p>
            <w:r>
              <w:rPr>
                <w:rFonts w:ascii="Calibri" w:hAnsi="Calibri"/>
                <w:sz w:val="20"/>
              </w:rPr>
              <w:t>R8,303</w:t>
            </w:r>
          </w:p>
        </w:tc>
        <w:tc>
          <w:tcPr>
            <w:tcW w:type="dxa" w:w="1872"/>
            <w:tcMar w:top="60" w:left="80" w:bottom="60" w:right="80"/>
          </w:tcPr>
          <w:p>
            <w:r>
              <w:rPr>
                <w:rFonts w:ascii="Calibri" w:hAnsi="Calibri"/>
                <w:sz w:val="20"/>
              </w:rPr>
              <w:t>R18,500</w:t>
            </w:r>
          </w:p>
        </w:tc>
        <w:tc>
          <w:tcPr>
            <w:tcW w:type="dxa" w:w="1872"/>
            <w:tcMar w:top="60" w:left="80" w:bottom="60" w:right="80"/>
          </w:tcPr>
          <w:p>
            <w:r>
              <w:rPr>
                <w:rFonts w:ascii="Calibri" w:hAnsi="Calibri"/>
                <w:sz w:val="20"/>
              </w:rPr>
              <w:t>-R10,197 (-55.1%)</w:t>
            </w:r>
          </w:p>
        </w:tc>
      </w:tr>
    </w:tbl>
    <w:p/>
    <w:p>
      <w:r>
        <w:t>Phishield is dramatically cheaper. Even with FP included (R11,447), Phishield is R7,053 below Guardrisk. The comparison bar will show deep green.</w:t>
      </w:r>
    </w:p>
    <w:p>
      <w:pPr>
        <w:pStyle w:val="Heading4"/>
      </w:pPr>
      <w:r>
        <w:rPr>
          <w:rFonts w:ascii="Calibri" w:hAnsi="Calibri"/>
          <w:color w:val="0F172A"/>
        </w:rPr>
        <w:t>Step 4 Detail: Discount Calculation (Competing Quote)</w:t>
      </w:r>
    </w:p>
    <w:p>
      <w:r>
        <w:t>No discounts needed — Phishield is already significantly cheaper. The comparison bar shows:</w:t>
      </w:r>
    </w:p>
    <w:tbl>
      <w:tblPr>
        <w:tblStyle w:val="TableGrid"/>
        <w:tblW w:type="auto" w:w="0"/>
        <w:jc w:val="center"/>
        <w:tblLook w:firstColumn="1" w:firstRow="1" w:lastColumn="0" w:lastRow="0" w:noHBand="0" w:noVBand="1" w:val="04A0"/>
      </w:tblPr>
      <w:tblGrid>
        <w:gridCol w:w="4680"/>
        <w:gridCol w:w="4680"/>
      </w:tblGrid>
      <w:tr>
        <w:tc>
          <w:tcPr>
            <w:tcW w:type="dxa" w:w="4680"/>
            <w:tcMar w:top="60" w:left="80" w:bottom="60" w:right="80"/>
            <w:shd w:fill="0F172A"/>
          </w:tcPr>
          <w:p>
            <w:pPr>
              <w:jc w:val="center"/>
            </w:pPr>
            <w:r>
              <w:rPr>
                <w:rFonts w:ascii="Calibri" w:hAnsi="Calibri"/>
                <w:b/>
                <w:color w:val="FFFFFF"/>
                <w:sz w:val="20"/>
              </w:rPr>
              <w:t>Metric</w:t>
            </w:r>
          </w:p>
        </w:tc>
        <w:tc>
          <w:tcPr>
            <w:tcW w:type="dxa" w:w="4680"/>
            <w:tcMar w:top="60" w:left="80" w:bottom="60" w:right="80"/>
            <w:shd w:fill="0F172A"/>
          </w:tcPr>
          <w:p>
            <w:pPr>
              <w:jc w:val="center"/>
            </w:pPr>
            <w:r>
              <w:rPr>
                <w:rFonts w:ascii="Calibri" w:hAnsi="Calibri"/>
                <w:b/>
                <w:color w:val="FFFFFF"/>
                <w:sz w:val="20"/>
              </w:rPr>
              <w:t>Value</w:t>
            </w:r>
          </w:p>
        </w:tc>
      </w:tr>
      <w:tr>
        <w:tc>
          <w:tcPr>
            <w:tcW w:type="dxa" w:w="4680"/>
            <w:tcMar w:top="60" w:left="80" w:bottom="60" w:right="80"/>
          </w:tcPr>
          <w:p>
            <w:r>
              <w:rPr>
                <w:rFonts w:ascii="Calibri" w:hAnsi="Calibri"/>
                <w:sz w:val="20"/>
              </w:rPr>
              <w:t>Phishield Final (with FP)</w:t>
            </w:r>
          </w:p>
        </w:tc>
        <w:tc>
          <w:tcPr>
            <w:tcW w:type="dxa" w:w="4680"/>
            <w:tcMar w:top="60" w:left="80" w:bottom="60" w:right="80"/>
          </w:tcPr>
          <w:p>
            <w:r>
              <w:rPr>
                <w:rFonts w:ascii="Calibri" w:hAnsi="Calibri"/>
                <w:sz w:val="20"/>
              </w:rPr>
              <w:t>R11,447</w:t>
            </w:r>
          </w:p>
        </w:tc>
      </w:tr>
      <w:tr>
        <w:tc>
          <w:tcPr>
            <w:tcW w:type="dxa" w:w="4680"/>
            <w:tcMar w:top="60" w:left="80" w:bottom="60" w:right="80"/>
            <w:shd w:fill="F1F5F9"/>
          </w:tcPr>
          <w:p>
            <w:r>
              <w:rPr>
                <w:rFonts w:ascii="Calibri" w:hAnsi="Calibri"/>
                <w:sz w:val="20"/>
              </w:rPr>
              <w:t>Phishield Final (ex-FP)</w:t>
            </w:r>
          </w:p>
        </w:tc>
        <w:tc>
          <w:tcPr>
            <w:tcW w:type="dxa" w:w="4680"/>
            <w:tcMar w:top="60" w:left="80" w:bottom="60" w:right="80"/>
            <w:shd w:fill="F1F5F9"/>
          </w:tcPr>
          <w:p>
            <w:r>
              <w:rPr>
                <w:rFonts w:ascii="Calibri" w:hAnsi="Calibri"/>
                <w:sz w:val="20"/>
              </w:rPr>
              <w:t>R8,303</w:t>
            </w:r>
          </w:p>
        </w:tc>
      </w:tr>
      <w:tr>
        <w:tc>
          <w:tcPr>
            <w:tcW w:type="dxa" w:w="4680"/>
            <w:tcMar w:top="60" w:left="80" w:bottom="60" w:right="80"/>
          </w:tcPr>
          <w:p>
            <w:r>
              <w:rPr>
                <w:rFonts w:ascii="Calibri" w:hAnsi="Calibri"/>
                <w:sz w:val="20"/>
              </w:rPr>
              <w:t>Competitor</w:t>
            </w:r>
          </w:p>
        </w:tc>
        <w:tc>
          <w:tcPr>
            <w:tcW w:type="dxa" w:w="4680"/>
            <w:tcMar w:top="60" w:left="80" w:bottom="60" w:right="80"/>
          </w:tcPr>
          <w:p>
            <w:r>
              <w:rPr>
                <w:rFonts w:ascii="Calibri" w:hAnsi="Calibri"/>
                <w:sz w:val="20"/>
              </w:rPr>
              <w:t>R18,500</w:t>
            </w:r>
          </w:p>
        </w:tc>
      </w:tr>
      <w:tr>
        <w:tc>
          <w:tcPr>
            <w:tcW w:type="dxa" w:w="4680"/>
            <w:tcMar w:top="60" w:left="80" w:bottom="60" w:right="80"/>
            <w:shd w:fill="F1F5F9"/>
          </w:tcPr>
          <w:p>
            <w:r>
              <w:rPr>
                <w:rFonts w:ascii="Calibri" w:hAnsi="Calibri"/>
                <w:sz w:val="20"/>
              </w:rPr>
              <w:t>Delta (ex-FP vs Competitor)</w:t>
            </w:r>
          </w:p>
        </w:tc>
        <w:tc>
          <w:tcPr>
            <w:tcW w:type="dxa" w:w="4680"/>
            <w:tcMar w:top="60" w:left="80" w:bottom="60" w:right="80"/>
            <w:shd w:fill="F1F5F9"/>
          </w:tcPr>
          <w:p>
            <w:r>
              <w:rPr>
                <w:rFonts w:ascii="Calibri" w:hAnsi="Calibri"/>
                <w:sz w:val="20"/>
              </w:rPr>
              <w:t>-R10,197 (-55.1%)</w:t>
            </w:r>
          </w:p>
        </w:tc>
      </w:tr>
      <w:tr>
        <w:tc>
          <w:tcPr>
            <w:tcW w:type="dxa" w:w="4680"/>
            <w:tcMar w:top="60" w:left="80" w:bottom="60" w:right="80"/>
          </w:tcPr>
          <w:p>
            <w:r>
              <w:rPr>
                <w:rFonts w:ascii="Calibri" w:hAnsi="Calibri"/>
                <w:sz w:val="20"/>
              </w:rPr>
              <w:t>Comparison Bar</w:t>
            </w:r>
          </w:p>
        </w:tc>
        <w:tc>
          <w:tcPr>
            <w:tcW w:type="dxa" w:w="4680"/>
            <w:tcMar w:top="60" w:left="80" w:bottom="60" w:right="80"/>
          </w:tcPr>
          <w:p>
            <w:r>
              <w:rPr>
                <w:rFonts w:ascii="Calibri" w:hAnsi="Calibri"/>
                <w:sz w:val="20"/>
              </w:rPr>
              <w:t>Deep green — very competitive</w:t>
            </w:r>
          </w:p>
        </w:tc>
      </w:tr>
    </w:tbl>
    <w:p/>
    <w:p>
      <w:r>
        <w:t>Add an endorsement noting the 5% UW loading due to missing data separation (Q3) and lack of employee security training (Q6). Recommend the client addresses these for future renewal.</w:t>
      </w:r>
    </w:p>
    <w:p>
      <w:r>
        <w:rPr>
          <w:b/>
          <w:color w:val="F97316"/>
        </w:rPr>
        <w:t xml:space="preserve">Step 5: </w:t>
      </w:r>
      <w:r>
        <w:rPr>
          <w:sz w:val="22"/>
        </w:rPr>
        <w:t>Export the quote. Highlight the competitive advantage in client communication.</w:t>
      </w:r>
    </w:p>
    <w:p>
      <w:pPr>
        <w:pStyle w:val="Heading2"/>
      </w:pPr>
      <w:r>
        <w:rPr>
          <w:rFonts w:ascii="Calibri" w:hAnsi="Calibri"/>
          <w:color w:val="0F172A"/>
          <w:sz w:val="26"/>
        </w:rPr>
        <w:t>8.4 Common Mistakes to Avoid</w:t>
      </w:r>
    </w:p>
    <w:p>
      <w:r>
        <w:t>The following are common errors made by underwriters when using the SME Rating Engine. Review this checklist regularly to avoid costly mistakes.</w:t>
      </w:r>
    </w:p>
    <w:p>
      <w:r>
        <w:rPr>
          <w:b/>
          <w:color w:val="DC2626"/>
        </w:rPr>
        <w:t xml:space="preserve">1. </w:t>
      </w:r>
      <w:r>
        <w:rPr>
          <w:b/>
          <w:sz w:val="22"/>
        </w:rPr>
        <w:t>Forgetting to check FP-dependent questions (Q7/Q8) when upgrading FP above R250k</w:t>
      </w:r>
    </w:p>
    <w:p>
      <w:pPr>
        <w:ind w:left="425"/>
      </w:pPr>
      <w:r>
        <w:rPr>
          <w:color w:val="64748B"/>
          <w:sz w:val="20"/>
        </w:rPr>
        <w:t>When you upgrade a client's FP above R250,000 in Step 2, Q7 and Q8 become active in Step 1. If you do not go back to answer them, the engine may not correctly apply conditions of cover. Always check the underwriting panel after changing FP.</w:t>
      </w:r>
    </w:p>
    <w:p>
      <w:r>
        <w:rPr>
          <w:b/>
          <w:color w:val="DC2626"/>
        </w:rPr>
        <w:t xml:space="preserve">2. </w:t>
      </w:r>
      <w:r>
        <w:rPr>
          <w:b/>
          <w:sz w:val="22"/>
        </w:rPr>
        <w:t>Applying combined discounts above 35% without senior approval</w:t>
      </w:r>
    </w:p>
    <w:p>
      <w:pPr>
        <w:ind w:left="425"/>
      </w:pPr>
      <w:r>
        <w:rPr>
          <w:color w:val="64748B"/>
          <w:sz w:val="20"/>
        </w:rPr>
        <w:t>A combined effective discount above 35% triggers a warning. Do not proceed without getting senior underwriter sign-off first. Document the approval before exporting the quote.</w:t>
      </w:r>
    </w:p>
    <w:p>
      <w:r>
        <w:rPr>
          <w:b/>
          <w:color w:val="DC2626"/>
        </w:rPr>
        <w:t xml:space="preserve">3. </w:t>
      </w:r>
      <w:r>
        <w:rPr>
          <w:b/>
          <w:sz w:val="22"/>
        </w:rPr>
        <w:t>Not entering both turnover figures (using only one gives an inaccurate midpoint)</w:t>
      </w:r>
    </w:p>
    <w:p>
      <w:pPr>
        <w:ind w:left="425"/>
      </w:pPr>
      <w:r>
        <w:rPr>
          <w:color w:val="64748B"/>
          <w:sz w:val="20"/>
        </w:rPr>
        <w:t>The engine uses the midpoint of Previous Year and Current Year turnover. If you enter only one figure, it uses that as the Actual Turnover, which may place the client in the wrong revenue band.</w:t>
      </w:r>
    </w:p>
    <w:p>
      <w:r>
        <w:rPr>
          <w:b/>
          <w:color w:val="DC2626"/>
        </w:rPr>
        <w:t xml:space="preserve">4. </w:t>
      </w:r>
      <w:r>
        <w:rPr>
          <w:b/>
          <w:sz w:val="22"/>
        </w:rPr>
        <w:t>Selecting a cover limit that is too low for the client's turnover band</w:t>
      </w:r>
    </w:p>
    <w:p>
      <w:pPr>
        <w:ind w:left="425"/>
      </w:pPr>
      <w:r>
        <w:rPr>
          <w:color w:val="64748B"/>
          <w:sz w:val="20"/>
        </w:rPr>
        <w:t>A client with R80M turnover should not be offered only R2.5M cover. Check the availability matrix in Section 4.1.1 and ensure you recommend appropriate limits for the revenue band.</w:t>
      </w:r>
    </w:p>
    <w:p>
      <w:r>
        <w:rPr>
          <w:b/>
          <w:color w:val="DC2626"/>
        </w:rPr>
        <w:t xml:space="preserve">5. </w:t>
      </w:r>
      <w:r>
        <w:rPr>
          <w:b/>
          <w:sz w:val="22"/>
        </w:rPr>
        <w:t>Forgetting to switch to 'Renewal' quote type for existing clients</w:t>
      </w:r>
    </w:p>
    <w:p>
      <w:pPr>
        <w:ind w:left="425"/>
      </w:pPr>
      <w:r>
        <w:rPr>
          <w:color w:val="64748B"/>
          <w:sz w:val="20"/>
        </w:rPr>
        <w:t>The engine defaults to New Business. If you quote a renewal as New Business, the comparison will use Industry Benchmark instead of the Existing Policy premium, and the FP equivalent toggle will not be auto-set. Always confirm the quote type before proceeding.</w:t>
      </w:r>
    </w:p>
    <w:p>
      <w:r>
        <w:rPr>
          <w:b/>
          <w:color w:val="DC2626"/>
        </w:rPr>
        <w:t xml:space="preserve">6. </w:t>
      </w:r>
      <w:r>
        <w:rPr>
          <w:b/>
          <w:sz w:val="22"/>
        </w:rPr>
        <w:t>Not reviewing the audit trail before exporting</w:t>
      </w:r>
    </w:p>
    <w:p>
      <w:pPr>
        <w:ind w:left="425"/>
      </w:pPr>
      <w:r>
        <w:rPr>
          <w:color w:val="64748B"/>
          <w:sz w:val="20"/>
        </w:rPr>
        <w:t>The audit trail in Step 5 shows every calculation step. Always verify that the base premium, modifier, loading, FP cost, and discounts are correct before downloading the PDF.</w:t>
      </w:r>
    </w:p>
    <w:p>
      <w:r>
        <w:rPr>
          <w:b/>
          <w:color w:val="DC2626"/>
        </w:rPr>
        <w:t xml:space="preserve">7. </w:t>
      </w:r>
      <w:r>
        <w:rPr>
          <w:b/>
          <w:sz w:val="22"/>
        </w:rPr>
        <w:t>Using the local engine URL for production quotes</w:t>
      </w:r>
    </w:p>
    <w:p>
      <w:pPr>
        <w:ind w:left="425"/>
      </w:pPr>
      <w:r>
        <w:rPr>
          <w:color w:val="64748B"/>
          <w:sz w:val="20"/>
        </w:rPr>
        <w:t>The local URL (localhost:5002) is for development and testing only. Production quotes must use the live URL (https://veilguard.phishield.com/smerating/). Quotes generated locally are not saved to the production database.</w:t>
      </w:r>
    </w:p>
    <w:p>
      <w:r>
        <w:rPr>
          <w:b/>
          <w:color w:val="DC2626"/>
        </w:rPr>
        <w:t xml:space="preserve">8. </w:t>
      </w:r>
      <w:r>
        <w:rPr>
          <w:b/>
          <w:sz w:val="22"/>
        </w:rPr>
        <w:t>Trying to bypass the 'Refer' block</w:t>
      </w:r>
    </w:p>
    <w:p>
      <w:pPr>
        <w:ind w:left="425"/>
      </w:pPr>
      <w:r>
        <w:rPr>
          <w:color w:val="64748B"/>
          <w:sz w:val="20"/>
        </w:rPr>
        <w:t>The 'Refer to Senior UW' outcome is a hard block in the current engine — the Continue button is disabled. Triggers include: Prior claim ticked, or Renewal with Q8 (prior cover) = No. Do not work around the block; obtain senior underwriter sign-off before proceeding.</w:t>
      </w:r>
    </w:p>
    <w:p>
      <w:pPr>
        <w:spacing w:before="200" w:after="200"/>
        <w:ind w:left="567" w:right="283"/>
      </w:pPr>
      <w:r>
        <w:rPr>
          <w:b/>
          <w:color w:val="059669"/>
          <w:sz w:val="20"/>
        </w:rPr>
        <w:t xml:space="preserve">TIP: </w:t>
      </w:r>
      <w:r>
        <w:rPr>
          <w:color w:val="64748B"/>
          <w:sz w:val="20"/>
        </w:rPr>
        <w:t>Print this list and keep it next to the Quick Reference Card. A quick check before exporting can save significant time and avoid compliance issues.</w:t>
      </w:r>
    </w:p>
    <w:p>
      <w:r>
        <w:br w:type="page"/>
      </w:r>
    </w:p>
    <w:p>
      <w:pPr>
        <w:pStyle w:val="Heading1"/>
      </w:pPr>
      <w:r>
        <w:rPr>
          <w:rFonts w:ascii="Calibri" w:hAnsi="Calibri"/>
          <w:color w:val="0F172A"/>
          <w:sz w:val="32"/>
        </w:rPr>
        <w:t>9. Troubleshooting &amp; FAQ</w:t>
      </w:r>
    </w:p>
    <w:p>
      <w:r>
        <w:rPr>
          <w:b/>
          <w:sz w:val="22"/>
        </w:rPr>
        <w:t>Q: The 'Continue' button is greyed out. What am I missing?</w:t>
      </w:r>
    </w:p>
    <w:p>
      <w:r>
        <w:t>A: Check the following: (1) Company name is entered, (2) Industry is selected, (3) At least one turnover figure is entered, (4) Q1.1 AND Q1.2 have been answered (the two baseline gate questions), (5) if Renewal: Current Cover Limit, Current Annual Premium and Current FP Sub-limit are all filled. Also check for active blockers: turnover &gt; R200M, Q1.1 or Q1.2 = No (decline), Prior claim ticked, Renewal with Q8 = No (contradiction), or a referred industry.</w:t>
      </w:r>
    </w:p>
    <w:p/>
    <w:p>
      <w:r>
        <w:rPr>
          <w:b/>
          <w:sz w:val="22"/>
        </w:rPr>
        <w:t>Q: I see 'Refer for Underwriting'. Can I still generate a quote?</w:t>
      </w:r>
    </w:p>
    <w:p>
      <w:r>
        <w:t>A: No. Refer is now a hard block: Continue is disabled and a blocker overlay is shown. Triggers include: industry is Healthcare / Public Administration, turnover &gt; R200M, Prior claim ticked, or Renewal with Q8 (prior cover) = No. Contact a senior underwriter — they must assess and override outside the engine before proceeding.</w:t>
      </w:r>
    </w:p>
    <w:p/>
    <w:p>
      <w:r>
        <w:rPr>
          <w:b/>
          <w:sz w:val="22"/>
        </w:rPr>
        <w:t>Q: What is the difference between 'Decline' and 'Refer'?</w:t>
      </w:r>
    </w:p>
    <w:p>
      <w:r>
        <w:t>A: Decline: The risk fails the baseline security gate (Q1.1 = No or Q1.2 = No). The quote cannot proceed in any form. Refer: The risk has factors that require senior review (Prior claim, Renewal-with-Q8-No contradiction, Healthcare / Public Admin industry, or turnover &gt; R200M). Both outcomes hard-block the Continue button — a senior underwriter must assess offline.</w:t>
      </w:r>
    </w:p>
    <w:p/>
    <w:p>
      <w:r>
        <w:rPr>
          <w:b/>
          <w:sz w:val="22"/>
        </w:rPr>
        <w:t>Q: Why does my Software &amp; Technology client's premium look higher?</w:t>
      </w:r>
    </w:p>
    <w:p>
      <w:r>
        <w:t>A: Software &amp; Technology attracts an industry modifier of 1.35x to 1.63x (depending on revenue band) because tech companies have a higher cyber risk profile. This modifier is applied to the base premium only, not the Funds Protect cost.</w:t>
      </w:r>
    </w:p>
    <w:p/>
    <w:p>
      <w:r>
        <w:rPr>
          <w:b/>
          <w:sz w:val="22"/>
        </w:rPr>
        <w:t>Q: Can I quote the same cover limit with different FP options?</w:t>
      </w:r>
    </w:p>
    <w:p>
      <w:r>
        <w:t>A: Yes. Use the '+' button on a cover card to add a duplicate. Each duplicate can have a different FP tier selected. This lets you present the client with options like 'R5M cover with R250k FP' and 'R5M cover with R500k FP' side by side.</w:t>
      </w:r>
    </w:p>
    <w:p/>
    <w:p>
      <w:r>
        <w:rPr>
          <w:b/>
          <w:sz w:val="22"/>
        </w:rPr>
        <w:t>Q: What does 'Condition of Cover' mean?</w:t>
      </w:r>
    </w:p>
    <w:p>
      <w:r>
        <w:t>A: When Q7 or Q8 is answered 'No', the corresponding security measure becomes a condition that the client must implement. It is noted on the quote output and PDF. The policy may not pay out for FP-related claims if the client has not implemented the required measures.</w:t>
      </w:r>
    </w:p>
    <w:p/>
    <w:p>
      <w:r>
        <w:rPr>
          <w:b/>
          <w:sz w:val="22"/>
        </w:rPr>
        <w:t>Q: My combined discount exceeds 35%. Is this allowed?</w:t>
      </w:r>
    </w:p>
    <w:p>
      <w:r>
        <w:t>A: The engine allows it but displays a warning. Discounts above 35% require approval from a senior underwriter. Document the justification before proceeding.</w:t>
      </w:r>
    </w:p>
    <w:p/>
    <w:p>
      <w:r>
        <w:rPr>
          <w:b/>
          <w:sz w:val="22"/>
        </w:rPr>
        <w:t>Q: Where are my saved quotes stored?</w:t>
      </w:r>
    </w:p>
    <w:p>
      <w:r>
        <w:t>A: All quotes are saved to a backend SQLite database automatically. Each quote has a unique reference number (CPB-YYYYMMDD-NNNN). PDFs are stored in the quote_pdfs directory on the server, organised by year, month, and company name.</w:t>
      </w:r>
    </w:p>
    <w:p/>
    <w:p>
      <w:r>
        <w:rPr>
          <w:b/>
          <w:sz w:val="22"/>
        </w:rPr>
        <w:t>Q: The page is not loading or looks broken.</w:t>
      </w:r>
    </w:p>
    <w:p>
      <w:r>
        <w:t>A: Try the following: (1) Clear your browser cache, (2) Ensure you are using a supported browser (Chrome, Edge, or Firefox), (3) Check your internet connection if using the live URL, (4) Contact IT support if the issue persists.</w:t>
      </w:r>
    </w:p>
    <w:p/>
    <w:p>
      <w:r>
        <w:rPr>
          <w:b/>
          <w:sz w:val="22"/>
        </w:rPr>
        <w:t>Q: Can I edit a quote after exporting it?</w:t>
      </w:r>
    </w:p>
    <w:p>
      <w:r>
        <w:t>A: The engine does not support editing a finalised quote. To change a quote, start a new one with the updated details. The new quote will receive a new reference number.</w:t>
      </w:r>
    </w:p>
    <w:p/>
    <w:p>
      <w:r>
        <w:rPr>
          <w:b/>
          <w:sz w:val="22"/>
        </w:rPr>
        <w:t>Q: The page looks broken or old after an update.</w:t>
      </w:r>
    </w:p>
    <w:p>
      <w:r>
        <w:t>A: Clear your browser cache. In Chrome: press Ctrl+Shift+Delete, select 'Cached images and files', then click 'Clear data'. Alternatively, press Ctrl+Shift+R to do a hard refresh which bypasses the cache.</w:t>
      </w:r>
    </w:p>
    <w:p/>
    <w:p>
      <w:r>
        <w:rPr>
          <w:b/>
          <w:sz w:val="22"/>
        </w:rPr>
        <w:t>Q: Buttons are not responding when I click them.</w:t>
      </w:r>
    </w:p>
    <w:p>
      <w:r>
        <w:t>A: Try the following: (1) Hard refresh with Ctrl+Shift+R, (2) Check if a blocker overlay is active (look for a red or orange message on screen), (3) Try a different browser (Chrome, Edge, or Firefox), (4) Clear your browser cache completely, (5) If using the live URL, the server may be waking up from sleep — wait 30 seconds and try again.</w:t>
      </w:r>
    </w:p>
    <w:p/>
    <w:p>
      <w:r>
        <w:rPr>
          <w:b/>
          <w:sz w:val="22"/>
        </w:rPr>
        <w:t>Q: The page takes a long time to load on the live URL.</w:t>
      </w:r>
    </w:p>
    <w:p>
      <w:r>
        <w:t>A: The live engine runs on Render's free tier, which puts the server to sleep after 15 minutes of inactivity. The first visit after a sleep period takes 30–60 seconds to 'cold start'. Subsequent visits will be fast. If you use the engine daily, bookmark it and visit it first thing in the morning to wake it up.</w:t>
      </w:r>
    </w:p>
    <w:p/>
    <w:p>
      <w:r>
        <w:rPr>
          <w:b/>
          <w:sz w:val="22"/>
        </w:rPr>
        <w:t>Q: I can't see the latest changes after an update was deployed.</w:t>
      </w:r>
    </w:p>
    <w:p>
      <w:r>
        <w:t>A: Always hard refresh (Ctrl+Shift+R) after being told an update has been deployed. If that doesn't work, clear your full browser cache (Ctrl+Shift+Delete → select all time → Clear data).</w:t>
      </w:r>
    </w:p>
    <w:p/>
    <w:p>
      <w:r>
        <w:rPr>
          <w:b/>
          <w:sz w:val="22"/>
        </w:rPr>
        <w:t>Q: The PDF download failed or nothing happened when I clicked Download.</w:t>
      </w:r>
    </w:p>
    <w:p>
      <w:r>
        <w:t>A: (1) Check if your browser is blocking pop-ups or downloads — look for a small icon in the address bar, (2) Try disabling any ad blockers for the site, (3) Check your Downloads folder — the file may have downloaded but the notification was hidden, (4) Try using Chrome if you're on another browser.</w:t>
      </w:r>
    </w:p>
    <w:p/>
    <w:p>
      <w:r>
        <w:rPr>
          <w:b/>
          <w:sz w:val="22"/>
        </w:rPr>
        <w:t>Q: The industry dropdown isn't showing any options.</w:t>
      </w:r>
    </w:p>
    <w:p>
      <w:r>
        <w:t>A: The industry dropdown is searchable. Start typing the industry name (e.g., 'software', 'retail', 'mining') and options will filter automatically. If nothing appears, clear the search text and try scrolling through the full list using the mouse wheel.</w:t>
      </w:r>
    </w:p>
    <w:p/>
    <w:p>
      <w:r>
        <w:br w:type="page"/>
      </w:r>
    </w:p>
    <w:p>
      <w:pPr>
        <w:pStyle w:val="Heading1"/>
      </w:pPr>
      <w:r>
        <w:rPr>
          <w:rFonts w:ascii="Calibri" w:hAnsi="Calibri"/>
          <w:color w:val="0F172A"/>
          <w:sz w:val="32"/>
        </w:rPr>
        <w:t>10. Quick Reference Card</w:t>
      </w:r>
    </w:p>
    <w:p>
      <w:r>
        <w:t>This page provides a one-page summary of the key rules and thresholds. Print this page and keep it at your desk for quick reference.</w:t>
      </w:r>
    </w:p>
    <w:p/>
    <w:p>
      <w:r>
        <w:rPr>
          <w:b/>
          <w:sz w:val="22"/>
        </w:rPr>
        <w:t>TURNOVER CALCULATION</w:t>
      </w:r>
    </w:p>
    <w:p>
      <w:r>
        <w:t>Actual Turnover = (Previous Year + Current Year) / 2</w:t>
      </w:r>
    </w:p>
    <w:p>
      <w:r>
        <w:t>Above R200M = Refer for Underwriting</w:t>
      </w:r>
    </w:p>
    <w:p/>
    <w:p>
      <w:r>
        <w:rPr>
          <w:b/>
          <w:sz w:val="22"/>
        </w:rPr>
        <w:t>REVENUE BANDS</w:t>
      </w:r>
    </w:p>
    <w:p>
      <w:r>
        <w:t>R0–R10M | R10M–R25M | R25M–R50M | R50M–R75M | R75M–R100M | R100M–R150M | R150M–R200M</w:t>
      </w:r>
    </w:p>
    <w:p/>
    <w:p>
      <w:r>
        <w:rPr>
          <w:b/>
          <w:sz w:val="22"/>
        </w:rPr>
        <w:t>COVER LIMITS &amp; MINIMUM FP</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Cover</w:t>
            </w:r>
          </w:p>
        </w:tc>
        <w:tc>
          <w:tcPr>
            <w:tcW w:type="dxa" w:w="3120"/>
            <w:tcMar w:top="60" w:left="80" w:bottom="60" w:right="80"/>
            <w:shd w:fill="0F172A"/>
          </w:tcPr>
          <w:p>
            <w:pPr>
              <w:jc w:val="center"/>
            </w:pPr>
            <w:r>
              <w:rPr>
                <w:rFonts w:ascii="Calibri" w:hAnsi="Calibri"/>
                <w:b/>
                <w:color w:val="FFFFFF"/>
                <w:sz w:val="20"/>
              </w:rPr>
              <w:t>FP Min</w:t>
            </w:r>
          </w:p>
        </w:tc>
        <w:tc>
          <w:tcPr>
            <w:tcW w:type="dxa" w:w="3120"/>
            <w:tcMar w:top="60" w:left="80" w:bottom="60" w:right="80"/>
            <w:shd w:fill="0F172A"/>
          </w:tcPr>
          <w:p>
            <w:pPr>
              <w:jc w:val="center"/>
            </w:pPr>
            <w:r>
              <w:rPr>
                <w:rFonts w:ascii="Calibri" w:hAnsi="Calibri"/>
                <w:b/>
                <w:color w:val="FFFFFF"/>
                <w:sz w:val="20"/>
              </w:rPr>
              <w:t>Excess</w:t>
            </w:r>
          </w:p>
        </w:tc>
      </w:tr>
      <w:tr>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R150k</w:t>
            </w:r>
          </w:p>
        </w:tc>
        <w:tc>
          <w:tcPr>
            <w:tcW w:type="dxa" w:w="3120"/>
            <w:tcMar w:top="60" w:left="80" w:bottom="60" w:right="80"/>
          </w:tcPr>
          <w:p>
            <w:r>
              <w:rPr>
                <w:rFonts w:ascii="Calibri" w:hAnsi="Calibri"/>
                <w:sz w:val="20"/>
              </w:rPr>
              <w:t>R10k</w:t>
            </w:r>
          </w:p>
        </w:tc>
      </w:tr>
      <w:tr>
        <w:tc>
          <w:tcPr>
            <w:tcW w:type="dxa" w:w="3120"/>
            <w:tcMar w:top="60" w:left="80" w:bottom="60" w:right="80"/>
            <w:shd w:fill="F1F5F9"/>
          </w:tcPr>
          <w:p>
            <w:r>
              <w:rPr>
                <w:rFonts w:ascii="Calibri" w:hAnsi="Calibri"/>
                <w:sz w:val="20"/>
              </w:rPr>
              <w:t>R2.5M</w:t>
            </w:r>
          </w:p>
        </w:tc>
        <w:tc>
          <w:tcPr>
            <w:tcW w:type="dxa" w:w="3120"/>
            <w:tcMar w:top="60" w:left="80" w:bottom="60" w:right="80"/>
            <w:shd w:fill="F1F5F9"/>
          </w:tcPr>
          <w:p>
            <w:r>
              <w:rPr>
                <w:rFonts w:ascii="Calibri" w:hAnsi="Calibri"/>
                <w:sz w:val="20"/>
              </w:rPr>
              <w:t>R200k</w:t>
            </w:r>
          </w:p>
        </w:tc>
        <w:tc>
          <w:tcPr>
            <w:tcW w:type="dxa" w:w="3120"/>
            <w:tcMar w:top="60" w:left="80" w:bottom="60" w:right="80"/>
            <w:shd w:fill="F1F5F9"/>
          </w:tcPr>
          <w:p>
            <w:r>
              <w:rPr>
                <w:rFonts w:ascii="Calibri" w:hAnsi="Calibri"/>
                <w:sz w:val="20"/>
              </w:rPr>
              <w:t>R10k</w:t>
            </w:r>
          </w:p>
        </w:tc>
      </w:tr>
      <w:tr>
        <w:tc>
          <w:tcPr>
            <w:tcW w:type="dxa" w:w="3120"/>
            <w:tcMar w:top="60" w:left="80" w:bottom="60" w:right="80"/>
          </w:tcPr>
          <w:p>
            <w:r>
              <w:rPr>
                <w:rFonts w:ascii="Calibri" w:hAnsi="Calibri"/>
                <w:sz w:val="20"/>
              </w:rPr>
              <w:t>R5M</w:t>
            </w:r>
          </w:p>
        </w:tc>
        <w:tc>
          <w:tcPr>
            <w:tcW w:type="dxa" w:w="3120"/>
            <w:tcMar w:top="60" w:left="80" w:bottom="60" w:right="80"/>
          </w:tcPr>
          <w:p>
            <w:r>
              <w:rPr>
                <w:rFonts w:ascii="Calibri" w:hAnsi="Calibri"/>
                <w:sz w:val="20"/>
              </w:rPr>
              <w:t>R250k</w:t>
            </w:r>
          </w:p>
        </w:tc>
        <w:tc>
          <w:tcPr>
            <w:tcW w:type="dxa" w:w="3120"/>
            <w:tcMar w:top="60" w:left="80" w:bottom="60" w:right="80"/>
          </w:tcPr>
          <w:p>
            <w:r>
              <w:rPr>
                <w:rFonts w:ascii="Calibri" w:hAnsi="Calibri"/>
                <w:sz w:val="20"/>
              </w:rPr>
              <w:t>R10k</w:t>
            </w:r>
          </w:p>
        </w:tc>
      </w:tr>
      <w:tr>
        <w:tc>
          <w:tcPr>
            <w:tcW w:type="dxa" w:w="3120"/>
            <w:tcMar w:top="60" w:left="80" w:bottom="60" w:right="80"/>
            <w:shd w:fill="F1F5F9"/>
          </w:tcPr>
          <w:p>
            <w:r>
              <w:rPr>
                <w:rFonts w:ascii="Calibri" w:hAnsi="Calibri"/>
                <w:sz w:val="20"/>
              </w:rPr>
              <w:t>R7.5M</w:t>
            </w:r>
          </w:p>
        </w:tc>
        <w:tc>
          <w:tcPr>
            <w:tcW w:type="dxa" w:w="3120"/>
            <w:tcMar w:top="60" w:left="80" w:bottom="60" w:right="80"/>
            <w:shd w:fill="F1F5F9"/>
          </w:tcPr>
          <w:p>
            <w:r>
              <w:rPr>
                <w:rFonts w:ascii="Calibri" w:hAnsi="Calibri"/>
                <w:sz w:val="20"/>
              </w:rPr>
              <w:t>R500k</w:t>
            </w:r>
          </w:p>
        </w:tc>
        <w:tc>
          <w:tcPr>
            <w:tcW w:type="dxa" w:w="3120"/>
            <w:tcMar w:top="60" w:left="80" w:bottom="60" w:right="80"/>
            <w:shd w:fill="F1F5F9"/>
          </w:tcPr>
          <w:p>
            <w:r>
              <w:rPr>
                <w:rFonts w:ascii="Calibri" w:hAnsi="Calibri"/>
                <w:sz w:val="20"/>
              </w:rPr>
              <w:t>R15k</w:t>
            </w:r>
          </w:p>
        </w:tc>
      </w:tr>
      <w:tr>
        <w:tc>
          <w:tcPr>
            <w:tcW w:type="dxa" w:w="3120"/>
            <w:tcMar w:top="60" w:left="80" w:bottom="60" w:right="80"/>
          </w:tcPr>
          <w:p>
            <w:r>
              <w:rPr>
                <w:rFonts w:ascii="Calibri" w:hAnsi="Calibri"/>
                <w:sz w:val="20"/>
              </w:rPr>
              <w:t>R10M</w:t>
            </w:r>
          </w:p>
        </w:tc>
        <w:tc>
          <w:tcPr>
            <w:tcW w:type="dxa" w:w="3120"/>
            <w:tcMar w:top="60" w:left="80" w:bottom="60" w:right="80"/>
          </w:tcPr>
          <w:p>
            <w:r>
              <w:rPr>
                <w:rFonts w:ascii="Calibri" w:hAnsi="Calibri"/>
                <w:sz w:val="20"/>
              </w:rPr>
              <w:t>R1M</w:t>
            </w:r>
          </w:p>
        </w:tc>
        <w:tc>
          <w:tcPr>
            <w:tcW w:type="dxa" w:w="3120"/>
            <w:tcMar w:top="60" w:left="80" w:bottom="60" w:right="80"/>
          </w:tcPr>
          <w:p>
            <w:r>
              <w:rPr>
                <w:rFonts w:ascii="Calibri" w:hAnsi="Calibri"/>
                <w:sz w:val="20"/>
              </w:rPr>
              <w:t>R20k</w:t>
            </w:r>
          </w:p>
        </w:tc>
      </w:tr>
      <w:tr>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R1.5M</w:t>
            </w:r>
          </w:p>
        </w:tc>
        <w:tc>
          <w:tcPr>
            <w:tcW w:type="dxa" w:w="3120"/>
            <w:tcMar w:top="60" w:left="80" w:bottom="60" w:right="80"/>
            <w:shd w:fill="F1F5F9"/>
          </w:tcPr>
          <w:p>
            <w:r>
              <w:rPr>
                <w:rFonts w:ascii="Calibri" w:hAnsi="Calibri"/>
                <w:sz w:val="20"/>
              </w:rPr>
              <w:t>R25k</w:t>
            </w:r>
          </w:p>
        </w:tc>
      </w:tr>
    </w:tbl>
    <w:p/>
    <w:p>
      <w:r>
        <w:rPr>
          <w:b/>
          <w:sz w:val="22"/>
        </w:rPr>
        <w:t>MICRO SME</w:t>
      </w:r>
    </w:p>
    <w:p>
      <w:r>
        <w:t>Turnover &lt; R50M AND Cover &lt;= R5M = Flat-rate Micro SME pricing</w:t>
      </w:r>
    </w:p>
    <w:p/>
    <w:p>
      <w:r>
        <w:rPr>
          <w:b/>
          <w:sz w:val="22"/>
        </w:rPr>
        <w:t>INDUSTRY MODIFIERS (Base Premium Only)</w:t>
      </w:r>
    </w:p>
    <w:p>
      <w:r>
        <w:t>Software &amp; Technology: 1.35x – 1.63x</w:t>
      </w:r>
    </w:p>
    <w:p>
      <w:r>
        <w:t>Finance/Insurance/Real Estate: 1.28x – 1.46x</w:t>
      </w:r>
    </w:p>
    <w:p>
      <w:r>
        <w:t>All others: 1.00x (no modifier)</w:t>
      </w:r>
    </w:p>
    <w:p/>
    <w:p>
      <w:r>
        <w:rPr>
          <w:b/>
          <w:sz w:val="22"/>
        </w:rPr>
        <w:t>UNDERWRITING RULES (April 2026 revised)</w:t>
      </w:r>
    </w:p>
    <w:p>
      <w:r>
        <w:t>Q1.1 (AV/EDR) No OR Q1.2 (Firewall) No → Decline (hard block)</w:t>
      </w:r>
    </w:p>
    <w:p>
      <w:r>
        <w:t>Q1.3 / Q1.4 No → Condition of Cover (proceed with caution)</w:t>
      </w:r>
    </w:p>
    <w:p>
      <w:r>
        <w:t>Q2.1–Q5 loading: 0–2 No = 0% | 3 No = 5% | 4 No = 10% | 5 No = 15% (grace of 2, no decline)</w:t>
      </w:r>
    </w:p>
    <w:p>
      <w:r>
        <w:t>Q6/Q7 (FP &gt; R250k): No = Condition of Cover</w:t>
      </w:r>
    </w:p>
    <w:p>
      <w:r>
        <w:t>Q8 (prior cover): auto-Yes on Renewal; No on Renewal via data-load → Refer (hard block)</w:t>
      </w:r>
    </w:p>
    <w:p>
      <w:r>
        <w:t>Prior claim ticked → Refer (hard block)</w:t>
      </w:r>
    </w:p>
    <w:p>
      <w:r>
        <w:t>Healthcare / Public Admin → Always Refer</w:t>
      </w:r>
    </w:p>
    <w:p/>
    <w:p>
      <w:r>
        <w:rPr>
          <w:b/>
          <w:sz w:val="22"/>
        </w:rPr>
        <w:t>DISCOUNTS</w:t>
      </w:r>
    </w:p>
    <w:p>
      <w:r>
        <w:t>Posture: 0–35% | Discretionary: 0–35%</w:t>
      </w:r>
    </w:p>
    <w:p>
      <w:r>
        <w:t>Combined &gt; 35% = Senior underwriter approval required</w:t>
      </w:r>
    </w:p>
    <w:p>
      <w:r>
        <w:t>Applied to full premium (base + FP), compound: Final = Premium x (1-Posture) x (1-Disc)</w:t>
      </w:r>
    </w:p>
    <w:p/>
    <w:p>
      <w:r>
        <w:rPr>
          <w:b/>
          <w:sz w:val="22"/>
        </w:rPr>
        <w:t>QUOTE REFERENCE FORMAT</w:t>
      </w:r>
    </w:p>
    <w:p>
      <w:r>
        <w:t>CPB-YYYYMMDD-NNNN-[CoverLimit]-FP[FPLimit]</w:t>
      </w:r>
    </w:p>
    <w:p/>
    <w:p>
      <w:r>
        <w:rPr>
          <w:b/>
          <w:sz w:val="22"/>
        </w:rPr>
        <w:t>QUOTE TYPES</w:t>
      </w:r>
    </w:p>
    <w:p>
      <w:r>
        <w:t>New Business | Renewal (shows Existing Policy comparison, FP equiv = Yes) | Competing Quote</w:t>
      </w:r>
    </w:p>
    <w:p/>
    <w:p>
      <w:r>
        <w:rPr>
          <w:b/>
          <w:sz w:val="22"/>
        </w:rPr>
        <w:t>COMPARISON COLOURS</w:t>
      </w:r>
    </w:p>
    <w:p>
      <w:r>
        <w:t>Green = Competitive | Amber = Close | Red = Over benchmark</w:t>
      </w:r>
    </w:p>
    <w:p>
      <w:r>
        <w:br w:type="page"/>
      </w:r>
    </w:p>
    <w:p>
      <w:pPr>
        <w:pStyle w:val="Heading1"/>
      </w:pPr>
      <w:r>
        <w:rPr>
          <w:rFonts w:ascii="Calibri" w:hAnsi="Calibri"/>
          <w:color w:val="0F172A"/>
          <w:sz w:val="32"/>
        </w:rPr>
        <w:t>11. Glossary of Key Terms</w:t>
      </w:r>
    </w:p>
    <w:p>
      <w:r>
        <w:t>This glossary defines the key terms used throughout this manual and in the SME Rating Engine interface.</w:t>
      </w:r>
    </w:p>
    <w:p>
      <w:r>
        <w:rPr>
          <w:b/>
          <w:color w:val="F97316"/>
          <w:sz w:val="22"/>
        </w:rPr>
        <w:t>Audit Trail</w:t>
      </w:r>
    </w:p>
    <w:p>
      <w:pPr>
        <w:spacing w:after="160"/>
        <w:ind w:left="425"/>
      </w:pPr>
      <w:r>
        <w:rPr>
          <w:color w:val="0F172A"/>
          <w:sz w:val="20"/>
        </w:rPr>
        <w:t>The step-by-step calculation breakdown showing how the final premium was derived. Displayed in Step 5 and included in the PDF output.</w:t>
      </w:r>
    </w:p>
    <w:p>
      <w:r>
        <w:rPr>
          <w:b/>
          <w:color w:val="F97316"/>
          <w:sz w:val="22"/>
        </w:rPr>
        <w:t>Base Premium</w:t>
      </w:r>
    </w:p>
    <w:p>
      <w:pPr>
        <w:spacing w:after="160"/>
        <w:ind w:left="425"/>
      </w:pPr>
      <w:r>
        <w:rPr>
          <w:color w:val="0F172A"/>
          <w:sz w:val="20"/>
        </w:rPr>
        <w:t>The core insurance premium before Funds Protect is added, calculated using formulas based on turnover and cover limit. For Micro SME, these are flat rates; for standard quotes, they are formula-based.</w:t>
      </w:r>
    </w:p>
    <w:p>
      <w:r>
        <w:rPr>
          <w:b/>
          <w:color w:val="F97316"/>
          <w:sz w:val="22"/>
        </w:rPr>
        <w:t>Condition of Cover</w:t>
      </w:r>
    </w:p>
    <w:p>
      <w:pPr>
        <w:spacing w:after="160"/>
        <w:ind w:left="425"/>
      </w:pPr>
      <w:r>
        <w:rPr>
          <w:color w:val="0F172A"/>
          <w:sz w:val="20"/>
        </w:rPr>
        <w:t>A requirement that the client must implement as a condition of their policy. Triggered when Q7 or Q8 is answered 'No'. Noted on the quote output and PDF.</w:t>
      </w:r>
    </w:p>
    <w:p>
      <w:r>
        <w:rPr>
          <w:b/>
          <w:color w:val="F97316"/>
          <w:sz w:val="22"/>
        </w:rPr>
        <w:t>Discretionary Discount</w:t>
      </w:r>
    </w:p>
    <w:p>
      <w:pPr>
        <w:spacing w:after="160"/>
        <w:ind w:left="425"/>
      </w:pPr>
      <w:r>
        <w:rPr>
          <w:color w:val="0F172A"/>
          <w:sz w:val="20"/>
        </w:rPr>
        <w:t>A competitive discount applied to match or beat competitor pricing. Entered as a percentage (0–35%) in Step 4 and applied to the full premium.</w:t>
      </w:r>
    </w:p>
    <w:p>
      <w:r>
        <w:rPr>
          <w:b/>
          <w:color w:val="F97316"/>
          <w:sz w:val="22"/>
        </w:rPr>
        <w:t>Endorsement</w:t>
      </w:r>
    </w:p>
    <w:p>
      <w:pPr>
        <w:spacing w:after="160"/>
        <w:ind w:left="425"/>
      </w:pPr>
      <w:r>
        <w:rPr>
          <w:color w:val="0F172A"/>
          <w:sz w:val="20"/>
        </w:rPr>
        <w:t>Special terms, conditions, or notes added to the quote by the underwriter. Entered in a free-text area in Step 4 and included on the quote output.</w:t>
      </w:r>
    </w:p>
    <w:p>
      <w:r>
        <w:rPr>
          <w:b/>
          <w:color w:val="F97316"/>
          <w:sz w:val="22"/>
        </w:rPr>
        <w:t>Funds Protect (FP)</w:t>
      </w:r>
    </w:p>
    <w:p>
      <w:pPr>
        <w:spacing w:after="160"/>
        <w:ind w:left="425"/>
      </w:pPr>
      <w:r>
        <w:rPr>
          <w:color w:val="0F172A"/>
          <w:sz w:val="20"/>
        </w:rPr>
        <w:t>An add-on cover for financial losses from cyber-enabled fraud (business email compromise, social engineering). Has a minimum limit per cover level, with optional upgrades up to R5M.</w:t>
      </w:r>
    </w:p>
    <w:p>
      <w:r>
        <w:rPr>
          <w:b/>
          <w:color w:val="F97316"/>
          <w:sz w:val="22"/>
        </w:rPr>
        <w:t>Industry Modifier</w:t>
      </w:r>
    </w:p>
    <w:p>
      <w:pPr>
        <w:spacing w:after="160"/>
        <w:ind w:left="425"/>
      </w:pPr>
      <w:r>
        <w:rPr>
          <w:color w:val="0F172A"/>
          <w:sz w:val="20"/>
        </w:rPr>
        <w:t>A multiplier (1.00x to 1.63x) applied to the base premium for higher-risk industries. Software &amp; Technology and Finance attract higher modifiers. Applied to base premium only, not FP.</w:t>
      </w:r>
    </w:p>
    <w:p>
      <w:r>
        <w:rPr>
          <w:b/>
          <w:color w:val="F97316"/>
          <w:sz w:val="22"/>
        </w:rPr>
        <w:t>Micro SME</w:t>
      </w:r>
    </w:p>
    <w:p>
      <w:pPr>
        <w:spacing w:after="160"/>
        <w:ind w:left="425"/>
      </w:pPr>
      <w:r>
        <w:rPr>
          <w:color w:val="0F172A"/>
          <w:sz w:val="20"/>
        </w:rPr>
        <w:t>A flat-rate pricing tier for smaller businesses (turnover &lt; R50M, cover limit R5M or below) that is lower than standard formula rates. Industry modifiers still apply.</w:t>
      </w:r>
    </w:p>
    <w:p>
      <w:r>
        <w:rPr>
          <w:b/>
          <w:color w:val="F97316"/>
          <w:sz w:val="22"/>
        </w:rPr>
        <w:t>Posture Discount</w:t>
      </w:r>
    </w:p>
    <w:p>
      <w:pPr>
        <w:spacing w:after="160"/>
        <w:ind w:left="425"/>
      </w:pPr>
      <w:r>
        <w:rPr>
          <w:color w:val="0F172A"/>
          <w:sz w:val="20"/>
        </w:rPr>
        <w:t>A discount based on the quality of the client's cyber security posture, typically supported by evidence such as SOC 2 certification, penetration testing, or a dedicated CISO.</w:t>
      </w:r>
    </w:p>
    <w:p>
      <w:r>
        <w:rPr>
          <w:b/>
          <w:color w:val="F97316"/>
          <w:sz w:val="22"/>
        </w:rPr>
        <w:t>Quote Reference</w:t>
      </w:r>
    </w:p>
    <w:p>
      <w:pPr>
        <w:spacing w:after="160"/>
        <w:ind w:left="425"/>
      </w:pPr>
      <w:r>
        <w:rPr>
          <w:color w:val="0F172A"/>
          <w:sz w:val="20"/>
        </w:rPr>
        <w:t>Unique identifier for each quote option in the format CPB-YYYYMMDD-NNNN-CoverLimit-FPLimit. Multi-cover quotes share the same base reference with unique suffixes.</w:t>
      </w:r>
    </w:p>
    <w:p>
      <w:r>
        <w:rPr>
          <w:b/>
          <w:color w:val="F97316"/>
          <w:sz w:val="22"/>
        </w:rPr>
        <w:t>Revenue Band</w:t>
      </w:r>
    </w:p>
    <w:p>
      <w:pPr>
        <w:spacing w:after="160"/>
        <w:ind w:left="425"/>
      </w:pPr>
      <w:r>
        <w:rPr>
          <w:color w:val="0F172A"/>
          <w:sz w:val="20"/>
        </w:rPr>
        <w:t>The turnover bracket that determines base premium rates. There are 7 bands from R0 to R200M. The band is determined by the Actual Turnover (midpoint of previous and current year).</w:t>
      </w:r>
    </w:p>
    <w:p>
      <w:r>
        <w:rPr>
          <w:b/>
          <w:color w:val="F97316"/>
          <w:sz w:val="22"/>
        </w:rPr>
        <w:t>Underwriting Loading</w:t>
      </w:r>
    </w:p>
    <w:p>
      <w:pPr>
        <w:spacing w:after="160"/>
        <w:ind w:left="425"/>
      </w:pPr>
      <w:r>
        <w:rPr>
          <w:color w:val="0F172A"/>
          <w:sz w:val="20"/>
        </w:rPr>
        <w:t>A percentage increase (5–15%) applied to the base premium when security posture questions (Q2–Q6) are answered 'No'. The loading percentage depends on the number of 'No' answers.</w:t>
      </w:r>
    </w:p>
    <w:p>
      <w:r>
        <w:br w:type="page"/>
      </w:r>
    </w:p>
    <w:p>
      <w:pPr>
        <w:pStyle w:val="Heading1"/>
      </w:pPr>
      <w:r>
        <w:rPr>
          <w:rFonts w:ascii="Calibri" w:hAnsi="Calibri"/>
          <w:color w:val="0F172A"/>
          <w:sz w:val="32"/>
        </w:rPr>
        <w:t>12. Version History / Changelog</w:t>
      </w:r>
    </w:p>
    <w:p>
      <w:r>
        <w:t>This section tracks changes to the SME Rating Engine and this user manual.</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60" w:left="80" w:bottom="60" w:right="80"/>
            <w:shd w:fill="0F172A"/>
          </w:tcPr>
          <w:p>
            <w:pPr>
              <w:jc w:val="center"/>
            </w:pPr>
            <w:r>
              <w:rPr>
                <w:rFonts w:ascii="Calibri" w:hAnsi="Calibri"/>
                <w:b/>
                <w:color w:val="FFFFFF"/>
                <w:sz w:val="20"/>
              </w:rPr>
              <w:t>Version</w:t>
            </w:r>
          </w:p>
        </w:tc>
        <w:tc>
          <w:tcPr>
            <w:tcW w:type="dxa" w:w="3120"/>
            <w:tcMar w:top="60" w:left="80" w:bottom="60" w:right="80"/>
            <w:shd w:fill="0F172A"/>
          </w:tcPr>
          <w:p>
            <w:pPr>
              <w:jc w:val="center"/>
            </w:pPr>
            <w:r>
              <w:rPr>
                <w:rFonts w:ascii="Calibri" w:hAnsi="Calibri"/>
                <w:b/>
                <w:color w:val="FFFFFF"/>
                <w:sz w:val="20"/>
              </w:rPr>
              <w:t>Date</w:t>
            </w:r>
          </w:p>
        </w:tc>
        <w:tc>
          <w:tcPr>
            <w:tcW w:type="dxa" w:w="3120"/>
            <w:tcMar w:top="60" w:left="80" w:bottom="60" w:right="80"/>
            <w:shd w:fill="0F172A"/>
          </w:tcPr>
          <w:p>
            <w:pPr>
              <w:jc w:val="center"/>
            </w:pPr>
            <w:r>
              <w:rPr>
                <w:rFonts w:ascii="Calibri" w:hAnsi="Calibri"/>
                <w:b/>
                <w:color w:val="FFFFFF"/>
                <w:sz w:val="20"/>
              </w:rPr>
              <w:t>Changes</w:t>
            </w:r>
          </w:p>
        </w:tc>
      </w:tr>
      <w:tr>
        <w:tc>
          <w:tcPr>
            <w:tcW w:type="dxa" w:w="3120"/>
            <w:tcMar w:top="60" w:left="80" w:bottom="60" w:right="80"/>
          </w:tcPr>
          <w:p>
            <w:r>
              <w:rPr>
                <w:rFonts w:ascii="Calibri" w:hAnsi="Calibri"/>
                <w:sz w:val="20"/>
              </w:rPr>
              <w:t>1.0</w:t>
            </w:r>
          </w:p>
        </w:tc>
        <w:tc>
          <w:tcPr>
            <w:tcW w:type="dxa" w:w="3120"/>
            <w:tcMar w:top="60" w:left="80" w:bottom="60" w:right="80"/>
          </w:tcPr>
          <w:p>
            <w:r>
              <w:rPr>
                <w:rFonts w:ascii="Calibri" w:hAnsi="Calibri"/>
                <w:sz w:val="20"/>
              </w:rPr>
              <w:t>March 2026</w:t>
            </w:r>
          </w:p>
        </w:tc>
        <w:tc>
          <w:tcPr>
            <w:tcW w:type="dxa" w:w="3120"/>
            <w:tcMar w:top="60" w:left="80" w:bottom="60" w:right="80"/>
          </w:tcPr>
          <w:p>
            <w:r>
              <w:rPr>
                <w:rFonts w:ascii="Calibri" w:hAnsi="Calibri"/>
                <w:sz w:val="20"/>
              </w:rPr>
              <w:t>Initial release</w:t>
            </w:r>
          </w:p>
        </w:tc>
      </w:tr>
      <w:tr>
        <w:tc>
          <w:tcPr>
            <w:tcW w:type="dxa" w:w="3120"/>
            <w:tcMar w:top="60" w:left="80" w:bottom="60" w:right="80"/>
            <w:shd w:fill="F1F5F9"/>
          </w:tcPr>
          <w:p>
            <w:r>
              <w:rPr>
                <w:rFonts w:ascii="Calibri" w:hAnsi="Calibri"/>
                <w:sz w:val="20"/>
              </w:rPr>
              <w:t>1.1</w:t>
            </w:r>
          </w:p>
        </w:tc>
        <w:tc>
          <w:tcPr>
            <w:tcW w:type="dxa" w:w="3120"/>
            <w:tcMar w:top="60" w:left="80" w:bottom="60" w:right="80"/>
            <w:shd w:fill="F1F5F9"/>
          </w:tcPr>
          <w:p>
            <w:r>
              <w:rPr>
                <w:rFonts w:ascii="Calibri" w:hAnsi="Calibri"/>
                <w:sz w:val="20"/>
              </w:rPr>
              <w:t>March 2026</w:t>
            </w:r>
          </w:p>
        </w:tc>
        <w:tc>
          <w:tcPr>
            <w:tcW w:type="dxa" w:w="3120"/>
            <w:tcMar w:top="60" w:left="80" w:bottom="60" w:right="80"/>
            <w:shd w:fill="F1F5F9"/>
          </w:tcPr>
          <w:p>
            <w:r>
              <w:rPr>
                <w:rFonts w:ascii="Calibri" w:hAnsi="Calibri"/>
                <w:sz w:val="20"/>
              </w:rPr>
              <w:t>Updated S&amp;T modifiers (1.35-1.63x), Finance modifiers (1.28-1.46x), Micro SME expanded to include S&amp;T and Finance. Added decision flowchart, glossary, market conditions guide, common mistakes section, expanded worked examples with detailed Step 3/4 numbers, and version history.</w:t>
            </w:r>
          </w:p>
        </w:tc>
      </w:tr>
      <w:tr>
        <w:tc>
          <w:tcPr>
            <w:tcW w:type="dxa" w:w="3120"/>
            <w:tcMar w:top="60" w:left="80" w:bottom="60" w:right="80"/>
          </w:tcPr>
          <w:p>
            <w:r>
              <w:rPr>
                <w:rFonts w:ascii="Calibri" w:hAnsi="Calibri"/>
                <w:sz w:val="20"/>
              </w:rPr>
              <w:t>1.2</w:t>
            </w:r>
          </w:p>
        </w:tc>
        <w:tc>
          <w:tcPr>
            <w:tcW w:type="dxa" w:w="3120"/>
            <w:tcMar w:top="60" w:left="80" w:bottom="60" w:right="80"/>
          </w:tcPr>
          <w:p>
            <w:r>
              <w:rPr>
                <w:rFonts w:ascii="Calibri" w:hAnsi="Calibri"/>
                <w:sz w:val="20"/>
              </w:rPr>
              <w:t>March 2026</w:t>
            </w:r>
          </w:p>
        </w:tc>
        <w:tc>
          <w:tcPr>
            <w:tcW w:type="dxa" w:w="3120"/>
            <w:tcMar w:top="60" w:left="80" w:bottom="60" w:right="80"/>
          </w:tcPr>
          <w:p>
            <w:r>
              <w:rPr>
                <w:rFonts w:ascii="Calibri" w:hAnsi="Calibri"/>
                <w:sz w:val="20"/>
              </w:rPr>
              <w:t>Removed Bryte Insurance from cover page. Added IT/Technical FAQ section. Improved fonts (Calibri 11pt body, 13pt H2, 16pt H1), spacing (1.3 line spacing), and table readability. Added numbered figure captions. Fixed section numbering.</w:t>
            </w:r>
          </w:p>
        </w:tc>
      </w:tr>
      <w:tr>
        <w:tc>
          <w:tcPr>
            <w:tcW w:type="dxa" w:w="3120"/>
            <w:tcMar w:top="60" w:left="80" w:bottom="60" w:right="80"/>
            <w:shd w:fill="F1F5F9"/>
          </w:tcPr>
          <w:p>
            <w:r>
              <w:rPr>
                <w:rFonts w:ascii="Calibri" w:hAnsi="Calibri"/>
                <w:sz w:val="20"/>
              </w:rPr>
              <w:t>1.3</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Renewal logic overhaul. Added Current FP Sub-limit as a required renewal field (all three renewal inputs now mandatory). Q9 auto-set to Yes and locked on Renewal. Prior claim and Renewal-with-Q9-No contradiction both now hard-block the quote as Refer to Senior UW. Step 2 recommendations now pin the existing cover as 'Current Cover'. Market-condition logic extended: softening → upgrade options, stable → alternatives, hardening → downgrade option. New Premium-drop Protection rule: when new premium at same cover/FP is &gt;20% below existing, the engine re-recommends a higher cover to retain ≥90% of existing premium, with a Corporate referral escalation if max SME cover still falls short. Renewal state fully clears on quote-type switch; step-2 selections re-auto-select when renewal inputs change. UW loading shown as a per-card badge with a comparison-caveat note. Section 3.7.3 added; Scenario 8.2b added for the trigger path.</w:t>
            </w:r>
          </w:p>
        </w:tc>
      </w:tr>
      <w:tr>
        <w:tc>
          <w:tcPr>
            <w:tcW w:type="dxa" w:w="3120"/>
            <w:tcMar w:top="60" w:left="80" w:bottom="60" w:right="80"/>
          </w:tcPr>
          <w:p>
            <w:r>
              <w:rPr>
                <w:rFonts w:ascii="Calibri" w:hAnsi="Calibri"/>
                <w:sz w:val="20"/>
              </w:rPr>
              <w:t>1.3.1</w:t>
            </w:r>
          </w:p>
        </w:tc>
        <w:tc>
          <w:tcPr>
            <w:tcW w:type="dxa" w:w="3120"/>
            <w:tcMar w:top="60" w:left="80" w:bottom="60" w:right="80"/>
          </w:tcPr>
          <w:p>
            <w:r>
              <w:rPr>
                <w:rFonts w:ascii="Calibri" w:hAnsi="Calibri"/>
                <w:sz w:val="20"/>
              </w:rPr>
              <w:t>April 2026</w:t>
            </w:r>
          </w:p>
        </w:tc>
        <w:tc>
          <w:tcPr>
            <w:tcW w:type="dxa" w:w="3120"/>
            <w:tcMar w:top="60" w:left="80" w:bottom="60" w:right="80"/>
          </w:tcPr>
          <w:p>
            <w:r>
              <w:rPr>
                <w:rFonts w:ascii="Calibri" w:hAnsi="Calibri"/>
                <w:sz w:val="20"/>
              </w:rPr>
              <w:t>Rule I ladder-gap refinement. When the Premium-drop target is more than one step above the existing cover (e.g. R5M → R10M skipping R7.5M), the engine now fills the skipped covers as Alternative cards rather than showing only the target plus one cover above it. Each intermediate Alternative card displays a 'XX% retention' badge showing the new premium as a percentage of existing at matched FP, so the underwriter can see at a glance how close each skipped cover sits to the 90% bar. The above-target Alternative is dropped in the ladder-gap case (no clutter). Adjacent target behaviour (target = existing+1) is preserved unchanged. Scenario 8.2c added for the ladder-gap worked example.</w:t>
            </w:r>
          </w:p>
        </w:tc>
      </w:tr>
      <w:tr>
        <w:tc>
          <w:tcPr>
            <w:tcW w:type="dxa" w:w="3120"/>
            <w:tcMar w:top="60" w:left="80" w:bottom="60" w:right="80"/>
            <w:shd w:fill="F1F5F9"/>
          </w:tcPr>
          <w:p>
            <w:r>
              <w:rPr>
                <w:rFonts w:ascii="Calibri" w:hAnsi="Calibri"/>
                <w:sz w:val="20"/>
              </w:rPr>
              <w:t>1.3.2</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Step 2 recommendation cards now update live when the FP selector or FP option tab is changed. The displayed premium + ‘FP incl’ text on each card reflects the active quoteOption’s fpIndex when the cover is selected, falling back to matched-FP (renewal) or base FP (new business) when not. Selection state is preserved across re-renders. Retention badges on Rule I intermediate Alternatives also update live — bumping an intermediate cover’s FP can visibly push its retention above the 90% bar.</w:t>
            </w:r>
          </w:p>
        </w:tc>
      </w:tr>
      <w:tr>
        <w:tc>
          <w:tcPr>
            <w:tcW w:type="dxa" w:w="3120"/>
            <w:tcMar w:top="60" w:left="80" w:bottom="60" w:right="80"/>
          </w:tcPr>
          <w:p>
            <w:r>
              <w:rPr>
                <w:rFonts w:ascii="Calibri" w:hAnsi="Calibri"/>
                <w:sz w:val="20"/>
              </w:rPr>
              <w:t>1.4.1</w:t>
            </w:r>
          </w:p>
        </w:tc>
        <w:tc>
          <w:tcPr>
            <w:tcW w:type="dxa" w:w="3120"/>
            <w:tcMar w:top="60" w:left="80" w:bottom="60" w:right="80"/>
          </w:tcPr>
          <w:p>
            <w:r>
              <w:rPr>
                <w:rFonts w:ascii="Calibri" w:hAnsi="Calibri"/>
                <w:sz w:val="20"/>
              </w:rPr>
              <w:t>April 2026</w:t>
            </w:r>
          </w:p>
        </w:tc>
        <w:tc>
          <w:tcPr>
            <w:tcW w:type="dxa" w:w="3120"/>
            <w:tcMar w:top="60" w:left="80" w:bottom="60" w:right="80"/>
          </w:tcPr>
          <w:p>
            <w:r>
              <w:rPr>
                <w:rFonts w:ascii="Calibri" w:hAnsi="Calibri"/>
                <w:sz w:val="20"/>
              </w:rPr>
              <w:t>Layout + PDF rendering fixes identified during a full quoting-flow audit. Step 1: when Q8 (prior cover) is locked on a renewal and the optional Insurer / Inception-Date follow-up panel is shown, the question text was being squeezed into a narrow column because all four children (text, Y/N toggles, follow-up, lock-hint) were competing for horizontal space in a single flex row. The fix scopes flex-wrap to questions that have a follow-up or lock-hint so they break to a full-width row below the Y/N toggles (regular questions without a follow-up keep their single-row layout). PDF audit output: the ⚠ warning-triangle character and the ≥ greater-or-equal symbol are outside jsPDF's WinAnsi encoding and were causing text mojibake + truncation (the Premium-loss-risk line was rendering with exaggerated letter spacing and cut off on the right edge). Both characters replaced with WinAnsi-safe alternatives ("!" prefix and "at least 90%" phrasing). Stale "Q2–Q6" references in HTML banners, card tooltips, Step 4 UW Conditions Panel, and PDF comparison caveat updated to the correct new "Q2.1–Q5" loading-pool range.</w:t>
            </w:r>
          </w:p>
        </w:tc>
      </w:tr>
      <w:tr>
        <w:tc>
          <w:tcPr>
            <w:tcW w:type="dxa" w:w="3120"/>
            <w:tcMar w:top="60" w:left="80" w:bottom="60" w:right="80"/>
            <w:shd w:fill="F1F5F9"/>
          </w:tcPr>
          <w:p>
            <w:r>
              <w:rPr>
                <w:rFonts w:ascii="Calibri" w:hAnsi="Calibri"/>
                <w:sz w:val="20"/>
              </w:rPr>
              <w:t>1.4</w:t>
            </w:r>
          </w:p>
        </w:tc>
        <w:tc>
          <w:tcPr>
            <w:tcW w:type="dxa" w:w="3120"/>
            <w:tcMar w:top="60" w:left="80" w:bottom="60" w:right="80"/>
            <w:shd w:fill="F1F5F9"/>
          </w:tcPr>
          <w:p>
            <w:r>
              <w:rPr>
                <w:rFonts w:ascii="Calibri" w:hAnsi="Calibri"/>
                <w:sz w:val="20"/>
              </w:rPr>
              <w:t>April 2026</w:t>
            </w:r>
          </w:p>
        </w:tc>
        <w:tc>
          <w:tcPr>
            <w:tcW w:type="dxa" w:w="3120"/>
            <w:tcMar w:top="60" w:left="80" w:bottom="60" w:right="80"/>
            <w:shd w:fill="F1F5F9"/>
          </w:tcPr>
          <w:p>
            <w:r>
              <w:rPr>
                <w:rFonts w:ascii="Calibri" w:hAnsi="Calibri"/>
                <w:sz w:val="20"/>
              </w:rPr>
              <w:t>Underwriting question set aligned to the V1 2026 Business Proposal e-file. Q1 expanded from a single question to a compound question with four baseline sub-parts (Q1.1 AV/EDR, Q1.2 Firewall, Q1.3 Email security, Q1.4 Web filtering), plus an optional free-text field for the endpoint security vendor + product name. Q1.1 OR Q1.2 = No is the new decline gate; Q1.3 or Q1.4 = No becomes a Condition of Cover (proceed with caution). Old Q5 (email filter) was absorbed into Q1.3 and removed. Old Q6 (employee training) renumbered to Q5. Old Q7 (FP procedures) → Q6. Old Q8 (bank verification) → Q7. Old Q9 (prior cover) → Q8, with optional Insurer + Inception Date follow-up fields shown when Q8 = Yes (auto-revealed on Renewal). Q2.1 and Q2.2 are now independent scoreable questions (no longer compounded), bringing the loading pool to 5 independent questions (Q2.1, Q2.2, Q3, Q4, Q5). UNDERWRITING_LOADINGS table remapped to a ‘grace of two’ model: 0/1/2 Nos = 0% loading, 3 = 5%, 4 = 10%, 5 = 15%. No decline from the loading pool. checkNextBtn1 now requires Q1.1 AND Q1.2 answered (was just Q1). All internal references (renewal Q-lock, renewal-Q-contradiction defensive check, condition-of-cover text, FP-dependent visibility IDs, clipboard summary, PDF audit) updated to the new numbering.</w:t>
            </w:r>
          </w:p>
        </w:tc>
      </w:tr>
      <w:tr>
        <w:tc>
          <w:tcPr>
            <w:tcW w:type="dxa" w:w="3120"/>
            <w:tcMar w:top="60" w:left="80" w:bottom="60" w:right="80"/>
          </w:tcPr>
          <w:p>
            <w:r>
              <w:rPr>
                <w:rFonts w:ascii="Calibri" w:hAnsi="Calibri"/>
                <w:sz w:val="20"/>
              </w:rPr>
              <w:t>2.0</w:t>
            </w:r>
          </w:p>
        </w:tc>
        <w:tc>
          <w:tcPr>
            <w:tcW w:type="dxa" w:w="3120"/>
            <w:tcMar w:top="60" w:left="80" w:bottom="60" w:right="80"/>
          </w:tcPr>
          <w:p>
            <w:r>
              <w:rPr>
                <w:rFonts w:ascii="Calibri" w:hAnsi="Calibri"/>
                <w:sz w:val="20"/>
              </w:rPr>
              <w:t>July 2026</w:t>
            </w:r>
          </w:p>
        </w:tc>
        <w:tc>
          <w:tcPr>
            <w:tcW w:type="dxa" w:w="3120"/>
            <w:tcMar w:top="60" w:left="80" w:bottom="60" w:right="80"/>
          </w:tcPr>
          <w:p>
            <w:r>
              <w:rPr>
                <w:rFonts w:ascii="Calibri" w:hAnsi="Calibri"/>
                <w:sz w:val="20"/>
              </w:rPr>
              <w:t>Platform migration. The engine moved from the Render deployment to the Phishield VM at https://veilguard.phishield.com/smerating/ (update your Production URL bookmark). The frontend was rebuilt in React and the quote store moved to a dedicated PostgreSQL database. There is NO change to the rating logic, underwriting rules, premiums, cover recommendations, multi-cover comparison, the renewal premium-drop-protection ladder, or the quote-output PDF — the calculation engine was carried over verbatim and is locked by an automated parity check (49,000+ premium, 5,200+ underwriting and 596 recommendation/renewal comparisons, plus a PDF text-and-position comparison, all identical to the previous version). The workflow, screens, and outputs are unchanged; only the web address is different.</w:t>
            </w:r>
          </w:p>
        </w:tc>
      </w:tr>
    </w:tbl>
    <w:p/>
    <w:p>
      <w:r>
        <w:br w:type="page"/>
      </w:r>
    </w:p>
    <w:p/>
    <w:p/>
    <w:p/>
    <w:p/>
    <w:p/>
    <w:p/>
    <w:p/>
    <w:p/>
    <w:p>
      <w:pPr>
        <w:jc w:val="center"/>
      </w:pPr>
      <w:r>
        <w:rPr>
          <w:b/>
          <w:color w:val="0F172A"/>
          <w:sz w:val="28"/>
        </w:rPr>
        <w:t>End of Document</w:t>
      </w:r>
    </w:p>
    <w:p/>
    <w:p>
      <w:pPr>
        <w:jc w:val="center"/>
      </w:pPr>
      <w:r>
        <w:rPr>
          <w:color w:val="64748B"/>
          <w:sz w:val="18"/>
        </w:rPr>
        <w:t>This document is confidential and intended for internal use by Phishield UMA (Pty) Ltd staff only.</w:t>
        <w:br/>
        <w:t>Cyber Protect Business Policy (Risk Rated) is underwritten by Bryte Insurance Company Limited.</w:t>
        <w:br/>
        <w:br/>
        <w:t>For questions or feedback about this manual, contact your team lead or the product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