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744"/>
          <w:sz w:val="22"/>
        </w:rPr>
        <w:t>PHISHIELD CYBER RISK SCANNER</w:t>
      </w:r>
    </w:p>
    <w:p>
      <w:pPr>
        <w:jc w:val="center"/>
      </w:pPr>
      <w:r>
        <w:rPr>
          <w:b/>
          <w:color w:val="0F2744"/>
          <w:sz w:val="40"/>
        </w:rPr>
        <w:t>Outstanding Items</w:t>
      </w:r>
    </w:p>
    <w:p>
      <w:pPr>
        <w:jc w:val="center"/>
      </w:pPr>
      <w:r>
        <w:rPr>
          <w:i/>
          <w:color w:val="64748B"/>
          <w:sz w:val="18"/>
        </w:rPr>
        <w:t>Generated from OUTSTANDING.md</w:t>
      </w:r>
    </w:p>
    <w:p/>
    <w:p>
      <w:r>
        <w:rPr>
          <w:b/>
        </w:rPr>
        <w:t>Last updated</w:t>
      </w:r>
      <w:r>
        <w:t>: 2026-05-16</w:t>
      </w:r>
    </w:p>
    <w:p>
      <w:r>
        <w:rPr>
          <w:b/>
        </w:rPr>
        <w:t>Owner</w:t>
      </w:r>
      <w:r>
        <w:t>: SML Consulting (engineering) + Phishield UMA (ops)</w:t>
      </w:r>
    </w:p>
    <w:p>
      <w:r>
        <w:rPr>
          <w:b/>
        </w:rPr>
        <w:t>Authoritative source</w:t>
      </w:r>
      <w:r>
        <w:t xml:space="preserve"> for items pending across the scanner project.</w:t>
      </w:r>
    </w:p>
    <w:p>
      <w:r>
        <w:t>Consolidates open items from gap analysis SCN-* entries, memory files,</w:t>
      </w:r>
    </w:p>
    <w:p>
      <w:r>
        <w:t>and session-level decisions. Update this file whenever a new</w:t>
      </w:r>
    </w:p>
    <w:p>
      <w:r>
        <w:t>outstanding item lands.</w:t>
      </w:r>
    </w:p>
    <w:p>
      <w:r>
        <w:rPr>
          <w:b/>
        </w:rPr>
        <w:t>File pair:</w:t>
      </w:r>
    </w:p>
    <w:p>
      <w:pPr>
        <w:pStyle w:val="ListBullet"/>
      </w:pPr>
      <w:r>
        <w:rPr>
          <w:rFonts w:ascii="Consolas" w:hAnsi="Consolas"/>
          <w:sz w:val="18"/>
        </w:rPr>
        <w:t>OUTSTANDING.md</w:t>
      </w:r>
      <w:r>
        <w:t xml:space="preserve"> (this file) is the live working version — edit here.</w:t>
      </w:r>
    </w:p>
    <w:p>
      <w:pPr>
        <w:pStyle w:val="ListBullet"/>
      </w:pPr>
      <w:r>
        <w:rPr>
          <w:rFonts w:ascii="Consolas" w:hAnsi="Consolas"/>
          <w:sz w:val="18"/>
        </w:rPr>
        <w:t>OUTSTANDING.docx</w:t>
      </w:r>
      <w:r>
        <w:t xml:space="preserve"> is a polished read-only snapshot for easy reading.</w:t>
      </w:r>
    </w:p>
    <w:p>
      <w:r>
        <w:t xml:space="preserve">  Regenerate after each edit with </w:t>
      </w:r>
      <w:r>
        <w:rPr>
          <w:rFonts w:ascii="Consolas" w:hAnsi="Consolas"/>
          <w:sz w:val="18"/>
        </w:rPr>
        <w:t>py -3 tooling/generate_outstanding_docx.py</w:t>
      </w:r>
    </w:p>
    <w:p>
      <w:r>
        <w:t xml:space="preserve">  (from the </w:t>
      </w:r>
      <w:r>
        <w:rPr>
          <w:rFonts w:ascii="Consolas" w:hAnsi="Consolas"/>
          <w:sz w:val="18"/>
        </w:rPr>
        <w:t>security_scanner/</w:t>
      </w:r>
      <w:r>
        <w:t xml:space="preserve"> directory). The script applies Phishield</w:t>
      </w:r>
    </w:p>
    <w:p>
      <w:r>
        <w:t xml:space="preserve">  branding and formats tables for printable / shareable output.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1. Hosting / infrastructure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Target date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Cloudflare / Hetzner proxy for `phishield.com/scanner-info`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Pending hosting-company action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Hosting team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Tuesday 2026-05-19 (WordPress → HTML cutover). Handoff doc at </w:t>
            </w:r>
            <w:r>
              <w:rPr>
                <w:rFonts w:ascii="Consolas" w:hAnsi="Consolas"/>
                <w:sz w:val="19"/>
              </w:rPr>
              <w:t>docs/scanner_info_proxy_setup.md</w:t>
            </w:r>
            <w:r>
              <w:rPr>
                <w:sz w:val="19"/>
              </w:rPr>
              <w:t>. Options: static copy (simplest), nginx reverse-proxy (cleanest), Cloudflare layer (long-term).</w:t>
            </w:r>
          </w:p>
        </w:tc>
      </w:tr>
      <w:tr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User-Agent flip back to canonical `phishield.com/scanner-info`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Blocked by proxy above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Engineering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After hosting team confirms </w:t>
            </w:r>
            <w:r>
              <w:rPr>
                <w:rFonts w:ascii="Consolas" w:hAnsi="Consolas"/>
                <w:sz w:val="19"/>
              </w:rPr>
              <w:t>phishield.com/scanner-info</w:t>
            </w:r>
            <w:r>
              <w:rPr>
                <w:sz w:val="19"/>
              </w:rPr>
              <w:t xml:space="preserve"> returns 200. Single-line change in </w:t>
            </w:r>
            <w:r>
              <w:rPr>
                <w:rFonts w:ascii="Consolas" w:hAnsi="Consolas"/>
                <w:sz w:val="19"/>
              </w:rPr>
              <w:t>http_client.py</w:t>
            </w:r>
            <w:r>
              <w:rPr>
                <w:sz w:val="19"/>
              </w:rPr>
              <w:t xml:space="preserve"> USER_AGENT constant.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GCP / Vertex AI migration of scanner backend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Future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Phishield ops + engineering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No fixed date. Adds protected environment + LLM-augmented analysis. When this lands: re-run scanner-info IP-range description; update User-Agent host; migrate </w:t>
            </w:r>
            <w:r>
              <w:rPr>
                <w:rFonts w:ascii="Consolas" w:hAnsi="Consolas"/>
                <w:sz w:val="19"/>
              </w:rPr>
              <w:t>scans.db</w:t>
            </w:r>
            <w:r>
              <w:rPr>
                <w:sz w:val="19"/>
              </w:rPr>
              <w:t xml:space="preserve"> from SQLite-on-Render to Cloud SQL Postgres.</w:t>
            </w:r>
          </w:p>
        </w:tc>
      </w:tr>
      <w:tr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Eventual move to Hetzner self-hosted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Future-future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TBD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After GCP/Vertex experience accumulated.</w:t>
            </w:r>
          </w:p>
        </w:tc>
      </w:tr>
    </w:tbl>
    <w:p/>
    <w:p>
      <w:pPr>
        <w:spacing w:before="280" w:after="80"/>
      </w:pPr>
      <w:r>
        <w:rPr>
          <w:b/>
          <w:color w:val="0F2744"/>
          <w:sz w:val="28"/>
        </w:rPr>
        <w:t>2. External API budget (Phase 2 unblockers)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API</w:t>
            </w:r>
          </w:p>
        </w:tc>
        <w:tc>
          <w:tcPr>
            <w:tcW w:type="dxa" w:w="199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Current tier</w:t>
            </w:r>
          </w:p>
        </w:tc>
        <w:tc>
          <w:tcPr>
            <w:tcW w:type="dxa" w:w="199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Required tier for 4,000-cohort</w:t>
            </w:r>
          </w:p>
        </w:tc>
        <w:tc>
          <w:tcPr>
            <w:tcW w:type="dxa" w:w="199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Estimated monthly cost</w:t>
            </w:r>
          </w:p>
        </w:tc>
        <w:tc>
          <w:tcPr>
            <w:tcW w:type="dxa" w:w="199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Action by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Shodan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Free </w:t>
            </w:r>
            <w:r>
              <w:rPr>
                <w:rFonts w:ascii="Consolas" w:hAnsi="Consolas"/>
                <w:sz w:val="19"/>
              </w:rPr>
              <w:t>oss</w:t>
            </w:r>
            <w:r>
              <w:rPr>
                <w:sz w:val="19"/>
              </w:rPr>
              <w:t xml:space="preserve"> (0 query credits — confirmed via </w:t>
            </w:r>
            <w:r>
              <w:rPr>
                <w:rFonts w:ascii="Consolas" w:hAnsi="Consolas"/>
                <w:sz w:val="19"/>
              </w:rPr>
              <w:t>/api-info</w:t>
            </w:r>
            <w:r>
              <w:rPr>
                <w:sz w:val="19"/>
              </w:rPr>
              <w:t xml:space="preserve"> 2026-05-29)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Freelancer ($69/mo, 10,000 query credits)</w:t>
            </w:r>
            <w:r>
              <w:rPr>
                <w:sz w:val="19"/>
              </w:rPr>
              <w:t xml:space="preserve"> unlocks search + origin cert-search. One-time </w:t>
            </w:r>
            <w:r>
              <w:rPr>
                <w:b/>
                <w:sz w:val="19"/>
              </w:rPr>
              <w:t>Membership (~$49, 100 credits/mo)</w:t>
            </w:r>
            <w:r>
              <w:rPr>
                <w:sz w:val="19"/>
              </w:rPr>
              <w:t xml:space="preserve"> is a low-volume stopgap.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~$69/mo (≈R1,300) if per-IP vuln data stays on free InternetDB and only origin cert-search spends credits (~1 credit/scan). Higher only if per-IP </w:t>
            </w:r>
            <w:r>
              <w:rPr>
                <w:rFonts w:ascii="Consolas" w:hAnsi="Consolas"/>
                <w:sz w:val="19"/>
              </w:rPr>
              <w:t>/shodan/host/{ip}</w:t>
            </w:r>
            <w:r>
              <w:rPr>
                <w:sz w:val="19"/>
              </w:rPr>
              <w:t xml:space="preserve"> lookups are also moved to the paid API.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Before 1 July 2026 — </w:t>
            </w:r>
            <w:r>
              <w:rPr>
                <w:b/>
                <w:sz w:val="19"/>
              </w:rPr>
              <w:t>also gates origin IP discovery (see §5, item 4c), which is a scanner-breaking RDP false-negative on CDN-fronted targets</w:t>
            </w:r>
          </w:p>
        </w:tc>
      </w:tr>
      <w:tr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SecurityTrails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Free (100/month; history endpoint works on current key — confirmed 2026-05-29, NOT paid-gated)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Paid tier for sustained usage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Similar order of magnitude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Before 1 July 2026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VirusTotal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Free (4/min, 500/day)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No upgrade needed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</w:tr>
      <w:tr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IntelX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CRITICAL.</w:t>
            </w:r>
            <w:r>
              <w:rPr>
                <w:sz w:val="19"/>
              </w:rPr>
              <w:t xml:space="preserve"> Returning data in the 2026-05-29 live test (300 results: 260 leak + 40 paste mentions, with per-record dates) — the "expired 2026-04-08" note is stale, the configured key currently works. It is now </w:t>
            </w:r>
            <w:r>
              <w:rPr>
                <w:b/>
                <w:sz w:val="19"/>
              </w:rPr>
              <w:t>load-bearing</w:t>
            </w:r>
            <w:r>
              <w:rPr>
                <w:sz w:val="19"/>
              </w:rPr>
              <w:t xml:space="preserve">: the 4th signal (active forum/dump circulation + recency dates) in the </w:t>
            </w:r>
            <w:r>
              <w:rPr>
                <w:b/>
                <w:sz w:val="19"/>
              </w:rPr>
              <w:t>Credential Exposure Correlation</w:t>
            </w:r>
            <w:r>
              <w:rPr>
                <w:sz w:val="19"/>
              </w:rPr>
              <w:t>.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Confirm a sustainable IntelX subscription OR equivalent (Snusbase / LeakCheck Pro / SpyCloud) — must persist, not lapse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TBD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CRITICAL — before shipping live.</w:t>
            </w:r>
            <w:r>
              <w:rPr>
                <w:sz w:val="19"/>
              </w:rPr>
              <w:t xml:space="preserve"> Credential correlation degrades gracefully without it ("monitoring pending") but loses the active-circulation signal + its main recency source.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HIBP, Hudson Rock, OSV.dev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Free unlimited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No upgrade needed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</w:tr>
    </w:tbl>
    <w:p/>
    <w:p>
      <w:pPr>
        <w:spacing w:before="200" w:after="40"/>
      </w:pPr>
      <w:r>
        <w:rPr>
          <w:b/>
          <w:color w:val="0F2744"/>
          <w:sz w:val="22"/>
        </w:rPr>
        <w:t>Shodan origin cert-search — how to make it live</w:t>
      </w:r>
    </w:p>
    <w:p>
      <w:r>
        <w:t>Origin IP discovery (</w:t>
      </w:r>
      <w:r>
        <w:rPr>
          <w:rFonts w:ascii="Consolas" w:hAnsi="Consolas"/>
          <w:sz w:val="18"/>
        </w:rPr>
        <w:t>origin_discovery.py</w:t>
      </w:r>
      <w:r>
        <w:t xml:space="preserve">) is </w:t>
      </w:r>
      <w:r>
        <w:rPr>
          <w:b/>
        </w:rPr>
        <w:t>already wired and deployed</w:t>
      </w:r>
      <w:r>
        <w:t>.</w:t>
      </w:r>
    </w:p>
    <w:p>
      <w:r>
        <w:t>It works in two stages and the paid stage **auto-activates the moment a paid</w:t>
      </w:r>
    </w:p>
    <w:p>
      <w:r>
        <w:t>key is in place — no code change or redeploy of logic is needed**:</w:t>
      </w:r>
    </w:p>
    <w:p>
      <w:pPr>
        <w:pStyle w:val="ListBullet"/>
      </w:pPr>
      <w:r>
        <w:rPr>
          <w:b/>
        </w:rPr>
        <w:t>Free stage (live now):</w:t>
      </w:r>
      <w:r>
        <w:t xml:space="preserve"> </w:t>
      </w:r>
      <w:r>
        <w:rPr>
          <w:rFonts w:ascii="Consolas" w:hAnsi="Consolas"/>
          <w:sz w:val="18"/>
        </w:rPr>
        <w:t>/shodan/host/count</w:t>
      </w:r>
      <w:r>
        <w:t xml:space="preserve"> returns how many internet</w:t>
      </w:r>
    </w:p>
    <w:p>
      <w:r>
        <w:t xml:space="preserve">   hosts present the target's TLS certificate. Surfaced in the report as the</w:t>
      </w:r>
    </w:p>
    <w:p>
      <w:r>
        <w:t xml:space="preserve">   "Origin IP Discovery" card. When that count exceeds the origins we confirm</w:t>
      </w:r>
    </w:p>
    <w:p>
      <w:r>
        <w:t xml:space="preserve">   via DNS history, the report flags a likely </w:t>
      </w:r>
      <w:r>
        <w:rPr>
          <w:b/>
        </w:rPr>
        <w:t>undiscovered exposed origin</w:t>
      </w:r>
      <w:r>
        <w:t>.</w:t>
      </w:r>
    </w:p>
    <w:p>
      <w:pPr>
        <w:pStyle w:val="ListBullet"/>
      </w:pPr>
      <w:r>
        <w:rPr>
          <w:b/>
        </w:rPr>
        <w:t>Paid stage (pending key):</w:t>
      </w:r>
      <w:r>
        <w:t xml:space="preserve"> </w:t>
      </w:r>
      <w:r>
        <w:rPr>
          <w:rFonts w:ascii="Consolas" w:hAnsi="Consolas"/>
          <w:sz w:val="18"/>
        </w:rPr>
        <w:t>/shodan/host/search</w:t>
      </w:r>
      <w:r>
        <w:t xml:space="preserve"> returns the actual</w:t>
      </w:r>
    </w:p>
    <w:p>
      <w:r>
        <w:t xml:space="preserve">   origin IPs. On the free </w:t>
      </w:r>
      <w:r>
        <w:rPr>
          <w:rFonts w:ascii="Consolas" w:hAnsi="Consolas"/>
          <w:sz w:val="18"/>
        </w:rPr>
        <w:t>oss</w:t>
      </w:r>
      <w:r>
        <w:t xml:space="preserve"> plan it returns HTTP 403 and we fall back to</w:t>
      </w:r>
    </w:p>
    <w:p>
      <w:r>
        <w:t xml:space="preserve">   count-only. On a paid plan it returns the IPs, which are then TLS-cert</w:t>
      </w:r>
    </w:p>
    <w:p>
      <w:r>
        <w:t xml:space="preserve">   verified and scanned like any other origin.</w:t>
      </w:r>
    </w:p>
    <w:p>
      <w:r>
        <w:rPr>
          <w:b/>
        </w:rPr>
        <w:t>Go-live steps:</w:t>
      </w:r>
    </w:p>
    <w:p>
      <w:pPr>
        <w:pStyle w:val="ListBullet"/>
      </w:pPr>
      <w:r>
        <w:t xml:space="preserve">Buy a Shodan plan — </w:t>
      </w:r>
      <w:r>
        <w:rPr>
          <w:b/>
        </w:rPr>
        <w:t>Freelancer ($69/mo)</w:t>
      </w:r>
      <w:r>
        <w:t xml:space="preserve"> recommended (10,000 query</w:t>
      </w:r>
    </w:p>
    <w:p>
      <w:r>
        <w:t xml:space="preserve">   credits/mo); or one-time </w:t>
      </w:r>
      <w:r>
        <w:rPr>
          <w:b/>
        </w:rPr>
        <w:t>Membership (~$49)</w:t>
      </w:r>
      <w:r>
        <w:t xml:space="preserve"> for low volume. Buy it on</w:t>
      </w:r>
    </w:p>
    <w:p>
      <w:r>
        <w:t xml:space="preserve">   the Shodan account </w:t>
      </w:r>
      <w:r>
        <w:rPr>
          <w:b/>
        </w:rPr>
        <w:t>whose API key is already set in Render</w:t>
      </w:r>
      <w:r>
        <w:t xml:space="preserve"> (so credits</w:t>
      </w:r>
    </w:p>
    <w:p>
      <w:r>
        <w:t xml:space="preserve">   attach to that key), or buy on a new account and update the key in step 2.</w:t>
      </w:r>
    </w:p>
    <w:p>
      <w:pPr>
        <w:pStyle w:val="ListBullet"/>
      </w:pPr>
      <w:r>
        <w:t xml:space="preserve">Set / confirm </w:t>
      </w:r>
      <w:r>
        <w:rPr>
          <w:rFonts w:ascii="Consolas" w:hAnsi="Consolas"/>
          <w:sz w:val="18"/>
        </w:rPr>
        <w:t>SHODAN_API_KEY</w:t>
      </w:r>
      <w:r>
        <w:t xml:space="preserve"> in the Render environment for the scanner</w:t>
      </w:r>
    </w:p>
    <w:p>
      <w:r>
        <w:t xml:space="preserve">   service (Render → service → Environment). No code change required.</w:t>
      </w:r>
    </w:p>
    <w:p>
      <w:pPr>
        <w:pStyle w:val="ListBullet"/>
      </w:pPr>
      <w:r>
        <w:t xml:space="preserve">(Optional) verify with </w:t>
      </w:r>
      <w:r>
        <w:rPr>
          <w:rFonts w:ascii="Consolas" w:hAnsi="Consolas"/>
          <w:sz w:val="18"/>
        </w:rPr>
        <w:t>GET https://api.shodan.io/api-info?key=...</w:t>
      </w:r>
      <w:r>
        <w:t xml:space="preserve"> —</w:t>
      </w:r>
    </w:p>
    <w:p>
      <w:r>
        <w:t xml:space="preserve">   </w:t>
      </w:r>
      <w:r>
        <w:rPr>
          <w:rFonts w:ascii="Consolas" w:hAnsi="Consolas"/>
          <w:sz w:val="18"/>
        </w:rPr>
        <w:t>query_credits</w:t>
      </w:r>
      <w:r>
        <w:t xml:space="preserve"> should be &gt; 0 and </w:t>
      </w:r>
      <w:r>
        <w:rPr>
          <w:rFonts w:ascii="Consolas" w:hAnsi="Consolas"/>
          <w:sz w:val="18"/>
        </w:rPr>
        <w:t>plan</w:t>
      </w:r>
      <w:r>
        <w:t xml:space="preserve"> should read </w:t>
      </w:r>
      <w:r>
        <w:rPr>
          <w:rFonts w:ascii="Consolas" w:hAnsi="Consolas"/>
          <w:sz w:val="18"/>
        </w:rPr>
        <w:t>dev</w:t>
      </w:r>
      <w:r>
        <w:t>/</w:t>
      </w:r>
      <w:r>
        <w:rPr>
          <w:rFonts w:ascii="Consolas" w:hAnsi="Consolas"/>
          <w:sz w:val="18"/>
        </w:rPr>
        <w:t>member</w:t>
      </w:r>
      <w:r>
        <w:t>/etc.,</w:t>
      </w:r>
    </w:p>
    <w:p>
      <w:r>
        <w:t xml:space="preserve">   not </w:t>
      </w:r>
      <w:r>
        <w:rPr>
          <w:rFonts w:ascii="Consolas" w:hAnsi="Consolas"/>
          <w:sz w:val="18"/>
        </w:rPr>
        <w:t>oss</w:t>
      </w:r>
      <w:r>
        <w:t>.</w:t>
      </w:r>
    </w:p>
    <w:p>
      <w:pPr>
        <w:pStyle w:val="ListBullet"/>
      </w:pPr>
      <w:r>
        <w:t>Next scan of a CDN-fronted domain will retrieve + verify + scan the real</w:t>
      </w:r>
    </w:p>
    <w:p>
      <w:r>
        <w:t xml:space="preserve">   origin IPs automatically; the "Origin IP Discovery" card switches from a</w:t>
      </w:r>
    </w:p>
    <w:p>
      <w:r>
        <w:t xml:space="preserve">   count-only hint to listing the verified origins.</w:t>
      </w:r>
    </w:p>
    <w:p>
      <w:r>
        <w:t xml:space="preserve">Budget note: keep per-IP vulnerability data on the </w:t>
      </w:r>
      <w:r>
        <w:rPr>
          <w:b/>
        </w:rPr>
        <w:t>free InternetDB</w:t>
      </w:r>
      <w:r>
        <w:t xml:space="preserve"> path</w:t>
      </w:r>
    </w:p>
    <w:p>
      <w:r>
        <w:t>(current default) so Shodan credits are spent only on the ~1-credit-per-scan</w:t>
      </w:r>
    </w:p>
    <w:p>
      <w:r>
        <w:t xml:space="preserve">cert-search. Moving </w:t>
      </w:r>
      <w:r>
        <w:rPr>
          <w:rFonts w:ascii="Consolas" w:hAnsi="Consolas"/>
          <w:sz w:val="18"/>
        </w:rPr>
        <w:t>/shodan/host/{ip}</w:t>
      </w:r>
      <w:r>
        <w:t xml:space="preserve"> per-IP lookups onto the paid API is</w:t>
      </w:r>
    </w:p>
    <w:p>
      <w:r>
        <w:t>the larger credit consumer (~1 credit per discovered IP per scan) and is a</w:t>
      </w:r>
    </w:p>
    <w:p>
      <w:r>
        <w:t>separate decision.</w:t>
      </w:r>
    </w:p>
    <w:p>
      <w:pPr>
        <w:spacing w:before="200" w:after="40"/>
      </w:pPr>
      <w:r>
        <w:rPr>
          <w:b/>
          <w:color w:val="0F2744"/>
          <w:sz w:val="22"/>
        </w:rPr>
        <w:t>IntelX (free tier) — current state + Wednesday testing</w:t>
      </w:r>
    </w:p>
    <w:p>
      <w:r>
        <w:t xml:space="preserve">Confirmed 2026-05-29: the configured IntelX key </w:t>
      </w:r>
      <w:r>
        <w:rPr>
          <w:b/>
        </w:rPr>
        <w:t>works</w:t>
      </w:r>
      <w:r>
        <w:t xml:space="preserve"> (the "trial expired"</w:t>
      </w:r>
    </w:p>
    <w:p>
      <w:r>
        <w:t>note was stale). **Correction (2026-05-31, verified live via</w:t>
      </w:r>
    </w:p>
    <w:p>
      <w:r>
        <w:rPr>
          <w:rFonts w:ascii="Consolas" w:hAnsi="Consolas"/>
          <w:sz w:val="18"/>
        </w:rPr>
        <w:t>/authenticate/info</w:t>
      </w:r>
      <w:r>
        <w:t>):</w:t>
      </w:r>
      <w:r>
        <w:rPr>
          <w:b/>
        </w:rPr>
        <w:t xml:space="preserve"> the free tier's search cap is </w:t>
      </w:r>
      <w:r>
        <w:rPr>
          <w:rFonts w:ascii="Consolas" w:hAnsi="Consolas"/>
          <w:sz w:val="18"/>
        </w:rPr>
        <w:t>CreditMax = 50</w:t>
      </w:r>
      <w:r>
        <w:t>** for</w:t>
      </w:r>
    </w:p>
    <w:p>
      <w:r>
        <w:rPr>
          <w:rFonts w:ascii="Consolas" w:hAnsi="Consolas"/>
          <w:sz w:val="18"/>
        </w:rPr>
        <w:t>/intelligent/search</w:t>
      </w:r>
      <w:r>
        <w:t xml:space="preserve"> (NOT ~500 — that was a wrong code comment). </w:t>
      </w:r>
      <w:r>
        <w:rPr>
          <w:rFonts w:ascii="Consolas" w:hAnsi="Consolas"/>
          <w:sz w:val="18"/>
        </w:rPr>
        <w:t>CreditReset</w:t>
      </w:r>
    </w:p>
    <w:p>
      <w:r>
        <w:t xml:space="preserve">is present so credits </w:t>
      </w:r>
      <w:r>
        <w:rPr>
          <w:b/>
        </w:rPr>
        <w:t>do replenish</w:t>
      </w:r>
      <w:r>
        <w:t xml:space="preserve"> (recurring, not one-off), but the cap is</w:t>
      </w:r>
    </w:p>
    <w:p>
      <w:r>
        <w:t xml:space="preserve">only </w:t>
      </w:r>
      <w:r>
        <w:rPr>
          <w:b/>
        </w:rPr>
        <w:t>~50 search credits per cycle</w:t>
      </w:r>
      <w:r>
        <w:t xml:space="preserve"> (1 credit/scan), and max 3 concurrent</w:t>
      </w:r>
    </w:p>
    <w:p>
      <w:r>
        <w:t xml:space="preserve">searches. So it is usable only for a </w:t>
      </w:r>
      <w:r>
        <w:rPr>
          <w:b/>
        </w:rPr>
        <w:t>handful of ad-hoc scans per cycle</w:t>
      </w:r>
      <w:r>
        <w:t xml:space="preserve"> —</w:t>
      </w:r>
    </w:p>
    <w:p>
      <w:r>
        <w:rPr>
          <w:b/>
        </w:rPr>
        <w:t>far too small for the 4,000-client cohort or sustained broker volume.</w:t>
      </w:r>
      <w:r>
        <w:t xml:space="preserve"> A</w:t>
      </w:r>
    </w:p>
    <w:p>
      <w:r>
        <w:t>sustainable paid replacement is therefore the real requirement. Avoid burning</w:t>
      </w:r>
    </w:p>
    <w:p>
      <w:r>
        <w:t>credits on test scans (</w:t>
      </w:r>
      <w:r>
        <w:rPr>
          <w:rFonts w:ascii="Consolas" w:hAnsi="Consolas"/>
          <w:sz w:val="18"/>
        </w:rPr>
        <w:t>skip_intelx:true</w:t>
      </w:r>
      <w:r>
        <w:t xml:space="preserve"> for smoke tests).</w:t>
      </w:r>
    </w:p>
    <w:p>
      <w:pPr>
        <w:pStyle w:val="ListBullet"/>
      </w:pPr>
      <w:r>
        <w:rPr>
          <w:b/>
        </w:rPr>
        <w:t>Action (before 2026-06-03 calibration test):</w:t>
      </w:r>
      <w:r>
        <w:t xml:space="preserve"> add </w:t>
      </w:r>
      <w:r>
        <w:rPr>
          <w:rFonts w:ascii="Consolas" w:hAnsi="Consolas"/>
          <w:sz w:val="18"/>
        </w:rPr>
        <w:t>INTELX_API_KEY</w:t>
      </w:r>
      <w:r>
        <w:t xml:space="preserve"> to</w:t>
      </w:r>
    </w:p>
    <w:p>
      <w:r>
        <w:t xml:space="preserve">  </w:t>
      </w:r>
      <w:r>
        <w:rPr>
          <w:b/>
        </w:rPr>
        <w:t>Render</w:t>
      </w:r>
      <w:r>
        <w:t xml:space="preserve"> (it's currently set locally but NOT on Render — that's why prod</w:t>
      </w:r>
    </w:p>
    <w:p>
      <w:r>
        <w:t xml:space="preserve">  has no IntelX/forum signal while local does). This makes the credential</w:t>
      </w:r>
    </w:p>
    <w:p>
      <w:r>
        <w:t xml:space="preserve">  correlation's signal-4 active on prod for Wednesday's supply-chain</w:t>
      </w:r>
    </w:p>
    <w:p>
      <w:r>
        <w:t xml:space="preserve">  calibration run.</w:t>
      </w:r>
    </w:p>
    <w:p>
      <w:pPr>
        <w:pStyle w:val="ListBullet"/>
      </w:pPr>
      <w:r>
        <w:rPr>
          <w:b/>
        </w:rPr>
        <w:t>Still seek a sustainable replacement</w:t>
      </w:r>
      <w:r>
        <w:t xml:space="preserve"> (Snusbase / LeakCheck Pro /</w:t>
      </w:r>
    </w:p>
    <w:p>
      <w:r>
        <w:t xml:space="preserve">  SpyCloud) for the cohort-scale + always-on case; the free tier can remain a</w:t>
      </w:r>
    </w:p>
    <w:p>
      <w:r>
        <w:t xml:space="preserve">  fallback for ad-hoc use. The credential-correlation circulation slot is</w:t>
      </w:r>
    </w:p>
    <w:p>
      <w:r>
        <w:t xml:space="preserve">  provider-agnostic, so swapping is a checker change, not a correlation rewrite.</w:t>
      </w:r>
    </w:p>
    <w:p>
      <w:pPr>
        <w:spacing w:before="280" w:after="80"/>
      </w:pPr>
      <w:r>
        <w:rPr>
          <w:b/>
          <w:color w:val="0F2744"/>
          <w:sz w:val="28"/>
        </w:rPr>
        <w:t>3. Peer benchmarking rollout (SCN-028)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Start date</w:t>
            </w:r>
          </w:p>
        </w:tc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Source tag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Phase 1 — public reference seed pool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Live</w:t>
            </w:r>
            <w:r>
              <w:rPr>
                <w:sz w:val="19"/>
              </w:rPr>
              <w:t xml:space="preserve"> (bi-weekly via </w:t>
            </w:r>
            <w:r>
              <w:rPr>
                <w:rFonts w:ascii="Consolas" w:hAnsi="Consolas"/>
                <w:sz w:val="19"/>
              </w:rPr>
              <w:t>tooling/benchmark_runner.py</w:t>
            </w:r>
            <w:r>
              <w:rPr>
                <w:sz w:val="19"/>
              </w:rPr>
              <w:t>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2026-05-16 onwards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benchmark_pool</w:t>
            </w:r>
          </w:p>
        </w:tc>
      </w:tr>
      <w:tr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Phase 2 — lower-tier-upsell cohort (~4,000 clients)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Pending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1 July 2026 → ~Feb 2027 (6-9 months at ~25-30/day)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lower_tier_upsell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Phase 3 — broker opt-in via scan form checkbox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Future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When opt-in plumbing is added; no fixed date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client_optin</w:t>
            </w:r>
          </w:p>
        </w:tc>
      </w:tr>
    </w:tbl>
    <w:p/>
    <w:p>
      <w:r>
        <w:rPr>
          <w:b/>
        </w:rPr>
        <w:t>Phase 2 prerequisites</w:t>
      </w:r>
      <w:r>
        <w:t xml:space="preserve"> (must complete before 1 July):</w:t>
      </w:r>
    </w:p>
    <w:p>
      <w:pPr>
        <w:pStyle w:val="ListBullet"/>
      </w:pPr>
      <w:r>
        <w:t>[ ] Export 4,000-client list to CSV (</w:t>
      </w:r>
      <w:r>
        <w:rPr>
          <w:rFonts w:ascii="Consolas" w:hAnsi="Consolas"/>
          <w:sz w:val="18"/>
        </w:rPr>
        <w:t>domain, industry, sub_industry, annual_revenue_zar</w:t>
      </w:r>
      <w:r>
        <w:t xml:space="preserve"> columns)</w:t>
      </w:r>
    </w:p>
    <w:p>
      <w:pPr>
        <w:pStyle w:val="ListBullet"/>
      </w:pPr>
      <w:r>
        <w:t>[ ] API tier upgrades (see section 2)</w:t>
      </w:r>
    </w:p>
    <w:p>
      <w:pPr>
        <w:pStyle w:val="ListBullet"/>
      </w:pPr>
      <w:r>
        <w:t xml:space="preserve">[ ] Daily cron / Render scheduled job invoking </w:t>
      </w:r>
      <w:r>
        <w:rPr>
          <w:rFonts w:ascii="Consolas" w:hAnsi="Consolas"/>
          <w:sz w:val="18"/>
        </w:rPr>
        <w:t>py -3 tooling/benchmark_runner.py --source lower_tier_upsell --input-csv ... --limit 25</w:t>
      </w:r>
    </w:p>
    <w:p>
      <w:pPr>
        <w:pStyle w:val="ListBullet"/>
      </w:pPr>
      <w:r>
        <w:t>[ ] Phase 2 upsell workflow definition (how to deliver PDFs to brokers / clients)</w:t>
      </w:r>
    </w:p>
    <w:p>
      <w:pPr>
        <w:spacing w:before="280" w:after="80"/>
      </w:pPr>
      <w:r>
        <w:rPr>
          <w:b/>
          <w:color w:val="0F2744"/>
          <w:sz w:val="28"/>
        </w:rPr>
        <w:t>4. Deferred-to-continuous-monitoring track (SCN-026)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98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Probe-cache SQLite-backed implementation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Interface defined in </w:t>
            </w:r>
            <w:r>
              <w:rPr>
                <w:rFonts w:ascii="Consolas" w:hAnsi="Consolas"/>
                <w:sz w:val="19"/>
              </w:rPr>
              <w:t>http_client.ProbeCache</w:t>
            </w:r>
            <w:r>
              <w:rPr>
                <w:sz w:val="19"/>
              </w:rPr>
              <w:t xml:space="preserve">; default </w:t>
            </w:r>
            <w:r>
              <w:rPr>
                <w:rFonts w:ascii="Consolas" w:hAnsi="Consolas"/>
                <w:sz w:val="19"/>
              </w:rPr>
              <w:t>_NullProbeCache</w:t>
            </w:r>
            <w:r>
              <w:rPr>
                <w:sz w:val="19"/>
              </w:rPr>
              <w:t xml:space="preserve"> no-op. Real implementation lands with continuous-monitoring scheduler.</w:t>
            </w:r>
          </w:p>
        </w:tc>
      </w:tr>
      <w:tr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Continuous-monitoring scheduler</w:t>
            </w:r>
          </w:p>
        </w:tc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Open. Estimated 3-4 week build. Requires probe cache + per-tenant scheduling + delta-finding detection + alert-on-change pipeline.</w:t>
            </w:r>
          </w:p>
        </w:tc>
      </w:tr>
    </w:tbl>
    <w:p/>
    <w:p>
      <w:pPr>
        <w:spacing w:before="280" w:after="80"/>
      </w:pPr>
      <w:r>
        <w:rPr>
          <w:b/>
          <w:color w:val="0F2744"/>
          <w:sz w:val="28"/>
        </w:rPr>
        <w:t>5. Open accuracy items (gap analysis roadmap)</w:t>
      </w:r>
    </w:p>
    <w:p>
      <w:r>
        <w:t>Carried over from v9 / v10 gap analyses. Not blocking but worth flagging: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4b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CMS admin path detection (dynamic from tech stack)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Open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4c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CDN origin IP leakage / origin discovery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Partial — implemented (`origin_discovery.py`, 2026-05-29):</w:t>
            </w:r>
            <w:r>
              <w:rPr>
                <w:sz w:val="19"/>
              </w:rPr>
              <w:t xml:space="preserve"> SecurityTrails historical-DNS candidates + TLS cert-match verification live; verified origins scanned, candidates surfaced. Free Shodan cert-host count hint live. </w:t>
            </w:r>
            <w:r>
              <w:rPr>
                <w:b/>
                <w:sz w:val="19"/>
              </w:rPr>
              <w:t>Full Shodan cert-search IP retrieval pending paid key (see §2 go-live).</w:t>
            </w:r>
            <w:r>
              <w:rPr>
                <w:sz w:val="19"/>
              </w:rPr>
              <w:t xml:space="preserve"> Also: RDP exposure now reconciled across all discovered IPs, not just the apex (was a false-negative on CDN-fronted targets).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MFA presence on VPN login pages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Open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4c-ii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Infrastructure-infection / C2-beaconing signal</w:t>
            </w:r>
            <w:r>
              <w:rPr>
                <w:sz w:val="19"/>
              </w:rPr>
              <w:t xml:space="preserve"> (reinsurer "Infrastructure Infections — Malicious Connection Attempt" card). Distinct from credential/infostealer: it flags </w:t>
            </w:r>
            <w:r>
              <w:rPr>
                <w:i/>
                <w:sz w:val="19"/>
              </w:rPr>
              <w:t>org servers/hosts</w:t>
            </w:r>
            <w:r>
              <w:rPr>
                <w:sz w:val="19"/>
              </w:rPr>
              <w:t xml:space="preserve"> observed connecting to malicious infra. We partially cover via DNSBL (reputation/blacklist), but lack infection-type + days-observed granularity. Would need a threat-intel feed (Spamhaus CSS/XBL, GreyNoise, abuse.ch Feodo). </w:t>
            </w:r>
            <w:r>
              <w:rPr>
                <w:b/>
                <w:sz w:val="19"/>
              </w:rPr>
              <w:t>Attribution caveat:</w:t>
            </w:r>
            <w:r>
              <w:rPr>
                <w:sz w:val="19"/>
              </w:rPr>
              <w:t xml:space="preserve"> the reinsurer's example IP </w:t>
            </w:r>
            <w:r>
              <w:rPr>
                <w:rFonts w:ascii="Consolas" w:hAnsi="Consolas"/>
                <w:sz w:val="19"/>
              </w:rPr>
              <w:t>152.111.191.48</w:t>
            </w:r>
            <w:r>
              <w:rPr>
                <w:sz w:val="19"/>
              </w:rPr>
              <w:t xml:space="preserve"> reverse-resolves to </w:t>
            </w:r>
            <w:r>
              <w:rPr>
                <w:rFonts w:ascii="Consolas" w:hAnsi="Consolas"/>
                <w:sz w:val="19"/>
              </w:rPr>
              <w:t>download.kalahari.com</w:t>
            </w:r>
            <w:r>
              <w:rPr>
                <w:sz w:val="19"/>
              </w:rPr>
              <w:t xml:space="preserve"> (Kalahari merged into Takealot 2014) — a legacy/related-brand IP not in takealot.com's scope, so it would only surface via related-domain (S-1) discovery + cert-verification. Same reassigned-IP risk as the RDP/origin case.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Open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WAF rate limiting / bot protection detection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Open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4f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DNSSEC validation chain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Open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4h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Exploit Window narrative enhancement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Open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5a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Bug bounty programme detection (HackerOne / Bugcrowd)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Open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5f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retire.js CVE cross-reference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Open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5i-T1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AI Threat Readiness Tier 1 (externally observable)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Glasswing done; rest open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5i-T2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AI Threat Readiness Tier 2 (self-reported)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Open</w:t>
            </w:r>
          </w:p>
        </w:tc>
      </w:tr>
    </w:tbl>
    <w:p/>
    <w:p>
      <w:pPr>
        <w:spacing w:before="280" w:after="80"/>
      </w:pPr>
      <w:r>
        <w:rPr>
          <w:b/>
          <w:color w:val="0F2744"/>
          <w:sz w:val="28"/>
        </w:rPr>
        <w:t>6. Architectural follow-ups (low priority)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98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Refactor remaining checkers through </w:t>
            </w:r>
            <w:r>
              <w:rPr>
                <w:rFonts w:ascii="Consolas" w:hAnsi="Consolas"/>
                <w:sz w:val="19"/>
              </w:rPr>
              <w:t>HTTP</w:t>
            </w:r>
            <w:r>
              <w:rPr>
                <w:sz w:val="19"/>
              </w:rPr>
              <w:t xml:space="preserve"> singleton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privacy_compliance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info_disclosure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exposed_admin</w:t>
            </w:r>
            <w:r>
              <w:rPr>
                <w:sz w:val="19"/>
              </w:rPr>
              <w:t xml:space="preserve"> done. </w:t>
            </w:r>
            <w:r>
              <w:rPr>
                <w:rFonts w:ascii="Consolas" w:hAnsi="Consolas"/>
                <w:sz w:val="19"/>
              </w:rPr>
              <w:t>payment_security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vpn_remote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security_policy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fraudulent_domains</w:t>
            </w:r>
            <w:r>
              <w:rPr>
                <w:sz w:val="19"/>
              </w:rPr>
              <w:t xml:space="preserve">, and single-request checkers (SSL, WAF, etc.) still use direct </w:t>
            </w:r>
            <w:r>
              <w:rPr>
                <w:rFonts w:ascii="Consolas" w:hAnsi="Consolas"/>
                <w:sz w:val="19"/>
              </w:rPr>
              <w:t>requests.get</w:t>
            </w:r>
            <w:r>
              <w:rPr>
                <w:sz w:val="19"/>
              </w:rPr>
              <w:t>. WAF tracker only sees burst probers; widening this gives full WAF visibility. ~3 hrs work, low risk.</w:t>
            </w:r>
          </w:p>
        </w:tc>
      </w:tr>
      <w:tr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Enforcement-discount % calibration per regulator</w:t>
            </w:r>
          </w:p>
        </w:tc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Statutory maxima used everywhere in cat stack. Expected-loss view uses heuristic. Compliance officer should set per-regulator discount %.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Civil exposure quantification (POPIA s99 / common-law delict)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Currently qualitative disclosure only. Quantification requires internal-contract data.</w:t>
            </w:r>
          </w:p>
        </w:tc>
      </w:tr>
      <w:tr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Tail recalibration with empirical SA cat data</w:t>
            </w:r>
          </w:p>
        </w:tc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5× PERT upper bound on </w:t>
            </w:r>
            <w:r>
              <w:rPr>
                <w:rFonts w:ascii="Consolas" w:hAnsi="Consolas"/>
                <w:sz w:val="19"/>
              </w:rPr>
              <w:t>mc_total_breach</w:t>
            </w:r>
            <w:r>
              <w:rPr>
                <w:sz w:val="19"/>
              </w:rPr>
              <w:t xml:space="preserve"> is conservative. Calibrate against SABRIC + CISA + IBM SA-specific incident-type data when available.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WAF coverage-loading constant calibration (SCN-029)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K_TAIL=1.20</w:t>
            </w:r>
            <w:r>
              <w:rPr>
                <w:sz w:val="19"/>
              </w:rPr>
              <w:t xml:space="preserve"> in </w:t>
            </w:r>
            <w:r>
              <w:rPr>
                <w:rFonts w:ascii="Consolas" w:hAnsi="Consolas"/>
                <w:sz w:val="19"/>
              </w:rPr>
              <w:t>_calculate_zar</w:t>
            </w:r>
            <w:r>
              <w:rPr>
                <w:sz w:val="19"/>
              </w:rPr>
              <w:t xml:space="preserve"> sets how aggressively the catastrophe tail widens per unit of lost scan coverage. Heuristic — calibrate against rescan deltas (blinded scan vs allow-listed rescan of the same target) once continuous monitoring provides paired observations. Only the ZAR path is loaded; the dead USD path is not.</w:t>
            </w:r>
          </w:p>
        </w:tc>
      </w:tr>
      <w:tr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Bias correction on </w:t>
            </w:r>
            <w:r>
              <w:rPr>
                <w:rFonts w:ascii="Consolas" w:hAnsi="Consolas"/>
                <w:sz w:val="19"/>
              </w:rPr>
              <w:t>lower_tier_upsell</w:t>
            </w:r>
            <w:r>
              <w:rPr>
                <w:sz w:val="19"/>
              </w:rPr>
              <w:t xml:space="preserve"> benchmark cohort</w:t>
            </w:r>
          </w:p>
        </w:tc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Cohort may not be SA median; pool composition disclosed in report. Future: source-class weighting in percentile calculation.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GPD tail fit MLE upgrade (currently method-of-moments + pure numpy)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scipy.stats.genpareto provides MLE fit but adds dependency. Defer until scipy is acceptable on Render.</w:t>
            </w:r>
          </w:p>
        </w:tc>
      </w:tr>
      <w:tr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Credential-risk scoring calibration</w:t>
            </w:r>
            <w:r>
              <w:rPr>
                <w:sz w:val="19"/>
              </w:rPr>
              <w:t xml:space="preserve"> (ticket, NOT done)</w:t>
            </w:r>
          </w:p>
        </w:tc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Two tweaks to </w:t>
            </w:r>
            <w:r>
              <w:rPr>
                <w:rFonts w:ascii="Consolas" w:hAnsi="Consolas"/>
                <w:sz w:val="19"/>
              </w:rPr>
              <w:t>CredentialRiskClassifier</w:t>
            </w:r>
            <w:r>
              <w:rPr>
                <w:sz w:val="19"/>
              </w:rPr>
              <w:t xml:space="preserve">, both </w:t>
            </w:r>
            <w:r>
              <w:rPr>
                <w:b/>
                <w:sz w:val="19"/>
              </w:rPr>
              <w:t>calibration-gated</w:t>
            </w:r>
            <w:r>
              <w:rPr>
                <w:sz w:val="19"/>
              </w:rPr>
              <w:t xml:space="preserve"> (empirical anchors + sign-off, per the scoring-change rule): (1) the IntelX paste/dark-web deductions are </w:t>
            </w:r>
            <w:r>
              <w:rPr>
                <w:b/>
                <w:sz w:val="19"/>
              </w:rPr>
              <w:t>per-mention and uncapped</w:t>
            </w:r>
            <w:r>
              <w:rPr>
                <w:sz w:val="19"/>
              </w:rPr>
              <w:t xml:space="preserve"> (40 pastes → −120, floored at 0) — can out-deduct Hudson Rock's flat −50 in the raw 0-100 score even though HR sets the higher </w:t>
            </w:r>
            <w:r>
              <w:rPr>
                <w:i/>
                <w:sz w:val="19"/>
              </w:rPr>
              <w:t>level</w:t>
            </w:r>
            <w:r>
              <w:rPr>
                <w:sz w:val="19"/>
              </w:rPr>
              <w:t xml:space="preserve">; add a cap. (2) </w:t>
            </w:r>
            <w:r>
              <w:rPr>
                <w:b/>
                <w:sz w:val="19"/>
              </w:rPr>
              <w:t>Date-gate the HR CRITICAL</w:t>
            </w:r>
            <w:r>
              <w:rPr>
                <w:sz w:val="19"/>
              </w:rPr>
              <w:t xml:space="preserve"> so a </w:t>
            </w:r>
            <w:r>
              <w:rPr>
                <w:i/>
                <w:sz w:val="19"/>
              </w:rPr>
              <w:t>stale</w:t>
            </w:r>
            <w:r>
              <w:rPr>
                <w:sz w:val="19"/>
              </w:rPr>
              <w:t xml:space="preserve"> infostealer infection (old </w:t>
            </w:r>
            <w:r>
              <w:rPr>
                <w:rFonts w:ascii="Consolas" w:hAnsi="Consolas"/>
                <w:sz w:val="19"/>
              </w:rPr>
              <w:t>last_compromised</w:t>
            </w:r>
            <w:r>
              <w:rPr>
                <w:sz w:val="19"/>
              </w:rPr>
              <w:t xml:space="preserve">) doesn't auto-force CRITICAL — use the new </w:t>
            </w:r>
            <w:r>
              <w:rPr>
                <w:rFonts w:ascii="Consolas" w:hAnsi="Consolas"/>
                <w:sz w:val="19"/>
              </w:rPr>
              <w:t>days_since_compromise</w:t>
            </w:r>
            <w:r>
              <w:rPr>
                <w:sz w:val="19"/>
              </w:rPr>
              <w:t xml:space="preserve">. The Credential Exposure Correlation (reporting) already does this date-anchoring; this would align the </w:t>
            </w:r>
            <w:r>
              <w:rPr>
                <w:i/>
                <w:sz w:val="19"/>
              </w:rPr>
              <w:t>score</w:t>
            </w:r>
            <w:r>
              <w:rPr>
                <w:sz w:val="19"/>
              </w:rPr>
              <w:t xml:space="preserve"> with it.</w:t>
            </w:r>
          </w:p>
        </w:tc>
      </w:tr>
    </w:tbl>
    <w:p/>
    <w:p>
      <w:pPr>
        <w:spacing w:before="280" w:after="80"/>
      </w:pPr>
      <w:r>
        <w:rPr>
          <w:b/>
          <w:color w:val="0F2744"/>
          <w:sz w:val="28"/>
        </w:rPr>
        <w:t>7. Documentation / artifacts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98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User Manual docx regeneration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py -3 generate_manual.py</w:t>
            </w:r>
            <w:r>
              <w:rPr>
                <w:sz w:val="19"/>
              </w:rPr>
              <w:t xml:space="preserve"> — now a </w:t>
            </w:r>
            <w:r>
              <w:rPr>
                <w:b/>
                <w:sz w:val="19"/>
              </w:rPr>
              <w:t>thin orchestrator</w:t>
            </w:r>
            <w:r>
              <w:rPr>
                <w:sz w:val="19"/>
              </w:rPr>
              <w:t xml:space="preserve"> that assembles </w:t>
            </w:r>
            <w:r>
              <w:rPr>
                <w:rFonts w:ascii="Consolas" w:hAnsi="Consolas"/>
                <w:sz w:val="19"/>
              </w:rPr>
              <w:t>manual_parts/part1-6</w:t>
            </w:r>
            <w:r>
              <w:rPr>
                <w:sz w:val="19"/>
              </w:rPr>
              <w:t xml:space="preserve"> (each </w:t>
            </w:r>
            <w:r>
              <w:rPr>
                <w:rFonts w:ascii="Consolas" w:hAnsi="Consolas"/>
                <w:sz w:val="19"/>
              </w:rPr>
              <w:t>build(doc)</w:t>
            </w:r>
            <w:r>
              <w:rPr>
                <w:sz w:val="19"/>
              </w:rPr>
              <w:t xml:space="preserve">); writes </w:t>
            </w:r>
            <w:r>
              <w:rPr>
                <w:rFonts w:ascii="Consolas" w:hAnsi="Consolas"/>
                <w:sz w:val="19"/>
              </w:rPr>
              <w:t>Phishield_Cyber_Risk_Scanner_User_Manual.docx</w:t>
            </w:r>
            <w:r>
              <w:rPr>
                <w:sz w:val="19"/>
              </w:rPr>
              <w:t xml:space="preserve">. </w:t>
            </w:r>
            <w:r>
              <w:rPr>
                <w:b/>
                <w:sz w:val="19"/>
              </w:rPr>
              <w:t>Edit content in `manual_parts/`</w:t>
            </w:r>
            <w:r>
              <w:rPr>
                <w:sz w:val="19"/>
              </w:rPr>
              <w:t xml:space="preserve"> (not the orchestrator). Helpers live in </w:t>
            </w:r>
            <w:r>
              <w:rPr>
                <w:rFonts w:ascii="Consolas" w:hAnsi="Consolas"/>
                <w:sz w:val="19"/>
              </w:rPr>
              <w:t>manual_parts/helpers.py</w:t>
            </w:r>
            <w:r>
              <w:rPr>
                <w:sz w:val="19"/>
              </w:rPr>
              <w:t xml:space="preserve"> (aliased by top-level </w:t>
            </w:r>
            <w:r>
              <w:rPr>
                <w:rFonts w:ascii="Consolas" w:hAnsi="Consolas"/>
                <w:sz w:val="19"/>
              </w:rPr>
              <w:t>manual_helpers.py</w:t>
            </w:r>
            <w:r>
              <w:rPr>
                <w:sz w:val="19"/>
              </w:rPr>
              <w:t xml:space="preserve">); part1 uses </w:t>
            </w:r>
            <w:r>
              <w:rPr>
                <w:rFonts w:ascii="Consolas" w:hAnsi="Consolas"/>
                <w:sz w:val="19"/>
              </w:rPr>
              <w:t>set_helpers()</w:t>
            </w:r>
            <w:r>
              <w:rPr>
                <w:sz w:val="19"/>
              </w:rPr>
              <w:t xml:space="preserve"> injection, parts 2-6 import directly. The pre-2026-05-18 monolith is retired but preserved in git history (commit before the cutover) if ever needed.</w:t>
            </w:r>
          </w:p>
        </w:tc>
      </w:tr>
      <w:tr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Gap Analysis v10 regeneration</w:t>
            </w:r>
          </w:p>
        </w:tc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Auto-regenerated via </w:t>
            </w:r>
            <w:r>
              <w:rPr>
                <w:rFonts w:ascii="Consolas" w:hAnsi="Consolas"/>
                <w:sz w:val="19"/>
              </w:rPr>
              <w:t>node generators/gen_gap_v10.cjs</w:t>
            </w:r>
            <w:r>
              <w:rPr>
                <w:sz w:val="19"/>
              </w:rPr>
              <w:t xml:space="preserve"> (or root </w:t>
            </w:r>
            <w:r>
              <w:rPr>
                <w:rFonts w:ascii="Consolas" w:hAnsi="Consolas"/>
                <w:sz w:val="19"/>
              </w:rPr>
              <w:t>gen_gap_v10.cjs</w:t>
            </w:r>
            <w:r>
              <w:rPr>
                <w:sz w:val="19"/>
              </w:rPr>
              <w:t xml:space="preserve"> if not moved). Outputs to main project path: </w:t>
            </w:r>
            <w:r>
              <w:rPr>
                <w:rFonts w:ascii="Consolas" w:hAnsi="Consolas"/>
                <w:sz w:val="19"/>
              </w:rPr>
              <w:t>C:/.../security_scanner/Phishield_Scanner_Gap_Analysis_v10.docx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FAIR Model Gap Analysis (legacy)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generators/generate_gap_analysis.cjs</w:t>
            </w:r>
            <w:r>
              <w:rPr>
                <w:sz w:val="19"/>
              </w:rPr>
              <w:t xml:space="preserve"> produces </w:t>
            </w:r>
            <w:r>
              <w:rPr>
                <w:rFonts w:ascii="Consolas" w:hAnsi="Consolas"/>
                <w:sz w:val="19"/>
              </w:rPr>
              <w:t>Phishield_FAIR_Model_Gap_Analysis.docx</w:t>
            </w:r>
            <w:r>
              <w:rPr>
                <w:sz w:val="19"/>
              </w:rPr>
              <w:t>. Pre-v10 artifact; check if still needed before next regeneration</w:t>
            </w:r>
          </w:p>
        </w:tc>
      </w:tr>
      <w:tr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Sensitivity analysis docs</w:t>
            </w:r>
          </w:p>
        </w:tc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tooling/sensitivity/sensitivity_analysis*.py</w:t>
            </w:r>
            <w:r>
              <w:rPr>
                <w:sz w:val="19"/>
              </w:rPr>
              <w:t xml:space="preserve"> + JSONs + </w:t>
            </w:r>
            <w:r>
              <w:rPr>
                <w:rFonts w:ascii="Consolas" w:hAnsi="Consolas"/>
                <w:sz w:val="19"/>
              </w:rPr>
              <w:t>generators/gen_sensitivity_doc.cjs</w:t>
            </w:r>
            <w:r>
              <w:rPr>
                <w:sz w:val="19"/>
              </w:rPr>
              <w:t>. Pre-v10 calibration analysis; verify relevance before next regeneration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Legacy gap analysis v6/v7/v8 docx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Archived at </w:t>
            </w:r>
            <w:r>
              <w:rPr>
                <w:rFonts w:ascii="Consolas" w:hAnsi="Consolas"/>
                <w:sz w:val="19"/>
              </w:rPr>
              <w:t>docs/archive/</w:t>
            </w:r>
            <w:r>
              <w:rPr>
                <w:sz w:val="19"/>
              </w:rPr>
              <w:t>. Kept for historical reference; not regenerated</w:t>
            </w:r>
          </w:p>
        </w:tc>
      </w:tr>
    </w:tbl>
    <w:p/>
    <w:p>
      <w:pPr>
        <w:spacing w:before="280" w:after="80"/>
      </w:pPr>
      <w:r>
        <w:rPr>
          <w:b/>
          <w:color w:val="0F2744"/>
          <w:sz w:val="28"/>
        </w:rPr>
        <w:t>8. Document quality rules (cross-project)</w:t>
      </w:r>
    </w:p>
    <w:p>
      <w:r>
        <w:t>Hard rules for all client-facing PDF / docx outputs live in</w:t>
      </w:r>
    </w:p>
    <w:p>
      <w:r>
        <w:rPr>
          <w:rFonts w:ascii="Consolas" w:hAnsi="Consolas"/>
          <w:sz w:val="18"/>
        </w:rPr>
        <w:t>C:\Users\sarel\.claude\projects\C--Users-sarel-Desktop-Sarel-Local-Only\memory\feedback_document_quality.md</w:t>
      </w:r>
      <w:r>
        <w:t>.</w:t>
      </w:r>
    </w:p>
    <w:p>
      <w:r>
        <w:t>Audit every output against the 12 rules before regeneration. Pre-build</w:t>
      </w:r>
    </w:p>
    <w:p>
      <w:r>
        <w:t>audit gate is rule #0.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How to use this file</w:t>
      </w:r>
    </w:p>
    <w:p>
      <w:pPr>
        <w:pStyle w:val="ListBullet"/>
      </w:pPr>
      <w:r>
        <w:t>Adding an outstanding item: append a row to the relevant section, note status / owner / target date</w:t>
      </w:r>
    </w:p>
    <w:p>
      <w:pPr>
        <w:pStyle w:val="ListBullet"/>
      </w:pPr>
      <w:r>
        <w:t>Closing an item: remove the row (don't strike through — keep the file tight)</w:t>
      </w:r>
    </w:p>
    <w:p>
      <w:pPr>
        <w:pStyle w:val="ListBullet"/>
      </w:pPr>
      <w:r>
        <w:t>Major architectural decisions: add a new section if a single line doesn't capture it</w:t>
      </w:r>
    </w:p>
    <w:p>
      <w:pPr>
        <w:pStyle w:val="ListBullet"/>
      </w:pPr>
      <w:r>
        <w:t>Periodic review: scan this file before any big planning session or commit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