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48"/>
          <w:szCs w:val="48"/>
        </w:rPr>
        <w:t xml:space="preserve">Security Audit Report</w:t>
      </w:r>
    </w:p>
    <w:p>
      <w:pPr>
        <w:spacing w:after="100"/>
        <w:jc w:val="center"/>
      </w:pPr>
      <w:r>
        <w:rPr>
          <w:rFonts w:ascii="Arial" w:cs="Arial" w:eastAsia="Arial" w:hAnsi="Arial"/>
          <w:color w:val="444444"/>
          <w:sz w:val="24"/>
          <w:szCs w:val="24"/>
        </w:rPr>
        <w:t xml:space="preserve">Repository: brah4729/tokokeren (Laravel)</w:t>
      </w:r>
    </w:p>
    <w:p>
      <w:pPr>
        <w:spacing w:after="400"/>
        <w:jc w:val="center"/>
      </w:pPr>
      <w:r>
        <w:rPr>
          <w:rFonts w:ascii="Arial" w:cs="Arial" w:eastAsia="Arial" w:hAnsi="Arial"/>
          <w:color w:val="888888"/>
          <w:sz w:val="20"/>
          <w:szCs w:val="20"/>
        </w:rPr>
        <w:t xml:space="preserve">Audit Date: March 11, 2026  |  Framework: Laravel 12.x  |  Language: PHP 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E0E0" w:val="clear"/>
            <w:tcMar>
              <w:top w:type="dxa" w:w="120"/>
              <w:left w:type="dxa" w:w="120"/>
              <w:bottom w:type="dxa" w:w="120"/>
              <w:right w:type="dxa" w:w="120"/>
            </w:tcMar>
          </w:tcPr>
          <w:p>
            <w:pPr>
              <w:jc w:val="center"/>
            </w:pPr>
            <w:r>
              <w:rPr>
                <w:rFonts w:ascii="Arial" w:cs="Arial" w:eastAsia="Arial" w:hAnsi="Arial"/>
                <w:b/>
                <w:bCs/>
                <w:color w:val="C00000"/>
                <w:sz w:val="56"/>
                <w:szCs w:val="56"/>
              </w:rPr>
              <w:t xml:space="preserve">2</w:t>
            </w:r>
          </w:p>
          <w:p>
            <w:pPr>
              <w:jc w:val="center"/>
            </w:pPr>
            <w:r>
              <w:rPr>
                <w:rFonts w:ascii="Arial" w:cs="Arial" w:eastAsia="Arial" w:hAnsi="Arial"/>
                <w:b/>
                <w:bCs/>
                <w:color w:val="C00000"/>
                <w:sz w:val="20"/>
                <w:szCs w:val="20"/>
              </w:rPr>
              <w:t xml:space="preserve">CRITICAL</w:t>
            </w:r>
          </w:p>
        </w:tc>
        <w:tc>
          <w:tcPr>
            <w:tcW w:type="dxa" w:w="2340"/>
            <w:tcBorders>
              <w:top w:val="single" w:color="CCCCCC" w:sz="1"/>
              <w:left w:val="single" w:color="CCCCCC" w:sz="1"/>
              <w:bottom w:val="single" w:color="CCCCCC" w:sz="1"/>
              <w:right w:val="single" w:color="CCCCCC" w:sz="1"/>
            </w:tcBorders>
            <w:shd w:fill="FFF0E0" w:val="clear"/>
            <w:tcMar>
              <w:top w:type="dxa" w:w="120"/>
              <w:left w:type="dxa" w:w="120"/>
              <w:bottom w:type="dxa" w:w="120"/>
              <w:right w:type="dxa" w:w="120"/>
            </w:tcMar>
          </w:tcPr>
          <w:p>
            <w:pPr>
              <w:jc w:val="center"/>
            </w:pPr>
            <w:r>
              <w:rPr>
                <w:rFonts w:ascii="Arial" w:cs="Arial" w:eastAsia="Arial" w:hAnsi="Arial"/>
                <w:b/>
                <w:bCs/>
                <w:color w:val="E05C00"/>
                <w:sz w:val="56"/>
                <w:szCs w:val="56"/>
              </w:rPr>
              <w:t xml:space="preserve">2</w:t>
            </w:r>
          </w:p>
          <w:p>
            <w:pPr>
              <w:jc w:val="center"/>
            </w:pPr>
            <w:r>
              <w:rPr>
                <w:rFonts w:ascii="Arial" w:cs="Arial" w:eastAsia="Arial" w:hAnsi="Arial"/>
                <w:b/>
                <w:bCs/>
                <w:color w:val="E05C00"/>
                <w:sz w:val="20"/>
                <w:szCs w:val="20"/>
              </w:rPr>
              <w:t xml:space="preserve">HIGH</w:t>
            </w:r>
          </w:p>
        </w:tc>
        <w:tc>
          <w:tcPr>
            <w:tcW w:type="dxa" w:w="2340"/>
            <w:tcBorders>
              <w:top w:val="single" w:color="CCCCCC" w:sz="1"/>
              <w:left w:val="single" w:color="CCCCCC" w:sz="1"/>
              <w:bottom w:val="single" w:color="CCCCCC" w:sz="1"/>
              <w:right w:val="single" w:color="CCCCCC" w:sz="1"/>
            </w:tcBorders>
            <w:shd w:fill="FFFBE0" w:val="clear"/>
            <w:tcMar>
              <w:top w:type="dxa" w:w="120"/>
              <w:left w:type="dxa" w:w="120"/>
              <w:bottom w:type="dxa" w:w="120"/>
              <w:right w:type="dxa" w:w="120"/>
            </w:tcMar>
          </w:tcPr>
          <w:p>
            <w:pPr>
              <w:jc w:val="center"/>
            </w:pPr>
            <w:r>
              <w:rPr>
                <w:rFonts w:ascii="Arial" w:cs="Arial" w:eastAsia="Arial" w:hAnsi="Arial"/>
                <w:b/>
                <w:bCs/>
                <w:color w:val="BF8F00"/>
                <w:sz w:val="56"/>
                <w:szCs w:val="56"/>
              </w:rPr>
              <w:t xml:space="preserve">3</w:t>
            </w:r>
          </w:p>
          <w:p>
            <w:pPr>
              <w:jc w:val="center"/>
            </w:pPr>
            <w:r>
              <w:rPr>
                <w:rFonts w:ascii="Arial" w:cs="Arial" w:eastAsia="Arial" w:hAnsi="Arial"/>
                <w:b/>
                <w:bCs/>
                <w:color w:val="BF8F00"/>
                <w:sz w:val="20"/>
                <w:szCs w:val="20"/>
              </w:rPr>
              <w:t xml:space="preserve">MEDIUM</w:t>
            </w:r>
          </w:p>
        </w:tc>
        <w:tc>
          <w:tcPr>
            <w:tcW w:type="dxa" w:w="2340"/>
            <w:tcBorders>
              <w:top w:val="single" w:color="CCCCCC" w:sz="1"/>
              <w:left w:val="single" w:color="CCCCCC" w:sz="1"/>
              <w:bottom w:val="single" w:color="CCCCCC" w:sz="1"/>
              <w:right w:val="single" w:color="CCCCCC" w:sz="1"/>
            </w:tcBorders>
            <w:shd w:fill="E8F5E0" w:val="clear"/>
            <w:tcMar>
              <w:top w:type="dxa" w:w="120"/>
              <w:left w:type="dxa" w:w="120"/>
              <w:bottom w:type="dxa" w:w="120"/>
              <w:right w:type="dxa" w:w="120"/>
            </w:tcMar>
          </w:tcPr>
          <w:p>
            <w:pPr>
              <w:jc w:val="center"/>
            </w:pPr>
            <w:r>
              <w:rPr>
                <w:rFonts w:ascii="Arial" w:cs="Arial" w:eastAsia="Arial" w:hAnsi="Arial"/>
                <w:b/>
                <w:bCs/>
                <w:color w:val="375623"/>
                <w:sz w:val="56"/>
                <w:szCs w:val="56"/>
              </w:rPr>
              <w:t xml:space="preserve">2</w:t>
            </w:r>
          </w:p>
          <w:p>
            <w:pPr>
              <w:jc w:val="center"/>
            </w:pPr>
            <w:r>
              <w:rPr>
                <w:rFonts w:ascii="Arial" w:cs="Arial" w:eastAsia="Arial" w:hAnsi="Arial"/>
                <w:b/>
                <w:bCs/>
                <w:color w:val="375623"/>
                <w:sz w:val="20"/>
                <w:szCs w:val="20"/>
              </w:rPr>
              <w:t xml:space="preserve">LOW</w:t>
            </w:r>
          </w:p>
        </w:tc>
      </w:tr>
    </w:tbl>
    <w:p>
      <w:r>
        <w:t xml:space="preserve"/>
      </w:r>
    </w:p>
    <w:p>
      <w:pPr>
        <w:pStyle w:val="Heading1"/>
      </w:pPr>
      <w:r>
        <w:rPr>
          <w:rFonts w:ascii="Arial" w:cs="Arial" w:eastAsia="Arial" w:hAnsi="Arial"/>
          <w:b/>
          <w:bCs/>
          <w:color w:val="1F3864"/>
          <w:sz w:val="32"/>
          <w:szCs w:val="32"/>
        </w:rPr>
        <w:t xml:space="preserve">Executive Summary</w:t>
      </w:r>
    </w:p>
    <w:p>
      <w:pPr>
        <w:spacing w:after="120"/>
      </w:pPr>
      <w:r>
        <w:rPr>
          <w:rFonts w:ascii="Arial" w:cs="Arial" w:eastAsia="Arial" w:hAnsi="Arial"/>
          <w:sz w:val="22"/>
          <w:szCs w:val="22"/>
        </w:rPr>
        <w:t xml:space="preserve">A static code security audit was performed on the tokokeren Laravel e-commerce application. The audit identified 9 vulnerabilities across 4 severity levels. The most critical issues involve broken access control on administrative routes and a mock payment bypass that allows any user to complete orders without actual payment. These must be resolved before deployment.</w:t>
      </w:r>
    </w:p>
    <w:p>
      <w:r>
        <w:t xml:space="preserve"/>
      </w:r>
    </w:p>
    <w:p>
      <w:pPr>
        <w:pStyle w:val="Heading1"/>
      </w:pPr>
      <w:r>
        <w:rPr>
          <w:rFonts w:ascii="Arial" w:cs="Arial" w:eastAsia="Arial" w:hAnsi="Arial"/>
          <w:b/>
          <w:bCs/>
          <w:color w:val="1F3864"/>
          <w:sz w:val="32"/>
          <w:szCs w:val="32"/>
        </w:rPr>
        <w:t xml:space="preserve">Critical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22"/>
                <w:szCs w:val="22"/>
              </w:rPr>
              <w:t xml:space="preserve">VULN-01  </w:t>
            </w:r>
            <w:r>
              <w:rPr>
                <w:rFonts w:ascii="Arial" w:cs="Arial" w:eastAsia="Arial" w:hAnsi="Arial"/>
                <w:b/>
                <w:bCs/>
                <w:color w:val="C00000"/>
                <w:sz w:val="22"/>
                <w:szCs w:val="22"/>
              </w:rPr>
              <w:t xml:space="preserve">[CRITICAL]</w:t>
            </w:r>
            <w:r>
              <w:rPr>
                <w:rFonts w:ascii="Arial" w:cs="Arial" w:eastAsia="Arial" w:hAnsi="Arial"/>
                <w:b/>
                <w:bCs/>
                <w:sz w:val="22"/>
                <w:szCs w:val="22"/>
              </w:rPr>
              <w:t xml:space="preserve">  Admin Routes Have No Role Restriction</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20"/>
                <w:szCs w:val="20"/>
              </w:rPr>
              <w:t xml:space="preserve">routes/web.php → Route::middleware('auth')-&gt;prefix('admin')</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admin product management routes (/admin/products) only check that a user is authenticated, not that they have an admin role. Any registered user can create, edit, or delete products by visiting /admin/products directly.</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 an 'admin' middleware that checks a role column on the users table (e.g., $user-&gt;role === 'admin'). Apply it to the admin route group: Route::middleware(['auth', 'admin'])-&gt;prefix('admin').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22"/>
                <w:szCs w:val="22"/>
              </w:rPr>
              <w:t xml:space="preserve">VULN-02  </w:t>
            </w:r>
            <w:r>
              <w:rPr>
                <w:rFonts w:ascii="Arial" w:cs="Arial" w:eastAsia="Arial" w:hAnsi="Arial"/>
                <w:b/>
                <w:bCs/>
                <w:color w:val="C00000"/>
                <w:sz w:val="22"/>
                <w:szCs w:val="22"/>
              </w:rPr>
              <w:t xml:space="preserve">[CRITICAL]</w:t>
            </w:r>
            <w:r>
              <w:rPr>
                <w:rFonts w:ascii="Arial" w:cs="Arial" w:eastAsia="Arial" w:hAnsi="Arial"/>
                <w:b/>
                <w:bCs/>
                <w:sz w:val="22"/>
                <w:szCs w:val="22"/>
              </w:rPr>
              <w:t xml:space="preserve">  Mock Payment Method Bypasses Real Payment</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20"/>
                <w:szCs w:val="20"/>
              </w:rPr>
              <w:t xml:space="preserve">app/Http/Controllers/PaymentController.php → processPayment()</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payment processor accepts payment_method=mock, which marks an order as fully paid without any actual charge. An attacker can simply POST payment_method=mock to /payment/process and receive goods for free.</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Remove the 'mock' payment method entirely from production code. If needed for testing, gate it behind an environment check: if (app()-&gt;environment('local') &amp;&amp; $request-&gt;payment_method === 'mock'). Remove 'mock' from the validation rule 'in:stripe,paypal'.</w:t>
            </w:r>
          </w:p>
        </w:tc>
      </w:tr>
    </w:tbl>
    <w:p>
      <w:r>
        <w:t xml:space="preserve"/>
      </w:r>
    </w:p>
    <w:p>
      <w:pPr>
        <w:pStyle w:val="Heading1"/>
      </w:pPr>
      <w:r>
        <w:rPr>
          <w:rFonts w:ascii="Arial" w:cs="Arial" w:eastAsia="Arial" w:hAnsi="Arial"/>
          <w:b/>
          <w:bCs/>
          <w:color w:val="1F3864"/>
          <w:sz w:val="32"/>
          <w:szCs w:val="32"/>
        </w:rPr>
        <w:t xml:space="preserve">High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sz w:val="22"/>
                <w:szCs w:val="22"/>
              </w:rPr>
              <w:t xml:space="preserve">VULN-03  </w:t>
            </w:r>
            <w:r>
              <w:rPr>
                <w:rFonts w:ascii="Arial" w:cs="Arial" w:eastAsia="Arial" w:hAnsi="Arial"/>
                <w:b/>
                <w:bCs/>
                <w:color w:val="E05C00"/>
                <w:sz w:val="22"/>
                <w:szCs w:val="22"/>
              </w:rPr>
              <w:t xml:space="preserve">[HIGH]</w:t>
            </w:r>
            <w:r>
              <w:rPr>
                <w:rFonts w:ascii="Arial" w:cs="Arial" w:eastAsia="Arial" w:hAnsi="Arial"/>
                <w:b/>
                <w:bCs/>
                <w:sz w:val="22"/>
                <w:szCs w:val="22"/>
              </w:rPr>
              <w:t xml:space="preserve">  CartItem Ownership Not Verified (IDOR)</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20"/>
                <w:szCs w:val="20"/>
              </w:rPr>
              <w:t xml:space="preserve">app/Http/Controllers/CartController.php → remove() and update()</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cart remove and update endpoints accept a CartItem model by ID via route model binding but never verify that the item belongs to the current user's cart. An attacker can delete or modify any user's cart items by guessing their numeric IDs.</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ownership checks in both methods: if ($item-&gt;cart-&gt;user_id !== auth()-&gt;id()) { abort(403); } — or add a route model binding scope that filters by the authenticated user's cart.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sz w:val="22"/>
                <w:szCs w:val="22"/>
              </w:rPr>
              <w:t xml:space="preserve">VULN-04  </w:t>
            </w:r>
            <w:r>
              <w:rPr>
                <w:rFonts w:ascii="Arial" w:cs="Arial" w:eastAsia="Arial" w:hAnsi="Arial"/>
                <w:b/>
                <w:bCs/>
                <w:color w:val="E05C00"/>
                <w:sz w:val="22"/>
                <w:szCs w:val="22"/>
              </w:rPr>
              <w:t xml:space="preserve">[HIGH]</w:t>
            </w:r>
            <w:r>
              <w:rPr>
                <w:rFonts w:ascii="Arial" w:cs="Arial" w:eastAsia="Arial" w:hAnsi="Arial"/>
                <w:b/>
                <w:bCs/>
                <w:sz w:val="22"/>
                <w:szCs w:val="22"/>
              </w:rPr>
              <w:t xml:space="preserve">  No Rate Limiting on Login or Verification Endpoints</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20"/>
                <w:szCs w:val="20"/>
              </w:rPr>
              <w:t xml:space="preserve">routes/web.php → POST /login, POST /verify/resend</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There is no throttling on the login endpoint, making it trivially vulnerable to credential brute force attacks. The verification code resend endpoint also has no rate limit, allowing an attacker to spam code generation and potentially enumerate valid accounts.</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Apply Laravel's built-in throttle middleware: Route::post('/login', ...)-&gt;middleware('throttle:5,1'); for 5 attempts per minute. For the resend endpoint, use throttle:3,10 (3 per 10 minutes). Also consider adding lockout logic after N failed login attempts.</w:t>
            </w:r>
          </w:p>
        </w:tc>
      </w:tr>
    </w:tbl>
    <w:p>
      <w:r>
        <w:t xml:space="preserve"/>
      </w:r>
    </w:p>
    <w:p>
      <w:pPr>
        <w:pStyle w:val="Heading1"/>
      </w:pPr>
      <w:r>
        <w:rPr>
          <w:rFonts w:ascii="Arial" w:cs="Arial" w:eastAsia="Arial" w:hAnsi="Arial"/>
          <w:b/>
          <w:bCs/>
          <w:color w:val="1F3864"/>
          <w:sz w:val="32"/>
          <w:szCs w:val="32"/>
        </w:rPr>
        <w:t xml:space="preserve">Medium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FFFBE0" w:val="clear"/>
            <w:tcMar>
              <w:top w:type="dxa" w:w="80"/>
              <w:left w:type="dxa" w:w="120"/>
              <w:bottom w:type="dxa" w:w="80"/>
              <w:right w:type="dxa" w:w="120"/>
            </w:tcMar>
          </w:tcPr>
          <w:p>
            <w:r>
              <w:rPr>
                <w:rFonts w:ascii="Arial" w:cs="Arial" w:eastAsia="Arial" w:hAnsi="Arial"/>
                <w:b/>
                <w:bCs/>
                <w:sz w:val="22"/>
                <w:szCs w:val="22"/>
              </w:rPr>
              <w:t xml:space="preserve">VULN-05  </w:t>
            </w:r>
            <w:r>
              <w:rPr>
                <w:rFonts w:ascii="Arial" w:cs="Arial" w:eastAsia="Arial" w:hAnsi="Arial"/>
                <w:b/>
                <w:bCs/>
                <w:color w:val="BF8F00"/>
                <w:sz w:val="22"/>
                <w:szCs w:val="22"/>
              </w:rPr>
              <w:t xml:space="preserve">[MEDIUM]</w:t>
            </w:r>
            <w:r>
              <w:rPr>
                <w:rFonts w:ascii="Arial" w:cs="Arial" w:eastAsia="Arial" w:hAnsi="Arial"/>
                <w:b/>
                <w:bCs/>
                <w:sz w:val="22"/>
                <w:szCs w:val="22"/>
              </w:rPr>
              <w:t xml:space="preserve">  APP_DEBUG=true in .env.example</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20"/>
                <w:szCs w:val="20"/>
              </w:rPr>
              <w:t xml:space="preserve">.env.example → APP_DEBUG=true</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.env.example ships with APP_DEBUG set to true. If a developer copies this to .env in production without changing it, Laravel will display full stack traces, database queries, and environment variables to any visitor when an error occurs.</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Change the default in .env.example to APP_DEBUG=false. Add a deployment checklist or CI check that verifies APP_DEBUG is false in the production environment.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FFFBE0" w:val="clear"/>
            <w:tcMar>
              <w:top w:type="dxa" w:w="80"/>
              <w:left w:type="dxa" w:w="120"/>
              <w:bottom w:type="dxa" w:w="80"/>
              <w:right w:type="dxa" w:w="120"/>
            </w:tcMar>
          </w:tcPr>
          <w:p>
            <w:r>
              <w:rPr>
                <w:rFonts w:ascii="Arial" w:cs="Arial" w:eastAsia="Arial" w:hAnsi="Arial"/>
                <w:b/>
                <w:bCs/>
                <w:sz w:val="22"/>
                <w:szCs w:val="22"/>
              </w:rPr>
              <w:t xml:space="preserve">VULN-06  </w:t>
            </w:r>
            <w:r>
              <w:rPr>
                <w:rFonts w:ascii="Arial" w:cs="Arial" w:eastAsia="Arial" w:hAnsi="Arial"/>
                <w:b/>
                <w:bCs/>
                <w:color w:val="BF8F00"/>
                <w:sz w:val="22"/>
                <w:szCs w:val="22"/>
              </w:rPr>
              <w:t xml:space="preserve">[MEDIUM]</w:t>
            </w:r>
            <w:r>
              <w:rPr>
                <w:rFonts w:ascii="Arial" w:cs="Arial" w:eastAsia="Arial" w:hAnsi="Arial"/>
                <w:b/>
                <w:bCs/>
                <w:sz w:val="22"/>
                <w:szCs w:val="22"/>
              </w:rPr>
              <w:t xml:space="preserve">  Internal Error Messages Leaked to Users</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20"/>
                <w:szCs w:val="20"/>
              </w:rPr>
              <w:t xml:space="preserve">app/Http/Controllers/PaymentController.php → catch (\Exception $e)</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payment failure handler returns $e-&gt;getMessage() directly to the user: 'Payment failed: ' . $e-&gt;getMessage(). This can expose internal details such as database error messages, class names, or Stripe API error internals.</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Log the full exception internally (Log::error($e)) and return a generic user-facing message: return back()-&gt;with('error', 'Payment failed. Please try again or contact support.');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FFFBE0" w:val="clear"/>
            <w:tcMar>
              <w:top w:type="dxa" w:w="80"/>
              <w:left w:type="dxa" w:w="120"/>
              <w:bottom w:type="dxa" w:w="80"/>
              <w:right w:type="dxa" w:w="120"/>
            </w:tcMar>
          </w:tcPr>
          <w:p>
            <w:r>
              <w:rPr>
                <w:rFonts w:ascii="Arial" w:cs="Arial" w:eastAsia="Arial" w:hAnsi="Arial"/>
                <w:b/>
                <w:bCs/>
                <w:sz w:val="22"/>
                <w:szCs w:val="22"/>
              </w:rPr>
              <w:t xml:space="preserve">VULN-07  </w:t>
            </w:r>
            <w:r>
              <w:rPr>
                <w:rFonts w:ascii="Arial" w:cs="Arial" w:eastAsia="Arial" w:hAnsi="Arial"/>
                <w:b/>
                <w:bCs/>
                <w:color w:val="BF8F00"/>
                <w:sz w:val="22"/>
                <w:szCs w:val="22"/>
              </w:rPr>
              <w:t xml:space="preserve">[MEDIUM]</w:t>
            </w:r>
            <w:r>
              <w:rPr>
                <w:rFonts w:ascii="Arial" w:cs="Arial" w:eastAsia="Arial" w:hAnsi="Arial"/>
                <w:b/>
                <w:bCs/>
                <w:sz w:val="22"/>
                <w:szCs w:val="22"/>
              </w:rPr>
              <w:t xml:space="preserve">  Session Cookie Not Enforced as Secure</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20"/>
                <w:szCs w:val="20"/>
              </w:rPr>
              <w:t xml:space="preserve">config/session.php → 'secure' =&gt; env('SESSION_SECURE_COOKIE')</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SESSION_SECURE_COOKIE value has no default, meaning it defaults to null/false. If the app is deployed on HTTP (even temporarily), the session cookie will be sent over unencrypted connections, enabling session hijacking.</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Set SESSION_SECURE_COOKIE=true in production .env, or set the config default to true: 'secure' =&gt; env('SESSION_SECURE_COOKIE', true). Also set SESSION_ENCRYPT=true for additional cookie protection.</w:t>
            </w:r>
          </w:p>
        </w:tc>
      </w:tr>
    </w:tbl>
    <w:p>
      <w:r>
        <w:t xml:space="preserve"/>
      </w:r>
    </w:p>
    <w:p>
      <w:pPr>
        <w:pStyle w:val="Heading1"/>
      </w:pPr>
      <w:r>
        <w:rPr>
          <w:rFonts w:ascii="Arial" w:cs="Arial" w:eastAsia="Arial" w:hAnsi="Arial"/>
          <w:b/>
          <w:bCs/>
          <w:color w:val="1F3864"/>
          <w:sz w:val="32"/>
          <w:szCs w:val="32"/>
        </w:rPr>
        <w:t xml:space="preserve">Low / Informational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sz w:val="22"/>
                <w:szCs w:val="22"/>
              </w:rPr>
              <w:t xml:space="preserve">VULN-08  </w:t>
            </w:r>
            <w:r>
              <w:rPr>
                <w:rFonts w:ascii="Arial" w:cs="Arial" w:eastAsia="Arial" w:hAnsi="Arial"/>
                <w:b/>
                <w:bCs/>
                <w:color w:val="375623"/>
                <w:sz w:val="22"/>
                <w:szCs w:val="22"/>
              </w:rPr>
              <w:t xml:space="preserve">[LOW]</w:t>
            </w:r>
            <w:r>
              <w:rPr>
                <w:rFonts w:ascii="Arial" w:cs="Arial" w:eastAsia="Arial" w:hAnsi="Arial"/>
                <w:b/>
                <w:bCs/>
                <w:sz w:val="22"/>
                <w:szCs w:val="22"/>
              </w:rPr>
              <w:t xml:space="preserve">  Predictable Order Numbers Using uniqid()</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20"/>
                <w:szCs w:val="20"/>
              </w:rPr>
              <w:t xml:space="preserve">app/Http/Controllers/PaymentController.php → 'ORD-' . strtoupper(uniqid())</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uniqid() generates values based on the current timestamp in microseconds. Order numbers are therefore predictable and sequential, which could allow enumeration of orders or facilitate social engineering attacks.</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 a cryptographically random identifier instead: 'ORD-' . strtoupper(bin2hex(random_bytes(6))). Alternatively use Laravel's Str::random(12) or a UUID.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sz w:val="22"/>
                <w:szCs w:val="22"/>
              </w:rPr>
              <w:t xml:space="preserve">VULN-09  </w:t>
            </w:r>
            <w:r>
              <w:rPr>
                <w:rFonts w:ascii="Arial" w:cs="Arial" w:eastAsia="Arial" w:hAnsi="Arial"/>
                <w:b/>
                <w:bCs/>
                <w:color w:val="375623"/>
                <w:sz w:val="22"/>
                <w:szCs w:val="22"/>
              </w:rPr>
              <w:t xml:space="preserve">[LOW]</w:t>
            </w:r>
            <w:r>
              <w:rPr>
                <w:rFonts w:ascii="Arial" w:cs="Arial" w:eastAsia="Arial" w:hAnsi="Arial"/>
                <w:b/>
                <w:bCs/>
                <w:sz w:val="22"/>
                <w:szCs w:val="22"/>
              </w:rPr>
              <w:t xml:space="preserve">  Double DB::commit() in Payment Transaction</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864"/>
                <w:sz w:val="20"/>
                <w:szCs w:val="20"/>
              </w:rPr>
              <w:t xml:space="preserve">app/Http/Controllers/PaymentController.php → processPayment()</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DB::commit() is called twice in the payment processing flow. While this is unlikely to cause data corruption in most drivers, it is a code defect that indicates the transaction lifecycle is not being managed carefully.</w:t>
            </w:r>
          </w:p>
        </w:tc>
      </w:tr>
      <w:tr>
        <w:tc>
          <w:tcPr>
            <w:tcW w:type="dxa" w:w="2000"/>
            <w:tcBorders>
              <w:top w:val="single" w:color="CCCCCC" w:sz="1"/>
              <w:left w:val="single" w:color="CCCCCC" w:sz="1"/>
              <w:bottom w:val="single" w:color="CCCCCC" w:sz="1"/>
              <w:right w:val="single" w:color="CCCCCC" w:sz="1"/>
            </w:tcBorders>
            <w:shd w:fill="E8EEFF"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Remove the duplicate DB::commit() call. Confirm there is exactly one commit() per beginTransaction() and that rollBack() is called in every exception path.</w:t>
            </w:r>
          </w:p>
        </w:tc>
      </w:tr>
    </w:tbl>
    <w:p>
      <w:r>
        <w:t xml:space="preserve"/>
      </w:r>
    </w:p>
    <w:p>
      <w:r>
        <w:t xml:space="preserve"/>
      </w:r>
    </w:p>
    <w:p>
      <w:pPr>
        <w:pStyle w:val="Heading1"/>
      </w:pPr>
      <w:r>
        <w:rPr>
          <w:rFonts w:ascii="Arial" w:cs="Arial" w:eastAsia="Arial" w:hAnsi="Arial"/>
          <w:b/>
          <w:bCs/>
          <w:color w:val="1F3864"/>
          <w:sz w:val="32"/>
          <w:szCs w:val="32"/>
        </w:rPr>
        <w:t xml:space="preserve">Recommended Pre-Deployment Checklist</w:t>
      </w:r>
    </w:p>
    <w:p>
      <w:pPr>
        <w:pStyle w:val="ListParagraph"/>
        <w:numPr>
          <w:ilvl w:val="0"/>
          <w:numId w:val="2"/>
        </w:numPr>
      </w:pPr>
      <w:r>
        <w:rPr>
          <w:rFonts w:ascii="Arial" w:cs="Arial" w:eastAsia="Arial" w:hAnsi="Arial"/>
          <w:b w:val="false"/>
          <w:bCs w:val="false"/>
          <w:sz w:val="22"/>
          <w:szCs w:val="22"/>
        </w:rPr>
        <w:t xml:space="preserve">Fix VULN-01: Add role-based middleware to all admin and seller routes</w:t>
      </w:r>
    </w:p>
    <w:p>
      <w:pPr>
        <w:pStyle w:val="ListParagraph"/>
        <w:numPr>
          <w:ilvl w:val="0"/>
          <w:numId w:val="2"/>
        </w:numPr>
      </w:pPr>
      <w:r>
        <w:rPr>
          <w:rFonts w:ascii="Arial" w:cs="Arial" w:eastAsia="Arial" w:hAnsi="Arial"/>
          <w:b w:val="false"/>
          <w:bCs w:val="false"/>
          <w:sz w:val="22"/>
          <w:szCs w:val="22"/>
        </w:rPr>
        <w:t xml:space="preserve">Fix VULN-02: Remove mock payment method from production code</w:t>
      </w:r>
    </w:p>
    <w:p>
      <w:pPr>
        <w:pStyle w:val="ListParagraph"/>
        <w:numPr>
          <w:ilvl w:val="0"/>
          <w:numId w:val="2"/>
        </w:numPr>
      </w:pPr>
      <w:r>
        <w:rPr>
          <w:rFonts w:ascii="Arial" w:cs="Arial" w:eastAsia="Arial" w:hAnsi="Arial"/>
          <w:b w:val="false"/>
          <w:bCs w:val="false"/>
          <w:sz w:val="22"/>
          <w:szCs w:val="22"/>
        </w:rPr>
        <w:t xml:space="preserve">Fix VULN-03: Add IDOR ownership checks on CartItem routes</w:t>
      </w:r>
    </w:p>
    <w:p>
      <w:pPr>
        <w:pStyle w:val="ListParagraph"/>
        <w:numPr>
          <w:ilvl w:val="0"/>
          <w:numId w:val="2"/>
        </w:numPr>
      </w:pPr>
      <w:r>
        <w:rPr>
          <w:rFonts w:ascii="Arial" w:cs="Arial" w:eastAsia="Arial" w:hAnsi="Arial"/>
          <w:b w:val="false"/>
          <w:bCs w:val="false"/>
          <w:sz w:val="22"/>
          <w:szCs w:val="22"/>
        </w:rPr>
        <w:t xml:space="preserve">Fix VULN-04: Add throttle middleware on login and verification endpoints</w:t>
      </w:r>
    </w:p>
    <w:p>
      <w:pPr>
        <w:pStyle w:val="ListParagraph"/>
        <w:numPr>
          <w:ilvl w:val="0"/>
          <w:numId w:val="2"/>
        </w:numPr>
      </w:pPr>
      <w:r>
        <w:rPr>
          <w:rFonts w:ascii="Arial" w:cs="Arial" w:eastAsia="Arial" w:hAnsi="Arial"/>
          <w:b w:val="false"/>
          <w:bCs w:val="false"/>
          <w:sz w:val="22"/>
          <w:szCs w:val="22"/>
        </w:rPr>
        <w:t xml:space="preserve">Set APP_DEBUG=false in production environment</w:t>
      </w:r>
    </w:p>
    <w:p>
      <w:pPr>
        <w:pStyle w:val="ListParagraph"/>
        <w:numPr>
          <w:ilvl w:val="0"/>
          <w:numId w:val="2"/>
        </w:numPr>
      </w:pPr>
      <w:r>
        <w:rPr>
          <w:rFonts w:ascii="Arial" w:cs="Arial" w:eastAsia="Arial" w:hAnsi="Arial"/>
          <w:b w:val="false"/>
          <w:bCs w:val="false"/>
          <w:sz w:val="22"/>
          <w:szCs w:val="22"/>
        </w:rPr>
        <w:t xml:space="preserve">Set SESSION_SECURE_COOKIE=true and SESSION_ENCRYPT=true in production</w:t>
      </w:r>
    </w:p>
    <w:p>
      <w:pPr>
        <w:pStyle w:val="ListParagraph"/>
        <w:numPr>
          <w:ilvl w:val="0"/>
          <w:numId w:val="2"/>
        </w:numPr>
      </w:pPr>
      <w:r>
        <w:rPr>
          <w:rFonts w:ascii="Arial" w:cs="Arial" w:eastAsia="Arial" w:hAnsi="Arial"/>
          <w:b w:val="false"/>
          <w:bCs w:val="false"/>
          <w:sz w:val="22"/>
          <w:szCs w:val="22"/>
        </w:rPr>
        <w:t xml:space="preserve">Ensure .env is excluded from version control (verify .gitignore includes .env)</w:t>
      </w:r>
    </w:p>
    <w:p>
      <w:pPr>
        <w:pStyle w:val="ListParagraph"/>
        <w:numPr>
          <w:ilvl w:val="0"/>
          <w:numId w:val="2"/>
        </w:numPr>
      </w:pPr>
      <w:r>
        <w:rPr>
          <w:rFonts w:ascii="Arial" w:cs="Arial" w:eastAsia="Arial" w:hAnsi="Arial"/>
          <w:b w:val="false"/>
          <w:bCs w:val="false"/>
          <w:sz w:val="22"/>
          <w:szCs w:val="22"/>
        </w:rPr>
        <w:t xml:space="preserve">Replace uniqid() with cryptographically random order number generation</w:t>
      </w:r>
    </w:p>
    <w:p>
      <w:pPr>
        <w:pStyle w:val="ListParagraph"/>
        <w:numPr>
          <w:ilvl w:val="0"/>
          <w:numId w:val="2"/>
        </w:numPr>
      </w:pPr>
      <w:r>
        <w:rPr>
          <w:rFonts w:ascii="Arial" w:cs="Arial" w:eastAsia="Arial" w:hAnsi="Arial"/>
          <w:b w:val="false"/>
          <w:bCs w:val="false"/>
          <w:sz w:val="22"/>
          <w:szCs w:val="22"/>
        </w:rPr>
        <w:t xml:space="preserve">Remove duplicate DB::commit() from PaymentController</w:t>
      </w:r>
    </w:p>
    <w:p>
      <w:pPr>
        <w:pStyle w:val="ListParagraph"/>
        <w:numPr>
          <w:ilvl w:val="0"/>
          <w:numId w:val="2"/>
        </w:numPr>
      </w:pPr>
      <w:r>
        <w:rPr>
          <w:rFonts w:ascii="Arial" w:cs="Arial" w:eastAsia="Arial" w:hAnsi="Arial"/>
          <w:b w:val="false"/>
          <w:bCs w:val="false"/>
          <w:sz w:val="22"/>
          <w:szCs w:val="22"/>
        </w:rPr>
        <w:t xml:space="preserve">Replace raw exception messages with generic user-facing error messages</w:t>
      </w:r>
    </w:p>
    <w:p>
      <w:r>
        <w:t xml:space="preserve"/>
      </w:r>
    </w:p>
    <w:p>
      <w:pPr>
        <w:spacing w:after="120"/>
      </w:pPr>
      <w:r>
        <w:rPr>
          <w:rFonts w:ascii="Arial" w:cs="Arial" w:eastAsia="Arial" w:hAnsi="Arial"/>
          <w:color w:val="888888"/>
          <w:sz w:val="18"/>
          <w:szCs w:val="18"/>
        </w:rPr>
        <w:t xml:space="preserve">Report generated by Claude Security Audit  |  brah4729/tokokeren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2026-03-11T12:25:52.040Z</dcterms:created>
  <dcterms:modified xsi:type="dcterms:W3CDTF">2026-03-11T12:25:52.042Z</dcterms:modified>
</cp:coreProperties>
</file>

<file path=docProps/custom.xml><?xml version="1.0" encoding="utf-8"?>
<Properties xmlns="http://schemas.openxmlformats.org/officeDocument/2006/custom-properties" xmlns:vt="http://schemas.openxmlformats.org/officeDocument/2006/docPropsVTypes"/>
</file>