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E7FD" w14:textId="77777777" w:rsidR="00264EC6" w:rsidRDefault="00264EC6">
      <w:pPr>
        <w:spacing w:before="1400"/>
      </w:pPr>
    </w:p>
    <w:p w14:paraId="11DCC1DC" w14:textId="77777777" w:rsidR="00264EC6" w:rsidRDefault="00000000">
      <w:pPr>
        <w:jc w:val="center"/>
      </w:pPr>
      <w:r>
        <w:rPr>
          <w:b/>
          <w:bCs/>
          <w:color w:val="1F3D2B"/>
          <w:sz w:val="64"/>
          <w:szCs w:val="64"/>
        </w:rPr>
        <w:t>THE STATE OF THE GRID</w:t>
      </w:r>
    </w:p>
    <w:p w14:paraId="5D05CC71" w14:textId="77777777" w:rsidR="00264EC6" w:rsidRDefault="00000000">
      <w:pPr>
        <w:spacing w:before="100" w:after="400"/>
        <w:jc w:val="center"/>
      </w:pPr>
      <w:r>
        <w:rPr>
          <w:b/>
          <w:bCs/>
          <w:color w:val="6FA287"/>
          <w:sz w:val="64"/>
          <w:szCs w:val="64"/>
        </w:rPr>
        <w:t>2026</w:t>
      </w:r>
    </w:p>
    <w:p w14:paraId="4280FBBE" w14:textId="363153D4" w:rsidR="00264EC6" w:rsidRDefault="00000000">
      <w:pPr>
        <w:spacing w:after="100"/>
        <w:jc w:val="center"/>
      </w:pPr>
      <w:r>
        <w:rPr>
          <w:color w:val="444444"/>
          <w:sz w:val="26"/>
          <w:szCs w:val="26"/>
        </w:rPr>
        <w:t>A State-by-State Analysis of America's Renewable Energy Transition</w:t>
      </w:r>
      <w:r w:rsidR="00AA5216">
        <w:rPr>
          <w:color w:val="444444"/>
          <w:sz w:val="26"/>
          <w:szCs w:val="26"/>
        </w:rPr>
        <w:t xml:space="preserve"> </w:t>
      </w:r>
      <w:r w:rsidR="009D02E1">
        <w:rPr>
          <w:color w:val="444444"/>
          <w:sz w:val="26"/>
          <w:szCs w:val="26"/>
        </w:rPr>
        <w:t>by</w:t>
      </w:r>
      <w:r w:rsidR="00AA5216">
        <w:rPr>
          <w:color w:val="444444"/>
          <w:sz w:val="26"/>
          <w:szCs w:val="26"/>
        </w:rPr>
        <w:t xml:space="preserve"> Aditya Brahmachary</w:t>
      </w:r>
    </w:p>
    <w:p w14:paraId="6946890E" w14:textId="69C03D50" w:rsidR="00264EC6" w:rsidRDefault="00000000">
      <w:pPr>
        <w:spacing w:before="600"/>
        <w:jc w:val="center"/>
      </w:pPr>
      <w:r>
        <w:rPr>
          <w:color w:val="888888"/>
          <w:sz w:val="22"/>
          <w:szCs w:val="22"/>
        </w:rPr>
        <w:t>MOXVER 2026 High School Internship</w:t>
      </w:r>
    </w:p>
    <w:p w14:paraId="5204C08A" w14:textId="20E58E0D" w:rsidR="00264EC6" w:rsidRDefault="00000000">
      <w:pPr>
        <w:spacing w:before="100"/>
        <w:jc w:val="center"/>
      </w:pPr>
      <w:r>
        <w:rPr>
          <w:color w:val="999999"/>
          <w:sz w:val="18"/>
          <w:szCs w:val="18"/>
        </w:rPr>
        <w:t>Data Sources: U.S. Energy Information Administration (EIA-923, SEDS)</w:t>
      </w:r>
    </w:p>
    <w:p w14:paraId="1B5B61E6" w14:textId="77777777" w:rsidR="00264EC6" w:rsidRDefault="00000000">
      <w:r>
        <w:br w:type="page"/>
      </w:r>
    </w:p>
    <w:p w14:paraId="1BC78062" w14:textId="77777777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Project Overview</w:t>
      </w:r>
    </w:p>
    <w:p w14:paraId="4F95028C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Four-phase analysis of the U.S. clean energy transition, state by state.</w:t>
      </w:r>
    </w:p>
    <w:p w14:paraId="228F919F" w14:textId="49B432AD" w:rsidR="00264EC6" w:rsidRDefault="00000000">
      <w:pPr>
        <w:spacing w:after="200"/>
      </w:pPr>
      <w:r>
        <w:rPr>
          <w:sz w:val="22"/>
          <w:szCs w:val="22"/>
        </w:rPr>
        <w:t>This project analyzes 25 years of EIA net generation data across all 50 states and Washington, D.C. to answer four questions: How has each state's renewable energy share changed over time? When did renewables overtake coal? When might each state reach a full wind + solar transition? And how do states compare against one another?</w:t>
      </w:r>
    </w:p>
    <w:p w14:paraId="78D255A7" w14:textId="23FE98BE" w:rsidR="00264EC6" w:rsidRDefault="00000000">
      <w:pPr>
        <w:spacing w:after="100"/>
      </w:pPr>
      <w:r>
        <w:rPr>
          <w:b/>
          <w:bCs/>
          <w:sz w:val="22"/>
          <w:szCs w:val="22"/>
        </w:rPr>
        <w:t xml:space="preserve">Phase I Discovery: </w:t>
      </w:r>
      <w:r>
        <w:rPr>
          <w:sz w:val="22"/>
          <w:szCs w:val="22"/>
        </w:rPr>
        <w:t xml:space="preserve">Extracted and cleaned EIA generation data for Coal, Natural Gas, Wind, and Solar across all 51 </w:t>
      </w:r>
      <w:r w:rsidR="006E712A">
        <w:rPr>
          <w:sz w:val="22"/>
          <w:szCs w:val="22"/>
        </w:rPr>
        <w:t>states</w:t>
      </w:r>
      <w:r>
        <w:rPr>
          <w:sz w:val="22"/>
          <w:szCs w:val="22"/>
        </w:rPr>
        <w:t>.</w:t>
      </w:r>
    </w:p>
    <w:p w14:paraId="382CE027" w14:textId="1DDF6F4B" w:rsidR="00264EC6" w:rsidRDefault="00000000">
      <w:pPr>
        <w:spacing w:after="100"/>
      </w:pPr>
      <w:r>
        <w:rPr>
          <w:b/>
          <w:bCs/>
          <w:sz w:val="22"/>
          <w:szCs w:val="22"/>
        </w:rPr>
        <w:t xml:space="preserve">Phase II Trends: </w:t>
      </w:r>
      <w:r>
        <w:rPr>
          <w:sz w:val="22"/>
          <w:szCs w:val="22"/>
        </w:rPr>
        <w:t xml:space="preserve">Calculated renewable </w:t>
      </w:r>
      <w:r w:rsidR="006E712A">
        <w:rPr>
          <w:sz w:val="22"/>
          <w:szCs w:val="22"/>
        </w:rPr>
        <w:t>energy percentage</w:t>
      </w:r>
      <w:r>
        <w:rPr>
          <w:sz w:val="22"/>
          <w:szCs w:val="22"/>
        </w:rPr>
        <w:t xml:space="preserve"> by year and identified each state's Pivot Year when renewables first exceeded coal.</w:t>
      </w:r>
    </w:p>
    <w:p w14:paraId="2CA01501" w14:textId="3E46A675" w:rsidR="00264EC6" w:rsidRDefault="00000000">
      <w:pPr>
        <w:spacing w:after="100"/>
      </w:pPr>
      <w:r>
        <w:rPr>
          <w:b/>
          <w:bCs/>
          <w:sz w:val="22"/>
          <w:szCs w:val="22"/>
        </w:rPr>
        <w:t xml:space="preserve">Phase III Forecasting: </w:t>
      </w:r>
      <w:r>
        <w:rPr>
          <w:sz w:val="22"/>
          <w:szCs w:val="22"/>
        </w:rPr>
        <w:t>Applied linear regression to project each state's Intersection Year the year wind + solar could reach 100% of generation.</w:t>
      </w:r>
    </w:p>
    <w:p w14:paraId="1452A33A" w14:textId="1DF4D852" w:rsidR="00264EC6" w:rsidRDefault="00000000">
      <w:pPr>
        <w:spacing w:after="300"/>
      </w:pPr>
      <w:r>
        <w:rPr>
          <w:b/>
          <w:bCs/>
          <w:sz w:val="22"/>
          <w:szCs w:val="22"/>
        </w:rPr>
        <w:t xml:space="preserve">Phase IV Reporting: </w:t>
      </w:r>
      <w:r>
        <w:rPr>
          <w:sz w:val="22"/>
          <w:szCs w:val="22"/>
        </w:rPr>
        <w:t>Built a composite Grade (A–F) per state and an interactive Tableau dashboard for exploring the results.</w:t>
      </w:r>
    </w:p>
    <w:p w14:paraId="414CB612" w14:textId="77777777" w:rsidR="00264EC6" w:rsidRDefault="00000000">
      <w:r>
        <w:br w:type="page"/>
      </w:r>
    </w:p>
    <w:p w14:paraId="36F1ADC0" w14:textId="1E9DEEEC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Phase I</w:t>
      </w:r>
      <w:r w:rsidR="006E712A">
        <w:rPr>
          <w:b/>
          <w:bCs/>
          <w:color w:val="1F3D2B"/>
        </w:rPr>
        <w:t>:</w:t>
      </w:r>
      <w:r>
        <w:rPr>
          <w:b/>
          <w:bCs/>
          <w:color w:val="1F3D2B"/>
        </w:rPr>
        <w:t xml:space="preserve"> Data Extraction &amp; Cleaning</w:t>
      </w:r>
    </w:p>
    <w:p w14:paraId="70A37716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Raw EIA generation data, melted, parsed, and reshaped into an analysis-ready table.</w:t>
      </w:r>
    </w:p>
    <w:p w14:paraId="4A1C8D1D" w14:textId="44F7B4A9" w:rsidR="00264EC6" w:rsidRDefault="009D02E1">
      <w:pPr>
        <w:spacing w:after="100"/>
        <w:jc w:val="center"/>
      </w:pPr>
      <w:r w:rsidRPr="009D02E1">
        <w:drawing>
          <wp:inline distT="0" distB="0" distL="0" distR="0" wp14:anchorId="6DDA840B" wp14:editId="34B58477">
            <wp:extent cx="6502400" cy="1200785"/>
            <wp:effectExtent l="0" t="0" r="0" b="0"/>
            <wp:docPr id="14204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70C5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Raw EIA export: annual net generation (thousand MWh) by state and fuel type.</w:t>
      </w:r>
    </w:p>
    <w:p w14:paraId="76190A3B" w14:textId="5127747E" w:rsidR="00264EC6" w:rsidRDefault="009D02E1">
      <w:pPr>
        <w:spacing w:after="100"/>
        <w:jc w:val="center"/>
      </w:pPr>
      <w:r w:rsidRPr="009D02E1">
        <w:drawing>
          <wp:inline distT="0" distB="0" distL="0" distR="0" wp14:anchorId="71ACF963" wp14:editId="13E82F39">
            <wp:extent cx="3639058" cy="4210638"/>
            <wp:effectExtent l="0" t="0" r="0" b="0"/>
            <wp:docPr id="155654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2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8361" w14:textId="18154DA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Cleaned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dataframe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r w:rsidR="009D02E1">
        <w:rPr>
          <w:i/>
          <w:iCs/>
          <w:color w:val="666666"/>
          <w:sz w:val="18"/>
          <w:szCs w:val="18"/>
        </w:rPr>
        <w:t>‘</w:t>
      </w:r>
      <w:proofErr w:type="spellStart"/>
      <w:proofErr w:type="gramEnd"/>
      <w:r w:rsidR="009D02E1">
        <w:rPr>
          <w:i/>
          <w:iCs/>
          <w:color w:val="666666"/>
          <w:sz w:val="18"/>
          <w:szCs w:val="18"/>
        </w:rPr>
        <w:t>final_df</w:t>
      </w:r>
      <w:proofErr w:type="spellEnd"/>
      <w:r>
        <w:rPr>
          <w:i/>
          <w:iCs/>
          <w:color w:val="666666"/>
          <w:sz w:val="18"/>
          <w:szCs w:val="18"/>
        </w:rPr>
        <w:t xml:space="preserve">`): </w:t>
      </w:r>
      <w:r w:rsidR="009D02E1">
        <w:rPr>
          <w:i/>
          <w:iCs/>
          <w:color w:val="666666"/>
          <w:sz w:val="18"/>
          <w:szCs w:val="18"/>
        </w:rPr>
        <w:t>Multi-index with clear Year &amp; State details about its Generation and Fuel type</w:t>
      </w:r>
      <w:r>
        <w:rPr>
          <w:i/>
          <w:iCs/>
          <w:color w:val="666666"/>
          <w:sz w:val="18"/>
          <w:szCs w:val="18"/>
        </w:rPr>
        <w:t>.</w:t>
      </w:r>
    </w:p>
    <w:p w14:paraId="5D7EE326" w14:textId="77777777" w:rsidR="00264EC6" w:rsidRDefault="00000000">
      <w:r>
        <w:br w:type="page"/>
      </w:r>
    </w:p>
    <w:p w14:paraId="67DD0A82" w14:textId="6AC35699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Phase II</w:t>
      </w:r>
      <w:r w:rsidR="006E712A">
        <w:rPr>
          <w:b/>
          <w:bCs/>
          <w:color w:val="1F3D2B"/>
        </w:rPr>
        <w:t>:</w:t>
      </w:r>
      <w:r>
        <w:rPr>
          <w:b/>
          <w:bCs/>
          <w:color w:val="1F3D2B"/>
        </w:rPr>
        <w:t xml:space="preserve"> Renewable Trends</w:t>
      </w:r>
    </w:p>
    <w:p w14:paraId="25E91809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Renewable share (wind + solar) tracked over time for every state.</w:t>
      </w:r>
    </w:p>
    <w:p w14:paraId="7A4BDFF1" w14:textId="77777777" w:rsidR="00264EC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FDFE86F" wp14:editId="0BE4B255">
            <wp:extent cx="3619500" cy="2933700"/>
            <wp:effectExtent l="0" t="0" r="0" b="0"/>
            <wp:docPr id="1675537710" name="Picture 167553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161D" w14:textId="26AA8C7B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Example: Washington's renewable share over time </w:t>
      </w:r>
      <w:r w:rsidR="006E712A">
        <w:rPr>
          <w:i/>
          <w:iCs/>
          <w:color w:val="666666"/>
          <w:sz w:val="18"/>
          <w:szCs w:val="18"/>
        </w:rPr>
        <w:t>is</w:t>
      </w:r>
      <w:r>
        <w:rPr>
          <w:i/>
          <w:iCs/>
          <w:color w:val="666666"/>
          <w:sz w:val="18"/>
          <w:szCs w:val="18"/>
        </w:rPr>
        <w:t xml:space="preserve"> low despite a famously clean grid, since its clean energy is almost entirely hydropower, not wind or solar.</w:t>
      </w:r>
    </w:p>
    <w:p w14:paraId="2EEC303A" w14:textId="77777777" w:rsidR="00264EC6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F9A2FB5" wp14:editId="29DFA840">
            <wp:extent cx="5641586" cy="8541099"/>
            <wp:effectExtent l="0" t="0" r="0" b="0"/>
            <wp:docPr id="1895158014" name="Picture 1895158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11" cy="855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4CE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Renewable share (%) trend, 2001–2025, faceted across all 51 states/jurisdictions.</w:t>
      </w:r>
    </w:p>
    <w:p w14:paraId="1F1C8D12" w14:textId="0A27C7F1" w:rsidR="00264EC6" w:rsidRDefault="00000000" w:rsidP="00AA5216">
      <w:r>
        <w:br w:type="page"/>
      </w:r>
      <w:r>
        <w:rPr>
          <w:b/>
          <w:bCs/>
          <w:color w:val="1F3D2B"/>
          <w:sz w:val="32"/>
          <w:szCs w:val="32"/>
        </w:rPr>
        <w:lastRenderedPageBreak/>
        <w:t>Phase II</w:t>
      </w:r>
      <w:r w:rsidR="006E712A">
        <w:rPr>
          <w:b/>
          <w:bCs/>
          <w:color w:val="1F3D2B"/>
          <w:sz w:val="32"/>
          <w:szCs w:val="32"/>
        </w:rPr>
        <w:t xml:space="preserve">: </w:t>
      </w:r>
      <w:r>
        <w:rPr>
          <w:b/>
          <w:bCs/>
          <w:color w:val="1F3D2B"/>
          <w:sz w:val="32"/>
          <w:szCs w:val="32"/>
        </w:rPr>
        <w:t>The Pivot Year</w:t>
      </w:r>
    </w:p>
    <w:p w14:paraId="255CBE56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 xml:space="preserve">The </w:t>
      </w:r>
      <w:proofErr w:type="gramStart"/>
      <w:r>
        <w:rPr>
          <w:i/>
          <w:iCs/>
          <w:color w:val="444444"/>
          <w:sz w:val="22"/>
          <w:szCs w:val="22"/>
        </w:rPr>
        <w:t>first year</w:t>
      </w:r>
      <w:proofErr w:type="gramEnd"/>
      <w:r>
        <w:rPr>
          <w:i/>
          <w:iCs/>
          <w:color w:val="444444"/>
          <w:sz w:val="22"/>
          <w:szCs w:val="22"/>
        </w:rPr>
        <w:t xml:space="preserve"> renewables (wind + solar) generation exceeded coal generation, per state.</w:t>
      </w:r>
    </w:p>
    <w:p w14:paraId="71FEB810" w14:textId="1DF7B445" w:rsidR="00264EC6" w:rsidRDefault="00317D48">
      <w:pPr>
        <w:spacing w:after="100"/>
        <w:jc w:val="center"/>
      </w:pPr>
      <w:r w:rsidRPr="00317D48">
        <w:drawing>
          <wp:inline distT="0" distB="0" distL="0" distR="0" wp14:anchorId="42CB82C6" wp14:editId="1464B941">
            <wp:extent cx="1838582" cy="7154273"/>
            <wp:effectExtent l="0" t="0" r="9525" b="0"/>
            <wp:docPr id="14950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5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4150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Pivot Year by state. 22 states have not yet </w:t>
      </w:r>
      <w:proofErr w:type="gramStart"/>
      <w:r>
        <w:rPr>
          <w:i/>
          <w:iCs/>
          <w:color w:val="666666"/>
          <w:sz w:val="18"/>
          <w:szCs w:val="18"/>
        </w:rPr>
        <w:t>crossed</w:t>
      </w:r>
      <w:proofErr w:type="gramEnd"/>
      <w:r>
        <w:rPr>
          <w:i/>
          <w:iCs/>
          <w:color w:val="666666"/>
          <w:sz w:val="18"/>
          <w:szCs w:val="18"/>
        </w:rPr>
        <w:t xml:space="preserve"> this threshold as of the latest data available.</w:t>
      </w:r>
    </w:p>
    <w:p w14:paraId="101E6B83" w14:textId="4A514491" w:rsidR="00264EC6" w:rsidRDefault="00000000">
      <w:pPr>
        <w:spacing w:before="200"/>
      </w:pPr>
      <w:r>
        <w:rPr>
          <w:b/>
          <w:bCs/>
          <w:sz w:val="22"/>
          <w:szCs w:val="22"/>
        </w:rPr>
        <w:t xml:space="preserve">Key finding: </w:t>
      </w:r>
      <w:r>
        <w:rPr>
          <w:sz w:val="22"/>
          <w:szCs w:val="22"/>
        </w:rPr>
        <w:t>22 states concentrated in the Midwest, South, and Appalachia still generate more electricity from coal than from wind and solar combined.</w:t>
      </w:r>
    </w:p>
    <w:p w14:paraId="7A0F4512" w14:textId="77777777" w:rsidR="00264EC6" w:rsidRDefault="00000000">
      <w:r>
        <w:br w:type="page"/>
      </w:r>
    </w:p>
    <w:p w14:paraId="36D9C47E" w14:textId="031B0529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Phase III</w:t>
      </w:r>
      <w:r w:rsidR="006E712A">
        <w:rPr>
          <w:b/>
          <w:bCs/>
          <w:color w:val="1F3D2B"/>
        </w:rPr>
        <w:t xml:space="preserve">: </w:t>
      </w:r>
      <w:r>
        <w:rPr>
          <w:b/>
          <w:bCs/>
          <w:color w:val="1F3D2B"/>
        </w:rPr>
        <w:t>Forecasting the Transition</w:t>
      </w:r>
    </w:p>
    <w:p w14:paraId="5B53E07A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Linear regression projects each state's wind + solar Intersection Year.</w:t>
      </w:r>
    </w:p>
    <w:p w14:paraId="3BD785D5" w14:textId="4FA20BF3" w:rsidR="00264EC6" w:rsidRDefault="00317D48">
      <w:pPr>
        <w:spacing w:after="100"/>
        <w:jc w:val="center"/>
      </w:pPr>
      <w:r w:rsidRPr="00317D48">
        <w:drawing>
          <wp:inline distT="0" distB="0" distL="0" distR="0" wp14:anchorId="16B142D2" wp14:editId="278C143B">
            <wp:extent cx="6502400" cy="1597660"/>
            <wp:effectExtent l="0" t="0" r="0" b="2540"/>
            <wp:docPr id="12702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0A3A" w14:textId="7B0ED211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Top 5 soonest projected </w:t>
      </w:r>
      <w:proofErr w:type="spellStart"/>
      <w:r>
        <w:rPr>
          <w:i/>
          <w:iCs/>
          <w:color w:val="666666"/>
          <w:sz w:val="18"/>
          <w:szCs w:val="18"/>
        </w:rPr>
        <w:t>wind+solar</w:t>
      </w:r>
      <w:proofErr w:type="spellEnd"/>
      <w:r>
        <w:rPr>
          <w:i/>
          <w:iCs/>
          <w:color w:val="666666"/>
          <w:sz w:val="18"/>
          <w:szCs w:val="18"/>
        </w:rPr>
        <w:t xml:space="preserve"> Net-Zero: Iowa, South Dakota, Kansas, New Mexico, California.</w:t>
      </w:r>
    </w:p>
    <w:p w14:paraId="723348B4" w14:textId="44A4A0FC" w:rsidR="00264EC6" w:rsidRDefault="00317D48">
      <w:pPr>
        <w:spacing w:after="100"/>
        <w:jc w:val="center"/>
      </w:pPr>
      <w:r w:rsidRPr="00317D48">
        <w:drawing>
          <wp:inline distT="0" distB="0" distL="0" distR="0" wp14:anchorId="7AC0BDC2" wp14:editId="56759C64">
            <wp:extent cx="6502400" cy="1605915"/>
            <wp:effectExtent l="0" t="0" r="0" b="0"/>
            <wp:docPr id="20924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25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2856" w14:textId="029DDBED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Bottom </w:t>
      </w:r>
      <w:proofErr w:type="gramStart"/>
      <w:r>
        <w:rPr>
          <w:i/>
          <w:iCs/>
          <w:color w:val="666666"/>
          <w:sz w:val="18"/>
          <w:szCs w:val="18"/>
        </w:rPr>
        <w:t>5  furthest</w:t>
      </w:r>
      <w:proofErr w:type="gramEnd"/>
      <w:r>
        <w:rPr>
          <w:i/>
          <w:iCs/>
          <w:color w:val="666666"/>
          <w:sz w:val="18"/>
          <w:szCs w:val="18"/>
        </w:rPr>
        <w:t xml:space="preserve"> projected </w:t>
      </w:r>
      <w:proofErr w:type="spellStart"/>
      <w:r>
        <w:rPr>
          <w:i/>
          <w:iCs/>
          <w:color w:val="666666"/>
          <w:sz w:val="18"/>
          <w:szCs w:val="18"/>
        </w:rPr>
        <w:t>wind+solar</w:t>
      </w:r>
      <w:proofErr w:type="spellEnd"/>
      <w:r>
        <w:rPr>
          <w:i/>
          <w:iCs/>
          <w:color w:val="666666"/>
          <w:sz w:val="18"/>
          <w:szCs w:val="18"/>
        </w:rPr>
        <w:t xml:space="preserve"> Net-Zero: model projections beyond a realistic 2100 </w:t>
      </w:r>
      <w:r w:rsidR="00317D48">
        <w:rPr>
          <w:i/>
          <w:iCs/>
          <w:color w:val="666666"/>
          <w:sz w:val="18"/>
          <w:szCs w:val="18"/>
        </w:rPr>
        <w:t xml:space="preserve">should be taken with a grain of salt and this is simply because of the linear regression and how </w:t>
      </w:r>
      <w:proofErr w:type="gramStart"/>
      <w:r w:rsidR="00317D48">
        <w:rPr>
          <w:i/>
          <w:iCs/>
          <w:color w:val="666666"/>
          <w:sz w:val="18"/>
          <w:szCs w:val="18"/>
        </w:rPr>
        <w:t>its</w:t>
      </w:r>
      <w:proofErr w:type="gramEnd"/>
      <w:r w:rsidR="00317D48">
        <w:rPr>
          <w:i/>
          <w:iCs/>
          <w:color w:val="666666"/>
          <w:sz w:val="18"/>
          <w:szCs w:val="18"/>
        </w:rPr>
        <w:t xml:space="preserve"> defined as a constant growth.</w:t>
      </w:r>
    </w:p>
    <w:p w14:paraId="270D4A54" w14:textId="77777777" w:rsidR="00264EC6" w:rsidRDefault="00000000">
      <w:r>
        <w:br w:type="page"/>
      </w:r>
    </w:p>
    <w:p w14:paraId="43E93F3F" w14:textId="5ED95649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Phase IV</w:t>
      </w:r>
      <w:r w:rsidR="006E712A">
        <w:rPr>
          <w:b/>
          <w:bCs/>
          <w:color w:val="1F3D2B"/>
        </w:rPr>
        <w:t>:</w:t>
      </w:r>
      <w:r>
        <w:rPr>
          <w:b/>
          <w:bCs/>
          <w:color w:val="1F3D2B"/>
        </w:rPr>
        <w:t xml:space="preserve"> The State Report Card</w:t>
      </w:r>
    </w:p>
    <w:p w14:paraId="662C3FB5" w14:textId="7777777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Composite scoring of renewable adoption speed and current renewable share.</w:t>
      </w:r>
    </w:p>
    <w:p w14:paraId="4A94EB34" w14:textId="10E92FF5" w:rsidR="00264EC6" w:rsidRDefault="007D1283">
      <w:pPr>
        <w:spacing w:after="100"/>
        <w:jc w:val="center"/>
      </w:pPr>
      <w:r w:rsidRPr="007D1283">
        <w:drawing>
          <wp:inline distT="0" distB="0" distL="0" distR="0" wp14:anchorId="5CE171A4" wp14:editId="47C028BC">
            <wp:extent cx="6502400" cy="2181225"/>
            <wp:effectExtent l="0" t="0" r="0" b="9525"/>
            <wp:docPr id="20475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0BAC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Composite score = 50% current renewable adoption + 50% adoption speed (trend), normalized 0–1 across all states.</w:t>
      </w:r>
    </w:p>
    <w:p w14:paraId="589CA0E5" w14:textId="4ED4C25E" w:rsidR="00264EC6" w:rsidRDefault="007D1283">
      <w:pPr>
        <w:spacing w:after="100"/>
        <w:jc w:val="center"/>
      </w:pPr>
      <w:r w:rsidRPr="007D1283">
        <w:drawing>
          <wp:inline distT="0" distB="0" distL="0" distR="0" wp14:anchorId="53315E73" wp14:editId="6562A0A2">
            <wp:extent cx="6502400" cy="1282065"/>
            <wp:effectExtent l="0" t="0" r="0" b="0"/>
            <wp:docPr id="2073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21D" w14:textId="57026C15" w:rsidR="00264EC6" w:rsidRDefault="007D1283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The Grade given is a comparison between other states and its percentile in renewable energy</w:t>
      </w:r>
      <w:r w:rsidR="00000000">
        <w:rPr>
          <w:i/>
          <w:iCs/>
          <w:color w:val="666666"/>
          <w:sz w:val="18"/>
          <w:szCs w:val="18"/>
        </w:rPr>
        <w:t>.</w:t>
      </w:r>
    </w:p>
    <w:p w14:paraId="14219BC0" w14:textId="77777777" w:rsidR="00264EC6" w:rsidRDefault="00000000">
      <w:r>
        <w:br w:type="page"/>
      </w:r>
    </w:p>
    <w:p w14:paraId="6860C47A" w14:textId="77777777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The Interactive Dashboard</w:t>
      </w:r>
    </w:p>
    <w:p w14:paraId="635E7135" w14:textId="06765767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>Built in Tableau click any state to explore its grade, trend, and fuel mix.</w:t>
      </w:r>
    </w:p>
    <w:p w14:paraId="3929E5E1" w14:textId="77777777" w:rsidR="00264EC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F1C5AAB" wp14:editId="4DCEFE41">
            <wp:extent cx="4572000" cy="3667125"/>
            <wp:effectExtent l="0" t="0" r="0" b="0"/>
            <wp:docPr id="315934853" name="Picture 31593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A99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Grade Map: each </w:t>
      </w:r>
      <w:proofErr w:type="gramStart"/>
      <w:r>
        <w:rPr>
          <w:i/>
          <w:iCs/>
          <w:color w:val="666666"/>
          <w:sz w:val="18"/>
          <w:szCs w:val="18"/>
        </w:rPr>
        <w:t>state colored</w:t>
      </w:r>
      <w:proofErr w:type="gramEnd"/>
      <w:r>
        <w:rPr>
          <w:i/>
          <w:iCs/>
          <w:color w:val="666666"/>
          <w:sz w:val="18"/>
          <w:szCs w:val="18"/>
        </w:rPr>
        <w:t xml:space="preserve"> A (green) through F (purple) by composite transition score.</w:t>
      </w:r>
    </w:p>
    <w:p w14:paraId="10BD0B9A" w14:textId="77777777" w:rsidR="00264EC6" w:rsidRDefault="00000000">
      <w:r>
        <w:br w:type="page"/>
      </w:r>
    </w:p>
    <w:p w14:paraId="3F72D961" w14:textId="0D91ACF1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 xml:space="preserve">Fuel </w:t>
      </w:r>
      <w:r w:rsidR="00AF4F5F">
        <w:rPr>
          <w:b/>
          <w:bCs/>
          <w:color w:val="1F3D2B"/>
        </w:rPr>
        <w:t>Comparison</w:t>
      </w:r>
      <w:r>
        <w:rPr>
          <w:b/>
          <w:bCs/>
          <w:color w:val="1F3D2B"/>
        </w:rPr>
        <w:t>: 2014 vs. 2024</w:t>
      </w:r>
    </w:p>
    <w:p w14:paraId="340A2E30" w14:textId="106461C2" w:rsidR="00264EC6" w:rsidRDefault="00000000">
      <w:pPr>
        <w:spacing w:after="200"/>
      </w:pPr>
      <w:r>
        <w:rPr>
          <w:i/>
          <w:iCs/>
          <w:color w:val="444444"/>
          <w:sz w:val="22"/>
          <w:szCs w:val="22"/>
        </w:rPr>
        <w:t xml:space="preserve">Each state's generation </w:t>
      </w:r>
      <w:proofErr w:type="gramStart"/>
      <w:r>
        <w:rPr>
          <w:i/>
          <w:iCs/>
          <w:color w:val="444444"/>
          <w:sz w:val="22"/>
          <w:szCs w:val="22"/>
        </w:rPr>
        <w:t>mix</w:t>
      </w:r>
      <w:proofErr w:type="gramEnd"/>
      <w:r>
        <w:rPr>
          <w:i/>
          <w:iCs/>
          <w:color w:val="444444"/>
          <w:sz w:val="22"/>
          <w:szCs w:val="22"/>
        </w:rPr>
        <w:t>, compared across a decade</w:t>
      </w:r>
      <w:r w:rsidR="006E712A">
        <w:rPr>
          <w:i/>
          <w:iCs/>
          <w:color w:val="444444"/>
          <w:sz w:val="22"/>
          <w:szCs w:val="22"/>
        </w:rPr>
        <w:t>:</w:t>
      </w:r>
      <w:r>
        <w:rPr>
          <w:i/>
          <w:iCs/>
          <w:color w:val="444444"/>
          <w:sz w:val="22"/>
          <w:szCs w:val="22"/>
        </w:rPr>
        <w:t xml:space="preserve"> Coal, Natural Gas, Wind, Solar, and Other (hydro, nuclear, biomass).</w:t>
      </w:r>
    </w:p>
    <w:p w14:paraId="059ABA03" w14:textId="77777777" w:rsidR="00264EC6" w:rsidRDefault="00000000">
      <w:pPr>
        <w:jc w:val="center"/>
      </w:pPr>
      <w:r>
        <w:rPr>
          <w:noProof/>
        </w:rPr>
        <w:drawing>
          <wp:inline distT="0" distB="0" distL="0" distR="0" wp14:anchorId="18FCDCEE" wp14:editId="3E14EE34">
            <wp:extent cx="3005257" cy="3305783"/>
            <wp:effectExtent l="0" t="0" r="5080" b="9525"/>
            <wp:docPr id="362683538" name="Picture 36268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23" cy="33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D7C2BB8" wp14:editId="762D78CD">
            <wp:extent cx="3045672" cy="3350239"/>
            <wp:effectExtent l="0" t="0" r="2540" b="3175"/>
            <wp:docPr id="1761159803" name="Picture 1761159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48" cy="336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BF03" w14:textId="77777777" w:rsidR="00264EC6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5DF8E2D1" wp14:editId="239574DC">
            <wp:extent cx="2773237" cy="3050561"/>
            <wp:effectExtent l="0" t="0" r="8255" b="0"/>
            <wp:docPr id="1579035300" name="Picture 157903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12" cy="30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025A77E" wp14:editId="6FFA1FFD">
            <wp:extent cx="2815150" cy="3096665"/>
            <wp:effectExtent l="0" t="0" r="4445" b="8890"/>
            <wp:docPr id="884988167" name="Picture 884988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279" cy="31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993A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Selected states, alphabetical — full 51-state view available in the Tableau dashboard.</w:t>
      </w:r>
    </w:p>
    <w:p w14:paraId="3ACD1652" w14:textId="77777777" w:rsidR="00264EC6" w:rsidRDefault="00000000">
      <w:r>
        <w:br w:type="page"/>
      </w:r>
    </w:p>
    <w:p w14:paraId="68DE0FDE" w14:textId="77777777" w:rsidR="00264E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B5A1CB" wp14:editId="70CD3510">
            <wp:extent cx="2885005" cy="3173506"/>
            <wp:effectExtent l="0" t="0" r="0" b="8255"/>
            <wp:docPr id="1947171804" name="Picture 194717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122" cy="31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907CC5E" wp14:editId="7DC9CAB8">
            <wp:extent cx="2912948" cy="3204243"/>
            <wp:effectExtent l="0" t="0" r="1905" b="0"/>
            <wp:docPr id="2111510122" name="Picture 211151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916" cy="32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ADD0" w14:textId="77777777" w:rsidR="00264EC6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76CAEE9C" wp14:editId="20B4A450">
            <wp:extent cx="2913050" cy="3204355"/>
            <wp:effectExtent l="0" t="0" r="1905" b="0"/>
            <wp:docPr id="1175620795" name="Picture 1175620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46" cy="32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6B8C0D0" wp14:editId="644C5335">
            <wp:extent cx="2947875" cy="3242662"/>
            <wp:effectExtent l="0" t="0" r="5080" b="0"/>
            <wp:docPr id="1888678211" name="Picture 188867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089" cy="32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C932" w14:textId="77777777" w:rsidR="00264EC6" w:rsidRDefault="00000000">
      <w:r>
        <w:br w:type="page"/>
      </w:r>
    </w:p>
    <w:p w14:paraId="22D66BB1" w14:textId="77777777" w:rsidR="00264E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12325D" wp14:editId="0E1B0837">
            <wp:extent cx="2997573" cy="3297330"/>
            <wp:effectExtent l="0" t="0" r="0" b="0"/>
            <wp:docPr id="309172264" name="Picture 30917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584" cy="330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516B9B4" wp14:editId="617CDA6E">
            <wp:extent cx="2873829" cy="3161212"/>
            <wp:effectExtent l="0" t="0" r="3175" b="1270"/>
            <wp:docPr id="1474899615" name="Picture 147489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74" cy="31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27B1" w14:textId="77777777" w:rsidR="00264EC6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24E5C524" wp14:editId="53AF7DFD">
            <wp:extent cx="2820841" cy="3102925"/>
            <wp:effectExtent l="0" t="0" r="0" b="2540"/>
            <wp:docPr id="599908643" name="Picture 599908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52" cy="31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6261DDF" wp14:editId="1D377CE4">
            <wp:extent cx="2752281" cy="3027509"/>
            <wp:effectExtent l="0" t="0" r="0" b="1905"/>
            <wp:docPr id="290919447" name="Picture 29091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356" cy="303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623B" w14:textId="77777777" w:rsidR="00264EC6" w:rsidRDefault="00000000">
      <w:r>
        <w:br w:type="page"/>
      </w:r>
    </w:p>
    <w:p w14:paraId="37463C5D" w14:textId="07A3FF9A" w:rsidR="00264EC6" w:rsidRDefault="00D61350">
      <w:pPr>
        <w:spacing w:after="100"/>
        <w:jc w:val="center"/>
      </w:pPr>
      <w:r w:rsidRPr="00D61350">
        <w:lastRenderedPageBreak/>
        <w:drawing>
          <wp:inline distT="0" distB="0" distL="0" distR="0" wp14:anchorId="399162A1" wp14:editId="03EF453D">
            <wp:extent cx="1971855" cy="2109027"/>
            <wp:effectExtent l="0" t="0" r="9525" b="5715"/>
            <wp:docPr id="7719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8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4634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0" distR="0" wp14:anchorId="217E6BFC" wp14:editId="50E92D79">
            <wp:extent cx="4193447" cy="4579685"/>
            <wp:effectExtent l="0" t="0" r="0" b="0"/>
            <wp:docPr id="897308228" name="Picture 897308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283" cy="45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7D7" w14:textId="77777777" w:rsidR="00264EC6" w:rsidRDefault="00000000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>Washington, West Virginia, Wisconsin, Wyoming — note Washington's hydro-dominant "Other" slice.</w:t>
      </w:r>
    </w:p>
    <w:p w14:paraId="70160497" w14:textId="77777777" w:rsidR="00264EC6" w:rsidRDefault="00000000">
      <w:r>
        <w:br w:type="page"/>
      </w:r>
    </w:p>
    <w:p w14:paraId="17BB0B9F" w14:textId="0D9918BE" w:rsidR="00264EC6" w:rsidRDefault="00000000">
      <w:pPr>
        <w:pStyle w:val="Heading1"/>
        <w:spacing w:before="200" w:after="200"/>
      </w:pPr>
      <w:r>
        <w:rPr>
          <w:b/>
          <w:bCs/>
          <w:color w:val="1F3D2B"/>
        </w:rPr>
        <w:lastRenderedPageBreak/>
        <w:t>Key Insights &amp; Limitations</w:t>
      </w:r>
    </w:p>
    <w:p w14:paraId="7DB9827D" w14:textId="446E6809" w:rsidR="00264EC6" w:rsidRDefault="00000000">
      <w:pPr>
        <w:spacing w:after="15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Iowa, South Dakota, and Kansas lead the nation in </w:t>
      </w:r>
      <w:proofErr w:type="spellStart"/>
      <w:r>
        <w:rPr>
          <w:sz w:val="22"/>
          <w:szCs w:val="22"/>
        </w:rPr>
        <w:t>wind+solar</w:t>
      </w:r>
      <w:proofErr w:type="spellEnd"/>
      <w:r>
        <w:rPr>
          <w:sz w:val="22"/>
          <w:szCs w:val="22"/>
        </w:rPr>
        <w:t xml:space="preserve"> adoption speed and share </w:t>
      </w:r>
      <w:r w:rsidR="004813B8">
        <w:rPr>
          <w:sz w:val="22"/>
          <w:szCs w:val="22"/>
        </w:rPr>
        <w:t>consistently</w:t>
      </w:r>
      <w:r>
        <w:rPr>
          <w:sz w:val="22"/>
          <w:szCs w:val="22"/>
        </w:rPr>
        <w:t xml:space="preserve"> with independently verified EIA generation data.</w:t>
      </w:r>
    </w:p>
    <w:p w14:paraId="50CFEA4C" w14:textId="78C97D41" w:rsidR="00264EC6" w:rsidRDefault="00000000">
      <w:pPr>
        <w:spacing w:after="15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22 states still generate more electricity from coal than from wind + solar combined, with no crossover date under current </w:t>
      </w:r>
      <w:r w:rsidR="006E712A">
        <w:rPr>
          <w:sz w:val="22"/>
          <w:szCs w:val="22"/>
        </w:rPr>
        <w:t>data</w:t>
      </w:r>
      <w:r>
        <w:rPr>
          <w:sz w:val="22"/>
          <w:szCs w:val="22"/>
        </w:rPr>
        <w:t>.</w:t>
      </w:r>
    </w:p>
    <w:p w14:paraId="535C4D3C" w14:textId="4D3F64BD" w:rsidR="00264EC6" w:rsidRDefault="00000000">
      <w:pPr>
        <w:spacing w:after="15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This analysis defines "renewable" as wind + solar only. States like Washington and Vermont rank poorly despite very clean grids, because their clean energy comes from </w:t>
      </w:r>
      <w:r w:rsidR="004813B8">
        <w:rPr>
          <w:sz w:val="22"/>
          <w:szCs w:val="22"/>
        </w:rPr>
        <w:t>hydropower,</w:t>
      </w:r>
      <w:r>
        <w:rPr>
          <w:sz w:val="22"/>
          <w:szCs w:val="22"/>
        </w:rPr>
        <w:t xml:space="preserve"> a source outside this project's scope.</w:t>
      </w:r>
    </w:p>
    <w:p w14:paraId="170BD8A8" w14:textId="1D0ED527" w:rsidR="00264EC6" w:rsidRDefault="00000000">
      <w:pPr>
        <w:spacing w:after="15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Linear regression assumes constant growth continues indefinitely. Real-world </w:t>
      </w:r>
      <w:r w:rsidR="006E712A">
        <w:rPr>
          <w:sz w:val="22"/>
          <w:szCs w:val="22"/>
        </w:rPr>
        <w:t>events</w:t>
      </w:r>
      <w:r>
        <w:rPr>
          <w:sz w:val="22"/>
          <w:szCs w:val="22"/>
        </w:rPr>
        <w:t xml:space="preserve"> (e</w:t>
      </w:r>
      <w:r w:rsidR="006E712A">
        <w:rPr>
          <w:sz w:val="22"/>
          <w:szCs w:val="22"/>
        </w:rPr>
        <w:t>xample:</w:t>
      </w:r>
      <w:r>
        <w:rPr>
          <w:sz w:val="22"/>
          <w:szCs w:val="22"/>
        </w:rPr>
        <w:t xml:space="preserve"> Iowa's recent wind permitting slowdown) can make near-term projections optimistic; all forecasts beyond 2100 were treated as unreliable.</w:t>
      </w:r>
    </w:p>
    <w:p w14:paraId="3C83610D" w14:textId="7EF4AD50" w:rsidR="00264EC6" w:rsidRDefault="00000000">
      <w:pPr>
        <w:spacing w:after="1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>Grades are assigned on a curve, relative to other states in this dataset not against an absolute national standard.</w:t>
      </w:r>
    </w:p>
    <w:p w14:paraId="0CCA72EF" w14:textId="77777777" w:rsidR="002D4100" w:rsidRDefault="002D4100">
      <w:pPr>
        <w:spacing w:after="150"/>
        <w:rPr>
          <w:sz w:val="22"/>
          <w:szCs w:val="22"/>
        </w:rPr>
      </w:pPr>
    </w:p>
    <w:p w14:paraId="3F708601" w14:textId="77777777" w:rsidR="002D4100" w:rsidRDefault="002D4100">
      <w:pPr>
        <w:spacing w:after="150"/>
        <w:rPr>
          <w:sz w:val="22"/>
          <w:szCs w:val="22"/>
        </w:rPr>
      </w:pPr>
    </w:p>
    <w:p w14:paraId="3AEC3D5B" w14:textId="588B7A9B" w:rsidR="002D4100" w:rsidRDefault="002D4100">
      <w:pPr>
        <w:spacing w:after="1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Citations</w:t>
      </w:r>
    </w:p>
    <w:p w14:paraId="12B7351C" w14:textId="77777777" w:rsidR="002D4100" w:rsidRDefault="002D4100" w:rsidP="002D4100">
      <w:pPr>
        <w:spacing w:before="100"/>
        <w:rPr>
          <w:sz w:val="22"/>
          <w:szCs w:val="22"/>
        </w:rPr>
      </w:pPr>
      <w:r w:rsidRPr="002D4100">
        <w:rPr>
          <w:sz w:val="22"/>
          <w:szCs w:val="22"/>
        </w:rPr>
        <w:t xml:space="preserve">Dataset: </w:t>
      </w:r>
      <w:r w:rsidRPr="002D4100">
        <w:rPr>
          <w:sz w:val="22"/>
          <w:szCs w:val="22"/>
        </w:rPr>
        <w:t>Data Sources: U.S. Energy Information Administration (EIA-923, SEDS)</w:t>
      </w:r>
    </w:p>
    <w:p w14:paraId="1B85E9ED" w14:textId="2CB31C93" w:rsidR="002D4100" w:rsidRDefault="002D4100" w:rsidP="002D4100">
      <w:pPr>
        <w:spacing w:before="100"/>
        <w:rPr>
          <w:sz w:val="22"/>
          <w:szCs w:val="22"/>
        </w:rPr>
      </w:pPr>
      <w:r>
        <w:rPr>
          <w:sz w:val="22"/>
          <w:szCs w:val="22"/>
        </w:rPr>
        <w:t xml:space="preserve">Libraries: Pandas,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, Matplotlib, Seaborn, </w:t>
      </w:r>
      <w:proofErr w:type="spellStart"/>
      <w:r>
        <w:rPr>
          <w:sz w:val="22"/>
          <w:szCs w:val="22"/>
        </w:rPr>
        <w:t>Sklearn</w:t>
      </w:r>
      <w:proofErr w:type="spellEnd"/>
    </w:p>
    <w:p w14:paraId="58A940E8" w14:textId="267FB9F6" w:rsidR="002D4100" w:rsidRPr="002D4100" w:rsidRDefault="002D4100" w:rsidP="002D4100">
      <w:pPr>
        <w:spacing w:before="100"/>
        <w:rPr>
          <w:sz w:val="22"/>
          <w:szCs w:val="22"/>
        </w:rPr>
      </w:pPr>
      <w:r>
        <w:rPr>
          <w:sz w:val="22"/>
          <w:szCs w:val="22"/>
        </w:rPr>
        <w:t xml:space="preserve">External References: </w:t>
      </w:r>
      <w:hyperlink r:id="rId29" w:history="1">
        <w:r w:rsidRPr="002D4100">
          <w:rPr>
            <w:rStyle w:val="Hyperlink"/>
            <w:sz w:val="22"/>
            <w:szCs w:val="22"/>
          </w:rPr>
          <w:t>Renewable Energy Data, Analysis, and Decisions: A Guide for Practitioners</w:t>
        </w:r>
      </w:hyperlink>
      <w:r>
        <w:rPr>
          <w:sz w:val="22"/>
          <w:szCs w:val="22"/>
        </w:rPr>
        <w:t xml:space="preserve"> &amp; ChatGPT (for Python syntax structure reference)</w:t>
      </w:r>
    </w:p>
    <w:p w14:paraId="59D6CDA7" w14:textId="197D1F4F" w:rsidR="002D4100" w:rsidRPr="002D4100" w:rsidRDefault="002D4100">
      <w:pPr>
        <w:spacing w:after="150"/>
        <w:rPr>
          <w:sz w:val="22"/>
          <w:szCs w:val="22"/>
        </w:rPr>
      </w:pPr>
    </w:p>
    <w:sectPr w:rsidR="002D4100" w:rsidRPr="002D4100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977"/>
    <w:multiLevelType w:val="hybridMultilevel"/>
    <w:tmpl w:val="DF9AA9AC"/>
    <w:lvl w:ilvl="0" w:tplc="B2362E4E">
      <w:start w:val="1"/>
      <w:numFmt w:val="bullet"/>
      <w:lvlText w:val="●"/>
      <w:lvlJc w:val="left"/>
      <w:pPr>
        <w:ind w:left="720" w:hanging="360"/>
      </w:pPr>
    </w:lvl>
    <w:lvl w:ilvl="1" w:tplc="F1D41142">
      <w:start w:val="1"/>
      <w:numFmt w:val="bullet"/>
      <w:lvlText w:val="○"/>
      <w:lvlJc w:val="left"/>
      <w:pPr>
        <w:ind w:left="1440" w:hanging="360"/>
      </w:pPr>
    </w:lvl>
    <w:lvl w:ilvl="2" w:tplc="5282AA0A">
      <w:start w:val="1"/>
      <w:numFmt w:val="bullet"/>
      <w:lvlText w:val="■"/>
      <w:lvlJc w:val="left"/>
      <w:pPr>
        <w:ind w:left="2160" w:hanging="360"/>
      </w:pPr>
    </w:lvl>
    <w:lvl w:ilvl="3" w:tplc="BF246A00">
      <w:start w:val="1"/>
      <w:numFmt w:val="bullet"/>
      <w:lvlText w:val="●"/>
      <w:lvlJc w:val="left"/>
      <w:pPr>
        <w:ind w:left="2880" w:hanging="360"/>
      </w:pPr>
    </w:lvl>
    <w:lvl w:ilvl="4" w:tplc="F88CC1EA">
      <w:start w:val="1"/>
      <w:numFmt w:val="bullet"/>
      <w:lvlText w:val="○"/>
      <w:lvlJc w:val="left"/>
      <w:pPr>
        <w:ind w:left="3600" w:hanging="360"/>
      </w:pPr>
    </w:lvl>
    <w:lvl w:ilvl="5" w:tplc="BCD4B138">
      <w:start w:val="1"/>
      <w:numFmt w:val="bullet"/>
      <w:lvlText w:val="■"/>
      <w:lvlJc w:val="left"/>
      <w:pPr>
        <w:ind w:left="4320" w:hanging="360"/>
      </w:pPr>
    </w:lvl>
    <w:lvl w:ilvl="6" w:tplc="4CF4995C">
      <w:start w:val="1"/>
      <w:numFmt w:val="bullet"/>
      <w:lvlText w:val="●"/>
      <w:lvlJc w:val="left"/>
      <w:pPr>
        <w:ind w:left="5040" w:hanging="360"/>
      </w:pPr>
    </w:lvl>
    <w:lvl w:ilvl="7" w:tplc="D0201532">
      <w:start w:val="1"/>
      <w:numFmt w:val="bullet"/>
      <w:lvlText w:val="●"/>
      <w:lvlJc w:val="left"/>
      <w:pPr>
        <w:ind w:left="5760" w:hanging="360"/>
      </w:pPr>
    </w:lvl>
    <w:lvl w:ilvl="8" w:tplc="A4D2ADB6">
      <w:start w:val="1"/>
      <w:numFmt w:val="bullet"/>
      <w:lvlText w:val="●"/>
      <w:lvlJc w:val="left"/>
      <w:pPr>
        <w:ind w:left="6480" w:hanging="360"/>
      </w:pPr>
    </w:lvl>
  </w:abstractNum>
  <w:num w:numId="1" w16cid:durableId="763846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EC6"/>
    <w:rsid w:val="00264EC6"/>
    <w:rsid w:val="002D4100"/>
    <w:rsid w:val="00317D48"/>
    <w:rsid w:val="004813B8"/>
    <w:rsid w:val="006E712A"/>
    <w:rsid w:val="007D1283"/>
    <w:rsid w:val="008F713F"/>
    <w:rsid w:val="009D02E1"/>
    <w:rsid w:val="00AA5216"/>
    <w:rsid w:val="00AF4F5F"/>
    <w:rsid w:val="00B41DB3"/>
    <w:rsid w:val="00D6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9F5C"/>
  <w15:docId w15:val="{16C02231-9208-4BBE-85C2-2ECEBBE9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4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docs.nlr.gov/docs/fy18osti/68913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Brahmachary, Aditya</cp:lastModifiedBy>
  <cp:revision>10</cp:revision>
  <dcterms:created xsi:type="dcterms:W3CDTF">2026-07-31T02:05:00Z</dcterms:created>
  <dcterms:modified xsi:type="dcterms:W3CDTF">2026-07-31T04:31:00Z</dcterms:modified>
</cp:coreProperties>
</file>