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671C61D0" w:rsidR="00FB7F57" w:rsidRPr="00F04754" w:rsidRDefault="00137578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استغلال </w:t>
            </w:r>
            <w:r w:rsidR="007D72BB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4EF60A76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X</w:t>
            </w:r>
            <w:r w:rsidR="007D72BB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1BBF96F6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9560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الشركة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B6BC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ذات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المسؤولية المحدودة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... 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680D9F18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40852D31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1D9A7ABB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6A0F0A62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E3244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عشرة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E3244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10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676894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0416214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86B67BC" w14:textId="4A631EBE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2FE1CA2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1DAD308" w14:textId="579F2B7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0D3B1D5A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EA142CF" w14:textId="1052BF1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58DC0F12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655198C3" w14:textId="5C80EB9F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1B6ECBDB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7D72BB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39D49F6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EE0C60">
        <w:rPr>
          <w:rFonts w:ascii="Traditional Arabic" w:hAnsi="Traditional Arabic" w:cs="Traditional Arabic"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المتضمن القانون المنظم للنشاطات المنجمية ؛</w:t>
      </w:r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دل 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الذي يحدد كيفيات وإجراءات منح التراخيص المنجمية ؛</w:t>
      </w:r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38D3C671" w14:textId="77777777" w:rsidR="00E9358E" w:rsidRDefault="00FC7304" w:rsidP="00E9358E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4A17D356" w14:textId="3B03DD97" w:rsidR="00E9358E" w:rsidRPr="00E9358E" w:rsidRDefault="00E9358E" w:rsidP="006E5C23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وبناء على </w:t>
      </w:r>
      <w:bookmarkStart w:id="2" w:name="_Hlk211504250"/>
      <w:r w:rsidR="006E5C23" w:rsidRPr="006E5C23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P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الاستكشاف</w:t>
      </w:r>
      <w:r w:rsidRPr="00E9358E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432E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عن المقالع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رقم </w:t>
      </w:r>
      <w:r w:rsidRPr="00E9358E">
        <w:rPr>
          <w:rFonts w:ascii="Traditional Arabic" w:hAnsi="Traditional Arabic" w:cs="Traditional Arabic"/>
        </w:rPr>
        <w:t>TE</w:t>
      </w:r>
      <w:r w:rsidR="006A2CAF">
        <w:rPr>
          <w:rFonts w:ascii="Traditional Arabic" w:hAnsi="Traditional Arabic" w:cs="Traditional Arabic"/>
        </w:rPr>
        <w:t>C</w:t>
      </w:r>
      <w:r w:rsidRPr="00E9358E">
        <w:rPr>
          <w:rFonts w:ascii="Traditional Arabic" w:hAnsi="Traditional Arabic" w:cs="Traditional Arabic"/>
          <w:rtl/>
        </w:rPr>
        <w:t xml:space="preserve"> </w:t>
      </w:r>
      <w:r>
        <w:rPr>
          <w:rFonts w:ascii="Traditional Arabic" w:hAnsi="Traditional Arabic" w:cs="Traditional Arabic"/>
        </w:rPr>
        <w:t>….</w:t>
      </w:r>
      <w:r w:rsidRPr="00E9358E">
        <w:rPr>
          <w:rFonts w:ascii="Traditional Arabic" w:hAnsi="Traditional Arabic" w:cs="Traditional Arabic"/>
          <w:rtl/>
        </w:rPr>
        <w:t xml:space="preserve"> 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>
        <w:rPr>
          <w:rFonts w:ascii="Traditional Arabic" w:hAnsi="Traditional Arabic" w:cs="Traditional Arabic" w:hint="cs"/>
          <w:sz w:val="28"/>
          <w:szCs w:val="28"/>
          <w:rtl/>
        </w:rPr>
        <w:t>../../....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لفائدة الشركة ذات المسؤولية المحدودة ؛</w:t>
      </w:r>
    </w:p>
    <w:p w14:paraId="2EA3089A" w14:textId="383B8B77" w:rsidR="00E9358E" w:rsidRDefault="005D46A1" w:rsidP="006E5C23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</w:t>
      </w:r>
      <w:r w:rsidR="006E5C23" w:rsidRPr="006E5C23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B86212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المقدم من طرف 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>الشركة</w:t>
      </w:r>
      <w:r w:rsidR="0091358A">
        <w:rPr>
          <w:rFonts w:ascii="Traditional Arabic" w:hAnsi="Traditional Arabic" w:cs="Traditional Arabic" w:hint="cs"/>
          <w:sz w:val="28"/>
          <w:szCs w:val="28"/>
          <w:rtl/>
        </w:rPr>
        <w:t xml:space="preserve"> ذات المسؤولية المحدودة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تاريخ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9358E">
        <w:rPr>
          <w:rFonts w:ascii="Traditional Arabic" w:hAnsi="Traditional Arabic" w:cs="Traditional Arabic" w:hint="cs"/>
          <w:rtl/>
        </w:rPr>
        <w:t>../../....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4AF2679D" w14:textId="62036BE7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375546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تلمسان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E9358E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507DD025" w14:textId="4F9C5D03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41BC8049" w:rsidR="005D46A1" w:rsidRPr="007F6723" w:rsidRDefault="005D46A1" w:rsidP="006E5C23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3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لل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 xml:space="preserve">شركة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ذات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المسؤولية المحدودة </w:t>
      </w:r>
      <w:r w:rsidR="00E9358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6E5C23" w:rsidRPr="006E5C23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B86212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بالمكان المسمى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...</w:t>
      </w:r>
      <w:r w:rsidR="00A75781" w:rsidRPr="002F72E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... 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45794559" w:rsidR="005D46A1" w:rsidRPr="007F6723" w:rsidRDefault="005D46A1" w:rsidP="006E5C23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="00E9358E">
        <w:rPr>
          <w:rFonts w:ascii="Traditional Arabic" w:hAnsi="Traditional Arabic" w:cs="Traditional Arabic" w:hint="cs"/>
          <w:b/>
          <w:bCs/>
          <w:rtl/>
        </w:rPr>
        <w:t>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6E5C2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</w:t>
      </w:r>
      <w:r w:rsidR="006E5C23" w:rsidRPr="006E5C23">
        <w:rPr>
          <w:rFonts w:ascii="Traditional Arabic" w:hAnsi="Traditional Arabic" w:cs="Traditional Arabic"/>
          <w:sz w:val="28"/>
          <w:szCs w:val="28"/>
          <w:rtl/>
        </w:rPr>
        <w:t>ترخيص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247740BC" w:rsidR="005D46A1" w:rsidRPr="007F6723" w:rsidRDefault="005D46A1" w:rsidP="006E5C23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6E5C23" w:rsidRPr="006E5C23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استغلال المقالع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لمدة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E324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عشرة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(</w:t>
      </w:r>
      <w:r w:rsidR="00E3244C">
        <w:rPr>
          <w:rFonts w:ascii="Traditional Arabic" w:hAnsi="Traditional Arabic" w:cs="Traditional Arabic" w:hint="cs"/>
          <w:rtl/>
        </w:rPr>
        <w:t>10</w:t>
      </w:r>
      <w:r w:rsidRPr="00C73C00">
        <w:rPr>
          <w:rFonts w:ascii="Traditional Arabic" w:hAnsi="Traditional Arabic" w:cs="Traditional Arabic"/>
          <w:rtl/>
        </w:rPr>
        <w:t>)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سنوات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1B35FA" w:rsidRPr="001B35FA">
        <w:rPr>
          <w:rFonts w:ascii="Traditional Arabic" w:hAnsi="Traditional Arabic" w:cs="Traditional Arabic"/>
          <w:sz w:val="28"/>
          <w:szCs w:val="28"/>
          <w:rtl/>
        </w:rPr>
        <w:t xml:space="preserve">إبتداءًا من تاريخ إمضاء هذا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="001B35FA" w:rsidRPr="001B35FA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B35FA" w:rsidRPr="001B35FA">
        <w:rPr>
          <w:rFonts w:ascii="Traditional Arabic" w:hAnsi="Traditional Arabic" w:cs="Traditional Arabic"/>
          <w:sz w:val="28"/>
          <w:szCs w:val="28"/>
          <w:rtl/>
          <w:lang w:bidi="ar-DZ"/>
        </w:rPr>
        <w:t>قابلة للتجديد</w:t>
      </w:r>
      <w:r w:rsidR="001B35FA" w:rsidRPr="001B35FA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477DA618" w14:textId="53A19474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432E4C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432E4C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4E19ACC2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432E4C" w:rsidRPr="003414C5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سند منجمي إجراء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إيجار من الباطن أو إ</w:t>
      </w:r>
      <w:r w:rsidR="00432E4C" w:rsidRPr="003414C5">
        <w:rPr>
          <w:rFonts w:ascii="Traditional Arabic" w:hAnsi="Traditional Arabic" w:cs="Traditional Arabic"/>
          <w:sz w:val="28"/>
          <w:szCs w:val="28"/>
          <w:rtl/>
        </w:rPr>
        <w:t xml:space="preserve">حالة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432E4C" w:rsidRPr="003414C5">
        <w:rPr>
          <w:rFonts w:ascii="Traditional Arabic" w:hAnsi="Traditional Arabic" w:cs="Traditional Arabic"/>
          <w:sz w:val="28"/>
          <w:szCs w:val="28"/>
          <w:rtl/>
        </w:rPr>
        <w:t xml:space="preserve">كلية أو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ج</w:t>
      </w:r>
      <w:r w:rsidR="00432E4C" w:rsidRPr="003414C5">
        <w:rPr>
          <w:rFonts w:ascii="Traditional Arabic" w:hAnsi="Traditional Arabic" w:cs="Traditional Arabic"/>
          <w:sz w:val="28"/>
          <w:szCs w:val="28"/>
          <w:rtl/>
        </w:rPr>
        <w:t xml:space="preserve">زئية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للحقوق وللالتزامات المترتبة عن هذا السند المنجمي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، تخضع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للموافقة المسبقة من قبل الوكالة الوطنية للنشاطات المنجمية طبقا لأحكام الماد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تين </w:t>
      </w:r>
      <w:r w:rsidR="00E9358E" w:rsidRPr="00E9358E">
        <w:rPr>
          <w:rFonts w:ascii="Traditional Arabic" w:hAnsi="Traditional Arabic" w:cs="Traditional Arabic" w:hint="cs"/>
          <w:rtl/>
        </w:rPr>
        <w:t xml:space="preserve">54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32623F68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432E4C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3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E0DB" w14:textId="77777777" w:rsidR="007D0391" w:rsidRDefault="007D0391" w:rsidP="0038505D">
      <w:pPr>
        <w:spacing w:after="0" w:line="240" w:lineRule="auto"/>
      </w:pPr>
      <w:r>
        <w:separator/>
      </w:r>
    </w:p>
  </w:endnote>
  <w:endnote w:type="continuationSeparator" w:id="0">
    <w:p w14:paraId="133475EC" w14:textId="77777777" w:rsidR="007D0391" w:rsidRDefault="007D0391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57854" w14:textId="77777777" w:rsidR="007D0391" w:rsidRDefault="007D0391" w:rsidP="0038505D">
      <w:pPr>
        <w:spacing w:after="0" w:line="240" w:lineRule="auto"/>
      </w:pPr>
      <w:r>
        <w:separator/>
      </w:r>
    </w:p>
  </w:footnote>
  <w:footnote w:type="continuationSeparator" w:id="0">
    <w:p w14:paraId="0FDBB815" w14:textId="77777777" w:rsidR="007D0391" w:rsidRDefault="007D0391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D250C"/>
    <w:rsid w:val="000F0685"/>
    <w:rsid w:val="000F48E8"/>
    <w:rsid w:val="001263C3"/>
    <w:rsid w:val="00136192"/>
    <w:rsid w:val="00137578"/>
    <w:rsid w:val="00142F7D"/>
    <w:rsid w:val="001527E2"/>
    <w:rsid w:val="00157951"/>
    <w:rsid w:val="00195FC0"/>
    <w:rsid w:val="001A0E40"/>
    <w:rsid w:val="001A1FE6"/>
    <w:rsid w:val="001B3383"/>
    <w:rsid w:val="001B35FA"/>
    <w:rsid w:val="00202152"/>
    <w:rsid w:val="002347A8"/>
    <w:rsid w:val="00246076"/>
    <w:rsid w:val="00246914"/>
    <w:rsid w:val="002933C0"/>
    <w:rsid w:val="002A01F5"/>
    <w:rsid w:val="002A207D"/>
    <w:rsid w:val="002A2C77"/>
    <w:rsid w:val="002F72E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3D3514"/>
    <w:rsid w:val="003F0F80"/>
    <w:rsid w:val="00432E4C"/>
    <w:rsid w:val="0044025B"/>
    <w:rsid w:val="004511F4"/>
    <w:rsid w:val="00455526"/>
    <w:rsid w:val="0045767C"/>
    <w:rsid w:val="004615C5"/>
    <w:rsid w:val="004654A7"/>
    <w:rsid w:val="00467A8C"/>
    <w:rsid w:val="004B4F16"/>
    <w:rsid w:val="004C5015"/>
    <w:rsid w:val="004D5D58"/>
    <w:rsid w:val="00513A33"/>
    <w:rsid w:val="00514F71"/>
    <w:rsid w:val="00515923"/>
    <w:rsid w:val="0051762E"/>
    <w:rsid w:val="00543714"/>
    <w:rsid w:val="00552EEB"/>
    <w:rsid w:val="00556335"/>
    <w:rsid w:val="00562F4A"/>
    <w:rsid w:val="005641E2"/>
    <w:rsid w:val="00573612"/>
    <w:rsid w:val="005950AF"/>
    <w:rsid w:val="005B0784"/>
    <w:rsid w:val="005B0969"/>
    <w:rsid w:val="005B51A2"/>
    <w:rsid w:val="005C7F78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76894"/>
    <w:rsid w:val="00682B58"/>
    <w:rsid w:val="006906C5"/>
    <w:rsid w:val="006A2CAF"/>
    <w:rsid w:val="006B161E"/>
    <w:rsid w:val="006C0130"/>
    <w:rsid w:val="006E5C23"/>
    <w:rsid w:val="006F4D0F"/>
    <w:rsid w:val="007100E2"/>
    <w:rsid w:val="00746480"/>
    <w:rsid w:val="00766E55"/>
    <w:rsid w:val="00783922"/>
    <w:rsid w:val="007A2FDB"/>
    <w:rsid w:val="007A4CF5"/>
    <w:rsid w:val="007B6E40"/>
    <w:rsid w:val="007C3234"/>
    <w:rsid w:val="007D0391"/>
    <w:rsid w:val="007D72BB"/>
    <w:rsid w:val="007F51E7"/>
    <w:rsid w:val="008109FB"/>
    <w:rsid w:val="00814F9F"/>
    <w:rsid w:val="00821FF9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446C"/>
    <w:rsid w:val="0098697A"/>
    <w:rsid w:val="009B6BC2"/>
    <w:rsid w:val="009D17B7"/>
    <w:rsid w:val="009D3011"/>
    <w:rsid w:val="009F1656"/>
    <w:rsid w:val="00A27548"/>
    <w:rsid w:val="00A31CB7"/>
    <w:rsid w:val="00A4092C"/>
    <w:rsid w:val="00A50A3D"/>
    <w:rsid w:val="00A63261"/>
    <w:rsid w:val="00A75781"/>
    <w:rsid w:val="00A8094D"/>
    <w:rsid w:val="00A81C5E"/>
    <w:rsid w:val="00A85EFB"/>
    <w:rsid w:val="00AB1C26"/>
    <w:rsid w:val="00AB7230"/>
    <w:rsid w:val="00AD4D54"/>
    <w:rsid w:val="00AD708B"/>
    <w:rsid w:val="00AD7BE7"/>
    <w:rsid w:val="00AF23E7"/>
    <w:rsid w:val="00B1257B"/>
    <w:rsid w:val="00B218DB"/>
    <w:rsid w:val="00B417B1"/>
    <w:rsid w:val="00B4453A"/>
    <w:rsid w:val="00B86212"/>
    <w:rsid w:val="00BA174A"/>
    <w:rsid w:val="00BA3B7B"/>
    <w:rsid w:val="00BB0506"/>
    <w:rsid w:val="00BC63F0"/>
    <w:rsid w:val="00BF0D6B"/>
    <w:rsid w:val="00BF231E"/>
    <w:rsid w:val="00C052EE"/>
    <w:rsid w:val="00C0566B"/>
    <w:rsid w:val="00C64C1E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A456C"/>
    <w:rsid w:val="00DA4E2F"/>
    <w:rsid w:val="00DA7ACE"/>
    <w:rsid w:val="00DB50F7"/>
    <w:rsid w:val="00DC5794"/>
    <w:rsid w:val="00DE6B6B"/>
    <w:rsid w:val="00DF056A"/>
    <w:rsid w:val="00E065AE"/>
    <w:rsid w:val="00E23A57"/>
    <w:rsid w:val="00E26316"/>
    <w:rsid w:val="00E3244C"/>
    <w:rsid w:val="00E518DF"/>
    <w:rsid w:val="00E51B85"/>
    <w:rsid w:val="00E828E0"/>
    <w:rsid w:val="00E9358E"/>
    <w:rsid w:val="00E97BF9"/>
    <w:rsid w:val="00EE0C60"/>
    <w:rsid w:val="00EE6A82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A3C79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LAKHDAR TIDJANI BOURAYA</cp:lastModifiedBy>
  <cp:revision>121</cp:revision>
  <cp:lastPrinted>2025-10-22T11:06:00Z</cp:lastPrinted>
  <dcterms:created xsi:type="dcterms:W3CDTF">2025-10-22T08:50:00Z</dcterms:created>
  <dcterms:modified xsi:type="dcterms:W3CDTF">2025-10-26T14:29:00Z</dcterms:modified>
</cp:coreProperties>
</file>