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63A413AB" w:rsidR="00FB7F57" w:rsidRPr="00F04754" w:rsidRDefault="007E0EE4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 xml:space="preserve">توسيع مجال محيط </w:t>
            </w:r>
            <w:r w:rsidR="00137578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الاستكشاف عن </w:t>
            </w:r>
            <w:r w:rsidR="005D46A1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>المناجم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34E843EE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TEM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..........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04D1C265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..............</w:t>
            </w:r>
            <w:r w:rsidR="008E1AE7" w:rsidRPr="00F26BAA">
              <w:rPr>
                <w:rFonts w:ascii="Traditional Arabic" w:hAnsi="Traditional Arabic" w:cs="Traditional Arabic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2392F864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3A9F12A0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211162A5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49E34FEF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أربعة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04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سنوات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(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proofErr w:type="gramEnd"/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proofErr w:type="gramEnd"/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7D5F54D6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86B67BC" w14:textId="794C28EC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... 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9D17B7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34E695CD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71DAD308" w14:textId="39B3C380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72DEBFA8" w14:textId="2AE68977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9D17B7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2C2FF1F4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EA142CF" w14:textId="45BB59C4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4B8CD1FF" w14:textId="69346B1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9D17B7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12F2A75E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655198C3" w14:textId="2705DDFC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65E521A" w14:textId="1AFCB7B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A207D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F26BAA" w:rsidRDefault="002A207D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A27548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42AD45AF" w:rsidR="00A27548" w:rsidRPr="00F26BAA" w:rsidRDefault="00A27548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="00137578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TE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M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</w:t>
                            </w:r>
                            <w:proofErr w:type="spellEnd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 xml:space="preserve">رئـيس اللجنة </w:t>
      </w:r>
      <w:proofErr w:type="gramStart"/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5FB4C494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C807C3">
        <w:rPr>
          <w:rFonts w:ascii="Traditional Arabic" w:hAnsi="Traditional Arabic" w:cs="Traditional Arabic" w:hint="cs"/>
          <w:rtl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القانون المنظم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دل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proofErr w:type="gramEnd"/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الذي يحدد كيفيات وإجراءات منح التراخيص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proofErr w:type="spellStart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أفريل</w:t>
      </w:r>
      <w:proofErr w:type="spellEnd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244CA9B7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>06</w:t>
      </w:r>
      <w:proofErr w:type="gramEnd"/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  <w:proofErr w:type="gramEnd"/>
    </w:p>
    <w:p w14:paraId="1C4CD775" w14:textId="54BF1B7E" w:rsidR="005D46A1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ترخيص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الاستكشاف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A67912">
        <w:rPr>
          <w:rFonts w:ascii="Traditional Arabic" w:hAnsi="Traditional Arabic" w:cs="Traditional Arabic"/>
          <w:sz w:val="28"/>
          <w:szCs w:val="28"/>
        </w:rPr>
        <w:t>T</w:t>
      </w:r>
      <w:r w:rsidR="005B1B35">
        <w:rPr>
          <w:rFonts w:ascii="Traditional Arabic" w:hAnsi="Traditional Arabic" w:cs="Traditional Arabic"/>
          <w:sz w:val="28"/>
          <w:szCs w:val="28"/>
        </w:rPr>
        <w:t>EM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......... المؤرخ </w:t>
      </w:r>
      <w:proofErr w:type="gramStart"/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في ../../</w:t>
      </w:r>
      <w:proofErr w:type="gramEnd"/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لفائدة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="005B1B35">
        <w:rPr>
          <w:rFonts w:ascii="Traditional Arabic" w:hAnsi="Traditional Arabic" w:cs="Traditional Arabic" w:hint="cs"/>
          <w:sz w:val="28"/>
          <w:szCs w:val="28"/>
          <w:rtl/>
        </w:rPr>
        <w:t>..............................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3B84E278" w14:textId="6107AE50" w:rsidR="005B1B35" w:rsidRPr="007F6723" w:rsidRDefault="005B1B35" w:rsidP="005B1B35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proofErr w:type="gramStart"/>
      <w:r>
        <w:rPr>
          <w:rFonts w:ascii="Traditional Arabic" w:hAnsi="Traditional Arabic" w:cs="Traditional Arabic" w:hint="cs"/>
          <w:sz w:val="28"/>
          <w:szCs w:val="28"/>
          <w:rtl/>
        </w:rPr>
        <w:t>و بناء</w:t>
      </w:r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 xml:space="preserve"> على طلب توسيع حدود المساحة المرخص باستكشافها في الترخيص المنجمي المذكور أعلاه المقدم من طرف ..................</w:t>
      </w:r>
      <w:r w:rsidRPr="005B1B3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تاريخ 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proofErr w:type="gramEnd"/>
      <w:r>
        <w:rPr>
          <w:rFonts w:ascii="Traditional Arabic" w:hAnsi="Traditional Arabic" w:cs="Traditional Arabic" w:hint="cs"/>
          <w:rtl/>
        </w:rPr>
        <w:t>....</w:t>
      </w:r>
      <w:proofErr w:type="gramStart"/>
      <w:r>
        <w:rPr>
          <w:rFonts w:ascii="Traditional Arabic" w:hAnsi="Traditional Arabic" w:cs="Traditional Arabic" w:hint="cs"/>
          <w:rtl/>
        </w:rPr>
        <w:t>.</w:t>
      </w:r>
      <w:r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4AF2679D" w14:textId="473F0F1F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proofErr w:type="spellStart"/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proofErr w:type="spellEnd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proofErr w:type="gramEnd"/>
      <w:r w:rsidR="005B1B35">
        <w:rPr>
          <w:rFonts w:ascii="Traditional Arabic" w:hAnsi="Traditional Arabic" w:cs="Traditional Arabic" w:hint="cs"/>
          <w:rtl/>
          <w:lang w:bidi="ar-DZ"/>
        </w:rPr>
        <w:t>...</w:t>
      </w:r>
      <w:proofErr w:type="gramStart"/>
      <w:r w:rsidR="005B1B35">
        <w:rPr>
          <w:rFonts w:ascii="Traditional Arabic" w:hAnsi="Traditional Arabic" w:cs="Traditional Arabic" w:hint="cs"/>
          <w:rtl/>
          <w:lang w:bidi="ar-DZ"/>
        </w:rPr>
        <w:t>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507DD025" w14:textId="5703C8E6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proofErr w:type="gramEnd"/>
      <w:r w:rsidR="005B1B35">
        <w:rPr>
          <w:rFonts w:ascii="Traditional Arabic" w:hAnsi="Traditional Arabic" w:cs="Traditional Arabic" w:hint="cs"/>
          <w:rtl/>
          <w:lang w:bidi="ar-DZ"/>
        </w:rPr>
        <w:t>...</w:t>
      </w:r>
      <w:proofErr w:type="gramStart"/>
      <w:r w:rsidR="005B1B35">
        <w:rPr>
          <w:rFonts w:ascii="Traditional Arabic" w:hAnsi="Traditional Arabic" w:cs="Traditional Arabic" w:hint="cs"/>
          <w:rtl/>
          <w:lang w:bidi="ar-DZ"/>
        </w:rPr>
        <w:t>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  <w:proofErr w:type="gramEnd"/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69D63047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2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................................. توسيع حدود المساحة المرخص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باستكشافها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في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الترخيص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7E0EE4">
        <w:rPr>
          <w:rFonts w:ascii="Traditional Arabic" w:hAnsi="Traditional Arabic" w:cs="Traditional Arabic"/>
          <w:sz w:val="28"/>
          <w:szCs w:val="28"/>
        </w:rPr>
        <w:t>TEM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</w:t>
      </w:r>
      <w:r w:rsidR="00956012" w:rsidRPr="00956012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="007E0EE4" w:rsidRPr="007E0EE4">
        <w:rPr>
          <w:rFonts w:ascii="Traditional Arabic" w:hAnsi="Traditional Arabic" w:cs="Traditional Arabic" w:hint="cs"/>
          <w:sz w:val="28"/>
          <w:szCs w:val="28"/>
          <w:rtl/>
        </w:rPr>
        <w:t>المؤرخ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proofErr w:type="gramStart"/>
      <w:r w:rsidR="007E0EE4">
        <w:rPr>
          <w:rFonts w:ascii="Traditional Arabic" w:hAnsi="Traditional Arabic" w:cs="Traditional Arabic" w:hint="cs"/>
          <w:sz w:val="28"/>
          <w:szCs w:val="28"/>
          <w:rtl/>
        </w:rPr>
        <w:t>في ../../</w:t>
      </w:r>
      <w:proofErr w:type="gramEnd"/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.... </w:t>
      </w:r>
      <w:r w:rsidR="0023682F" w:rsidRPr="0023682F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المتضمن ترخيص بالاستكشاف المنجمي</w:t>
      </w:r>
      <w:r w:rsidR="007E0EE4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لمادة</w:t>
      </w:r>
      <w:r w:rsidR="009561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بالمكان المسمى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</w:t>
      </w:r>
      <w:r w:rsidR="00E97BF9" w:rsidRPr="00E97BF9">
        <w:rPr>
          <w:rFonts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15D11AE0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الجديدة لمحيط الاستكشاف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بـ </w:t>
      </w:r>
      <w:r w:rsidR="007E0EE4">
        <w:rPr>
          <w:rFonts w:ascii="Traditional Arabic" w:hAnsi="Traditional Arabic" w:cs="Traditional Arabic" w:hint="cs"/>
          <w:b/>
          <w:bCs/>
          <w:rtl/>
        </w:rPr>
        <w:t>...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3A0D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6E65B900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3A0D44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المنجمي الى </w:t>
      </w:r>
      <w:proofErr w:type="gramStart"/>
      <w:r w:rsidR="007E0EE4">
        <w:rPr>
          <w:rFonts w:ascii="Traditional Arabic" w:hAnsi="Traditional Arabic" w:cs="Traditional Arabic" w:hint="cs"/>
          <w:sz w:val="28"/>
          <w:szCs w:val="28"/>
          <w:rtl/>
        </w:rPr>
        <w:t>غاية ../../</w:t>
      </w:r>
      <w:proofErr w:type="gramEnd"/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</w:rPr>
        <w:t>.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.</w:t>
      </w:r>
      <w:proofErr w:type="gramEnd"/>
    </w:p>
    <w:p w14:paraId="477DA618" w14:textId="1EC348BE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3A0D44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 المنجمي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proofErr w:type="spell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عباء المرفق لهذا ا</w:t>
      </w:r>
      <w:r w:rsidR="000B2382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و الذي</w:t>
      </w:r>
      <w:proofErr w:type="gram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يحـدد فيه برنامج ا</w:t>
      </w:r>
      <w:proofErr w:type="spell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227DA9E8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يخضع كل عقد يرغب بموجبه صاحب </w:t>
      </w:r>
      <w:r w:rsidR="00083DE3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 w:rsidR="00083DE3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منجمي إجراء إحالة كلية أو جزئية للحقوق وللالتزامات المترتبة عن هذا السند المنجمي للموافقة المسبقة من قبل الوكالة الوطنية للنشاطات المنجمية طبقا لأحكام المادة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41057E42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proofErr w:type="gramStart"/>
      <w:r w:rsidR="003A0D44">
        <w:rPr>
          <w:rFonts w:ascii="Traditional Arabic" w:hAnsi="Traditional Arabic" w:cs="Traditional Arabic" w:hint="cs"/>
          <w:sz w:val="28"/>
          <w:szCs w:val="28"/>
          <w:rtl/>
        </w:rPr>
        <w:t xml:space="preserve">السند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.</w:t>
      </w:r>
      <w:proofErr w:type="gram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 تبلغ نسخة من هذا </w:t>
      </w:r>
      <w:r w:rsidR="003A0D44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2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FD9C8" w14:textId="77777777" w:rsidR="007F14EB" w:rsidRDefault="007F14EB" w:rsidP="0038505D">
      <w:pPr>
        <w:spacing w:after="0" w:line="240" w:lineRule="auto"/>
      </w:pPr>
      <w:r>
        <w:separator/>
      </w:r>
    </w:p>
  </w:endnote>
  <w:endnote w:type="continuationSeparator" w:id="0">
    <w:p w14:paraId="20DB731C" w14:textId="77777777" w:rsidR="007F14EB" w:rsidRDefault="007F14EB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EA516" w14:textId="77777777" w:rsidR="007F14EB" w:rsidRDefault="007F14EB" w:rsidP="0038505D">
      <w:pPr>
        <w:spacing w:after="0" w:line="240" w:lineRule="auto"/>
      </w:pPr>
      <w:r>
        <w:separator/>
      </w:r>
    </w:p>
  </w:footnote>
  <w:footnote w:type="continuationSeparator" w:id="0">
    <w:p w14:paraId="3CEC0CE6" w14:textId="77777777" w:rsidR="007F14EB" w:rsidRDefault="007F14EB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55AD8"/>
    <w:rsid w:val="00066EB1"/>
    <w:rsid w:val="00072EAC"/>
    <w:rsid w:val="00083DE3"/>
    <w:rsid w:val="00097F64"/>
    <w:rsid w:val="000B12D0"/>
    <w:rsid w:val="000B2382"/>
    <w:rsid w:val="000C03DF"/>
    <w:rsid w:val="000D250C"/>
    <w:rsid w:val="000F0685"/>
    <w:rsid w:val="000F48E8"/>
    <w:rsid w:val="001263C3"/>
    <w:rsid w:val="00136192"/>
    <w:rsid w:val="00137578"/>
    <w:rsid w:val="00142F7D"/>
    <w:rsid w:val="001527E2"/>
    <w:rsid w:val="00157951"/>
    <w:rsid w:val="00195FC0"/>
    <w:rsid w:val="001A0E40"/>
    <w:rsid w:val="001A1FE6"/>
    <w:rsid w:val="001B3383"/>
    <w:rsid w:val="00202152"/>
    <w:rsid w:val="002347A8"/>
    <w:rsid w:val="0023682F"/>
    <w:rsid w:val="00246076"/>
    <w:rsid w:val="002933C0"/>
    <w:rsid w:val="002A01F5"/>
    <w:rsid w:val="002A207D"/>
    <w:rsid w:val="002A2C77"/>
    <w:rsid w:val="002F72EA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8505D"/>
    <w:rsid w:val="00395D1A"/>
    <w:rsid w:val="003A0D44"/>
    <w:rsid w:val="003C3258"/>
    <w:rsid w:val="003C3C17"/>
    <w:rsid w:val="0044025B"/>
    <w:rsid w:val="004511F4"/>
    <w:rsid w:val="00455526"/>
    <w:rsid w:val="0045767C"/>
    <w:rsid w:val="004615C5"/>
    <w:rsid w:val="004B4F16"/>
    <w:rsid w:val="004C5015"/>
    <w:rsid w:val="004D5D58"/>
    <w:rsid w:val="00513A33"/>
    <w:rsid w:val="00514F71"/>
    <w:rsid w:val="00515923"/>
    <w:rsid w:val="0051762E"/>
    <w:rsid w:val="00543714"/>
    <w:rsid w:val="00552EEB"/>
    <w:rsid w:val="00556335"/>
    <w:rsid w:val="00573612"/>
    <w:rsid w:val="005950AF"/>
    <w:rsid w:val="005B0969"/>
    <w:rsid w:val="005B1B35"/>
    <w:rsid w:val="005C7F78"/>
    <w:rsid w:val="005D37AE"/>
    <w:rsid w:val="005D46A1"/>
    <w:rsid w:val="005D5923"/>
    <w:rsid w:val="005F69C9"/>
    <w:rsid w:val="00636256"/>
    <w:rsid w:val="00650054"/>
    <w:rsid w:val="0066124C"/>
    <w:rsid w:val="006660F3"/>
    <w:rsid w:val="0067186B"/>
    <w:rsid w:val="00682B58"/>
    <w:rsid w:val="006906C5"/>
    <w:rsid w:val="006C0130"/>
    <w:rsid w:val="006F4D0F"/>
    <w:rsid w:val="007100E2"/>
    <w:rsid w:val="00746480"/>
    <w:rsid w:val="00761AD4"/>
    <w:rsid w:val="00766E55"/>
    <w:rsid w:val="007A2FDB"/>
    <w:rsid w:val="007A4CF5"/>
    <w:rsid w:val="007B6E40"/>
    <w:rsid w:val="007C3234"/>
    <w:rsid w:val="007E0EE4"/>
    <w:rsid w:val="007F14EB"/>
    <w:rsid w:val="007F51E7"/>
    <w:rsid w:val="008109FB"/>
    <w:rsid w:val="00814F9F"/>
    <w:rsid w:val="008233F5"/>
    <w:rsid w:val="00857568"/>
    <w:rsid w:val="00860E6F"/>
    <w:rsid w:val="00862837"/>
    <w:rsid w:val="00883B1D"/>
    <w:rsid w:val="008A3400"/>
    <w:rsid w:val="008B4170"/>
    <w:rsid w:val="008E1AE7"/>
    <w:rsid w:val="008E1E8D"/>
    <w:rsid w:val="0091358A"/>
    <w:rsid w:val="00914616"/>
    <w:rsid w:val="00921893"/>
    <w:rsid w:val="009455F7"/>
    <w:rsid w:val="009553EC"/>
    <w:rsid w:val="00956012"/>
    <w:rsid w:val="0095614C"/>
    <w:rsid w:val="009610BB"/>
    <w:rsid w:val="009709E0"/>
    <w:rsid w:val="0097446C"/>
    <w:rsid w:val="0098697A"/>
    <w:rsid w:val="009B6BC2"/>
    <w:rsid w:val="009D17B7"/>
    <w:rsid w:val="009D3011"/>
    <w:rsid w:val="009F1656"/>
    <w:rsid w:val="00A27548"/>
    <w:rsid w:val="00A31CB7"/>
    <w:rsid w:val="00A50A3D"/>
    <w:rsid w:val="00A63261"/>
    <w:rsid w:val="00A67912"/>
    <w:rsid w:val="00A75781"/>
    <w:rsid w:val="00A8094D"/>
    <w:rsid w:val="00A81C5E"/>
    <w:rsid w:val="00A85EFB"/>
    <w:rsid w:val="00A91165"/>
    <w:rsid w:val="00AB1C26"/>
    <w:rsid w:val="00AB7230"/>
    <w:rsid w:val="00AD4D54"/>
    <w:rsid w:val="00AD708B"/>
    <w:rsid w:val="00AD7BE7"/>
    <w:rsid w:val="00B1257B"/>
    <w:rsid w:val="00B417B1"/>
    <w:rsid w:val="00B4453A"/>
    <w:rsid w:val="00BA174A"/>
    <w:rsid w:val="00BA3B7B"/>
    <w:rsid w:val="00BB0506"/>
    <w:rsid w:val="00BC63F0"/>
    <w:rsid w:val="00BF0D6B"/>
    <w:rsid w:val="00BF231E"/>
    <w:rsid w:val="00C052EE"/>
    <w:rsid w:val="00C0566B"/>
    <w:rsid w:val="00C70D6C"/>
    <w:rsid w:val="00C70FA5"/>
    <w:rsid w:val="00C718BD"/>
    <w:rsid w:val="00C73C00"/>
    <w:rsid w:val="00C807C3"/>
    <w:rsid w:val="00C900D2"/>
    <w:rsid w:val="00CB1C1A"/>
    <w:rsid w:val="00CB6BB2"/>
    <w:rsid w:val="00CC2EB0"/>
    <w:rsid w:val="00D0078A"/>
    <w:rsid w:val="00D121CB"/>
    <w:rsid w:val="00DA456C"/>
    <w:rsid w:val="00DA7ACE"/>
    <w:rsid w:val="00DB50F7"/>
    <w:rsid w:val="00DE6B6B"/>
    <w:rsid w:val="00DF056A"/>
    <w:rsid w:val="00E23A57"/>
    <w:rsid w:val="00E26316"/>
    <w:rsid w:val="00E313F7"/>
    <w:rsid w:val="00E828E0"/>
    <w:rsid w:val="00E97BF9"/>
    <w:rsid w:val="00EE06C1"/>
    <w:rsid w:val="00F04754"/>
    <w:rsid w:val="00F20C5E"/>
    <w:rsid w:val="00F214C1"/>
    <w:rsid w:val="00F26BAA"/>
    <w:rsid w:val="00F35F8D"/>
    <w:rsid w:val="00F42661"/>
    <w:rsid w:val="00F7192D"/>
    <w:rsid w:val="00F82226"/>
    <w:rsid w:val="00F91162"/>
    <w:rsid w:val="00F97443"/>
    <w:rsid w:val="00FA0E21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Mounia Habachi</cp:lastModifiedBy>
  <cp:revision>8</cp:revision>
  <cp:lastPrinted>2025-10-26T14:29:00Z</cp:lastPrinted>
  <dcterms:created xsi:type="dcterms:W3CDTF">2025-10-26T11:04:00Z</dcterms:created>
  <dcterms:modified xsi:type="dcterms:W3CDTF">2025-10-26T14:29:00Z</dcterms:modified>
</cp:coreProperties>
</file>