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BusductTherMo — Edge Readiness for Cloud Integration</w:t>
      </w:r>
    </w:p>
    <w:p>
      <w:pPr>
        <w:spacing w:after="60"/>
      </w:pPr>
      <w:r>
        <w:rPr>
          <w:color w:val="2E75B6"/>
          <w:sz w:val="24"/>
          <w:szCs w:val="24"/>
        </w:rPr>
        <w:t xml:space="preserve">Detailed Work Steps for AWS Integration with a Cloud-Agnostic Architecture</w:t>
      </w:r>
    </w:p>
    <w:p>
      <w:pPr>
        <w:pBdr>
          <w:bottom w:val="single" w:color="2E75B6" w:sz="8" w:space="4"/>
        </w:pBdr>
        <w:spacing w:after="200"/>
      </w:pPr>
      <w:r>
        <w:rPr>
          <w:color w:val="595959"/>
          <w:sz w:val="18"/>
          <w:szCs w:val="18"/>
        </w:rPr>
        <w:t xml:space="preserve">Prepared for: Brahmadeo Kamble, Head of Digital &amp; Industry 4.0, Godrej  |  Version 1.0 (Draft)  |  July 2026</w:t>
      </w:r>
    </w:p>
    <w:p>
      <w:pPr>
        <w:pStyle w:val="Heading1"/>
        <w:spacing w:after="140" w:before="280"/>
      </w:pPr>
      <w:r>
        <w:t xml:space="preserve">1. Purpose and Scope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defines the engineering work required to prepare the BusductTherMo edge node (currently a self-contained system performing data collection, KPI computation, alarming, notification and historian functions) for integration with a cloud platform. The initial target platform is AWS; however, every design decision below is made so that the edge software can be repointed to Azure, GCP, or a private MQTT broker with configuration changes and a thin adapter swap — not a rewrite.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 scope: edge software restructuring, device identity, MQTT topic design, publish policy, offline buffering, remote configuration, and over-the-air (OTA) update readiness. Out of scope: cloud-side services (rules, storage tiering, dashboards), which are covered separately.</w:t>
      </w:r>
    </w:p>
    <w:p>
      <w:pPr>
        <w:pStyle w:val="Heading1"/>
        <w:spacing w:after="140" w:before="280"/>
      </w:pPr>
      <w:r>
        <w:t xml:space="preserve">2. Cloud-Agnostic Design Principles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following principles govern all work steps. They ensure AWS is a deployment choice, not an architectural dependency.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Standards only at the wire level: MQTT 3.1.1/5.0 over TLS 1.2+ with X.509 client certificates. Every major cloud IoT platform and every self-hosted broker (EMQX, HiveMQ, Mosquitto) supports this profile.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Provider adapter pattern: all cloud-specific behaviour (endpoints, provisioning API, shadow/twin semantics, OTA job APIs) is isolated in one replaceable module behind an internal interface. Core logic never imports a cloud SDK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Configuration over code: endpoints, topic templates, batch intervals and buffer limits live in the edge configuration file (busduct_edge_config.yaml), never hardcoded.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Neutral payloads: JSON (optionally CBOR later) with self-describing fields and ISO-8601/epoch UTC timestamps generated at the edge. No provider-specific envelope formats in the payload.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Generic config channel first: remote configuration is implemented as a plain cmd/ack topic pair. The AWS Device Shadow is supported as an optional optimisation inside the AWS adapter — the device twin concept exists on Azure too, but the generic channel is what guarantees portability.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Edge autonomy is preserved: alarming, persistence logic and local historian continue to work with zero cloud connectivity. The cloud is an observer and configurator, never in the safety loop.</w:t>
      </w:r>
    </w:p>
    <w:p>
      <w:pPr>
        <w:pStyle w:val="Heading1"/>
        <w:spacing w:after="140" w:before="280"/>
      </w:pPr>
      <w:r>
        <w:t xml:space="preserve">3. Target Edge Software Architecture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Restructure the edge application into the following layers before any cloud connectivity is added: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200"/>
        <w:gridCol w:w="186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8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Cloud dependency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Acquisition &amp; KPI engine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Sensor polling, ΔT and Rate-of-Rise computation, threshold and persistence evaluation, alarm state machine (Raise/Clear/ACK).</w:t>
            </w:r>
          </w:p>
        </w:tc>
        <w:tc>
          <w:tcPr>
            <w:tcW w:type="dxa" w:w="1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services</w:t>
            </w:r>
          </w:p>
        </w:tc>
        <w:tc>
          <w:tcPr>
            <w:tcW w:type="dxa" w:w="5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Historian (full resolution), alarm history, audit trail, local HMI/dashboard.</w:t>
            </w:r>
          </w:p>
        </w:tc>
        <w:tc>
          <w:tcPr>
            <w:tcW w:type="dxa" w:w="18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Message composer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Builds neutral JSON payloads: batched telemetry aggregates, alarm event snapshots, heartbeats. Applies size budget (&lt;5 KB).</w:t>
            </w:r>
          </w:p>
        </w:tc>
        <w:tc>
          <w:tcPr>
            <w:tcW w:type="dxa" w:w="1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Store-and-forward queue</w:t>
            </w:r>
          </w:p>
        </w:tc>
        <w:tc>
          <w:tcPr>
            <w:tcW w:type="dxa" w:w="5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Disk-backed outbox with priority classes (alarms never dropped) and drain control.</w:t>
            </w:r>
          </w:p>
        </w:tc>
        <w:tc>
          <w:tcPr>
            <w:tcW w:type="dxa" w:w="18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 abstraction (interface)</w:t>
            </w:r>
          </w:p>
        </w:tc>
        <w:tc>
          <w:tcPr>
            <w:tcW w:type="dxa" w:w="5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publish(topic, payload, qos), subscribe(topic, handler), connection state events.</w:t>
            </w:r>
          </w:p>
        </w:tc>
        <w:tc>
          <w:tcPr>
            <w:tcW w:type="dxa" w:w="18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Provider adapter (AWS first)</w:t>
            </w:r>
          </w:p>
        </w:tc>
        <w:tc>
          <w:tcPr>
            <w:tcW w:type="dxa" w:w="5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Implements the transport interface: endpoint, TLS/cert handling, Basic Ingest topic mapping, optional Shadow sync, Fleet Provisioning, IoT Jobs for OTA.</w:t>
            </w:r>
          </w:p>
        </w:tc>
        <w:tc>
          <w:tcPr>
            <w:tcW w:type="dxa" w:w="18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Isolated here only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sz w:val="21"/>
          <w:szCs w:val="21"/>
        </w:rPr>
        <w:t xml:space="preserve">The provider adapter is the only component replaced when changing cloud vendors. Everything above it is provider-neutral by construction.</w:t>
      </w:r>
    </w:p>
    <w:p>
      <w:pPr>
        <w:pStyle w:val="Heading1"/>
        <w:spacing w:after="140" w:before="280"/>
      </w:pPr>
      <w:r>
        <w:t xml:space="preserve">4. Detailed Work Steps</w:t>
      </w:r>
    </w:p>
    <w:p>
      <w:pPr>
        <w:pStyle w:val="Heading2"/>
        <w:spacing w:after="100" w:before="220"/>
      </w:pPr>
      <w:r>
        <w:t xml:space="preserve">Phase 0 — Baseline Assessment and Refactoring (Week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Inventory the current edge codebase: identify where acquisition, alarm logic, notification, and historian functions are coupled. Document all points that would need to publish or receive data externally.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Define the internal transport interface (publish/subscribe/connection-state) and refactor existing internal messaging to use it, with a loopback implementation so behaviour is unchanged.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Freeze a regression baseline: record 1–2 weeks of alarm behaviour, KPI values and historian output from a reference panel. This becomes the acceptance benchmark for every later phase.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Confirm hardware headroom on the edge device (CPU, RAM, flash endurance) for TLS, queueing and OTA. Define minimum spec for future units.</w:t>
      </w:r>
    </w:p>
    <w:p>
      <w:pPr>
        <w:pStyle w:val="Heading2"/>
        <w:spacing w:after="100" w:before="220"/>
      </w:pPr>
      <w:r>
        <w:t xml:space="preserve">Phase 1 — Device Identity and Provisioning (Weeks 1–2)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Define the identity model: customer_id, site_id, panel_id (short immutable codes) plus hardware serial. Bake into the edge config at commissioning; treat as immutable thereafter.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Generate a unique X.509 device certificate and private key per panel. Keys are generated on-device where hardware allows (never leave the device); otherwise use a controlled provisioning station.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Implement certificate storage with restricted file permissions; plan for a secure element (ATECC608 or TPM) on future hardware revisions.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Build the commissioning workflow for field technicians: enter identifiers, trigger provisioning, verify connectivity — one guided procedure, no manual cloud console steps.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AWS adapter task: implement Fleet Provisioning (claim certificate exchanged for a unique operational certificate). Keep this entirely inside the adapter — Azure DPS or a custom PKI enrolment can replace it later.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Implement certificate rotation support from day one: the device must accept a new certificate pushed via the config/OTA channel and switch atomically with rollback.</w:t>
      </w:r>
    </w:p>
    <w:p>
      <w:pPr>
        <w:pStyle w:val="Heading2"/>
        <w:spacing w:after="100" w:before="220"/>
      </w:pPr>
      <w:r>
        <w:t xml:space="preserve">Phase 2 — MQTT Client and Topic Structure (Weeks 2–3)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Integrate a standards-based MQTT client library (e.g., Eclipse Paho or equivalent for your runtime). Do not use the AWS IoT Device SDK in core code; if used at all, wrap it inside the AWS adapter.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Implement the topic hierarchy from configuration templates: dt/{customer}/{site}/{panel}/tel, .../alarm, and cmd/{customer}/{site}/{panel}/config with /ack. Resolve identifiers at startup.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Configure TLS 1.2+ mutual authentication, long keep-alive (300 s) and jittered exponential reconnect backoff (2 s to 300 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Implement Last Will and Testament (LWT) on the connection so the cloud can mark a panel offline immediately on ungraceful disconnect — this is standard MQTT and fully portable.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AWS adapter task: optional mapping of the telemetry topic onto Basic Ingest ($aws/rules/...) for messaging-cost savings. The core code publishes to the logical topic; the adapter rewrites it. On another provider the adapter simply passes the topic through.</w:t>
      </w:r>
    </w:p>
    <w:p>
      <w:pPr>
        <w:pStyle w:val="Heading2"/>
        <w:spacing w:after="100" w:before="220"/>
      </w:pPr>
      <w:r>
        <w:t xml:space="preserve">Phase 3 — Publish Policy: Batching and Alarm Events (Weeks 3–4)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Implement telemetry aggregation: per configurable interval (default 10 min), compute min/max/avg ΔT, max RoR and max temperature per joint, plus ambient, and publish one JSON message per panel at QoS 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Enforce a payload size budget (default 4,800 bytes) with automatic key-shortening; log a warning if a payload ever exceeds the budget.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Implement alarm event publishing on state transition only (RAISE, CLEAR, ACK) at QoS 1, carrying joint, level, KPI, value, threshold and persistence context.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Implement a lightweight heartbeat (hourly) so the cloud distinguishes a quiet panel from a dead one.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Validate against the Phase 0 baseline: cloud-received alarm sequence must match local alarm history exactly; aggregate telemetry must reconcile with the local historian.</w:t>
      </w:r>
    </w:p>
    <w:p>
      <w:pPr>
        <w:pStyle w:val="Heading2"/>
        <w:spacing w:after="100" w:before="220"/>
      </w:pPr>
      <w:r>
        <w:t xml:space="preserve">Phase 4 — Store-and-Forward Resilience (Weeks 4–5)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Implement a disk-backed outbox with two priority classes: alarms (never dropped) and telemetry (drop-oldest on overflow). Default cap 200 MB.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Stamp every payload with edge UTC event time; the cloud must never rely on broker receive time.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Implement controlled drain on reconnect (default 5 msg/s) to avoid reconnection storms after a site-wide outage.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Test systematically: pull the network for 1 hour, 24 hours, and 7 days; verify ordering, no alarm loss, correct timestamps, and graceful queue overflow behaviour.</w:t>
      </w:r>
    </w:p>
    <w:p>
      <w:pPr>
        <w:pStyle w:val="Heading2"/>
        <w:spacing w:after="100" w:before="220"/>
      </w:pPr>
      <w:r>
        <w:t xml:space="preserve">Phase 5 — Remote Configuration with Local Validation (Weeks 5–6)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Implement the generic config channel: subscribe to cmd/.../config, apply, and respond on cmd/.../config/ack with applied version or rejection reason.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Enforce local validation before apply: threshold ranges and ordering (Watch &lt; Warning &lt; Critical), RoR time-window limits, persistence-time ordering. The edge is the final authority on safety-relevant limits.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Apply configuration atomically with a version number; reject stale or duplicate versions; keep last-known-good for corrupt-config recovery at boot.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Write every remote change into the existing BusbarTherm audit trail (before/after, source, timestamp) so the current audit capability extends seamlessly to remote changes.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AWS adapter task (optional): mirror the same config state through the Device Shadow for offline-sync convenience. The shadow is an optimisation; the cmd/ack channel remains the portable contract.</w:t>
      </w:r>
    </w:p>
    <w:p>
      <w:pPr>
        <w:pStyle w:val="Heading2"/>
        <w:spacing w:after="100" w:before="220"/>
      </w:pPr>
      <w:r>
        <w:t xml:space="preserve">Phase 6 — OTA Update Readiness (Weeks 6–8)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Implement an A/B (dual-bank) update scheme or equivalent with automatic rollback on failed boot or failed health check.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Require signed update packages; verify the signature on-device before applying. Keep the signing infrastructure provider-neutral (plain code-signing keys, not a cloud-proprietary format).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Define the update trigger as a generic job message on the cmd channel (package URL + hash + signature). AWS adapter maps this to AWS IoT Jobs; other providers map to their equivalent or a plain HTTPS pull.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Stagger rollouts: never update all panels of a site simultaneously; verify one panel's health before proceeding.</w:t>
      </w:r>
    </w:p>
    <w:p>
      <w:pPr>
        <w:pStyle w:val="Heading2"/>
        <w:spacing w:after="100" w:before="220"/>
      </w:pPr>
      <w:r>
        <w:t xml:space="preserve">Phase 7 — Pilot, Parallel Run and Rollout (Weeks 8–12)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Retrofit one production panel end-to-end (Phases 1–5) and run it in parallel with the unchanged local system for at least 3–4 weeks.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Compare daily: alarm-for-alarm parity with local history, telemetry reconciliation, MQTT message counts versus cost model, buffer behaviour during real network events.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Run a portability drill before scaling: point the pilot panel at a local Mosquitto/EMQX broker using only configuration changes and the generic adapter. If anything breaks, a hidden AWS dependency has leaked into core code — fix it now, not after 50 sites.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Template the validated configuration and commissioning procedure; then scale site by site.</w:t>
      </w:r>
    </w:p>
    <w:p>
      <w:pPr>
        <w:pStyle w:val="Heading1"/>
        <w:spacing w:after="140" w:before="280"/>
      </w:pPr>
      <w:r>
        <w:t xml:space="preserve">5. Portability Decision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4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3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Portable mechanism (core)</w:t>
            </w:r>
          </w:p>
        </w:tc>
        <w:tc>
          <w:tcPr>
            <w:tcW w:type="dxa" w:w="34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AWS-specific optimisation (adapter only)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Connectivity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MQTT 3.1.1/5.0 + TLS 1.2 + X.509 mutual auth</w:t>
            </w:r>
          </w:p>
        </w:tc>
        <w:tc>
          <w:tcPr>
            <w:tcW w:type="dxa" w:w="3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IoT Core endpoint</w:t>
            </w:r>
          </w:p>
        </w:tc>
      </w:tr>
      <w:tr>
        <w:tc>
          <w:tcPr>
            <w:tcW w:type="dxa" w:w="21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Telemetry ingest</w:t>
            </w:r>
          </w:p>
        </w:tc>
        <w:tc>
          <w:tcPr>
            <w:tcW w:type="dxa" w:w="38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Plain topic dt/{c}/{s}/{p}/tel</w:t>
            </w:r>
          </w:p>
        </w:tc>
        <w:tc>
          <w:tcPr>
            <w:tcW w:type="dxa" w:w="34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Basic Ingest topic rewrite for cost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Offline detection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MQTT LWT + hourly heartbeat</w:t>
            </w:r>
          </w:p>
        </w:tc>
        <w:tc>
          <w:tcPr>
            <w:tcW w:type="dxa" w:w="3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lifecycle events</w:t>
            </w:r>
          </w:p>
        </w:tc>
      </w:tr>
      <w:tr>
        <w:tc>
          <w:tcPr>
            <w:tcW w:type="dxa" w:w="21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Remote config</w:t>
            </w:r>
          </w:p>
        </w:tc>
        <w:tc>
          <w:tcPr>
            <w:tcW w:type="dxa" w:w="38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cmd/config + cmd/config/ack with versioning</w:t>
            </w:r>
          </w:p>
        </w:tc>
        <w:tc>
          <w:tcPr>
            <w:tcW w:type="dxa" w:w="34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 Shadow mirror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X.509 enrolment workflow (PKI)</w:t>
            </w:r>
          </w:p>
        </w:tc>
        <w:tc>
          <w:tcPr>
            <w:tcW w:type="dxa" w:w="3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Fleet Provisioning API</w:t>
            </w:r>
          </w:p>
        </w:tc>
      </w:tr>
      <w:tr>
        <w:tc>
          <w:tcPr>
            <w:tcW w:type="dxa" w:w="21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OTA updates</w:t>
            </w:r>
          </w:p>
        </w:tc>
        <w:tc>
          <w:tcPr>
            <w:tcW w:type="dxa" w:w="38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Signed package + generic job message</w:t>
            </w:r>
          </w:p>
        </w:tc>
        <w:tc>
          <w:tcPr>
            <w:tcW w:type="dxa" w:w="34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 IoT Jobs orchestration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Payload format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Neutral JSON, edge UTC timestamps</w:t>
            </w:r>
          </w:p>
        </w:tc>
        <w:tc>
          <w:tcPr>
            <w:tcW w:type="dxa" w:w="34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 required</w:t>
            </w:r>
          </w:p>
        </w:tc>
      </w:tr>
    </w:tbl>
    <w:p>
      <w:pPr>
        <w:spacing w:after="200"/>
      </w:pPr>
      <w:r>
        <w:rPr>
          <w:b w:val="false"/>
          <w:bCs w:val="false"/>
          <w:i/>
          <w:iCs/>
          <w:sz w:val="21"/>
          <w:szCs w:val="21"/>
        </w:rPr>
        <w:t xml:space="preserve">Rule of thumb: if a feature appears in the right-hand column, it must live only inside the provider adapter and be removable without touching core logic.</w:t>
      </w:r>
    </w:p>
    <w:p>
      <w:pPr>
        <w:pStyle w:val="Heading1"/>
        <w:spacing w:after="140" w:before="280"/>
      </w:pPr>
      <w:r>
        <w:t xml:space="preserve">6. Acceptance Criteria (Exit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Alarm parity: 100% match between cloud-received alarm events and local alarm history over the full pilot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Autonomy: with the network disconnected for 7 days, local alarming, HMI and historian operate unaffected; on reconnect, all alarm events arrive with correct edge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Cost: measured MQTT message volume per panel per day is within the agreed budget (batched telemetry + event-driven alarms + heartbeat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Safety of remote config: invalid or mis-ordered thresholds pushed from the cloud are rejected by the edge and reported on the ack channel; audit trail records every accepted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Portability drill passed: the panel connects and operates against a non-AWS broker via configuration change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OTA: a signed update applies successfully and a corrupted update rolls back automatically.</w:t>
      </w:r>
    </w:p>
    <w:p>
      <w:pPr>
        <w:pStyle w:val="Heading1"/>
        <w:spacing w:after="140" w:before="280"/>
      </w:pPr>
      <w:r>
        <w:t xml:space="preserve">7. Key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SDK usage leaks into core code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Vendor lock-in; costly rework at provider change</w:t>
            </w:r>
          </w:p>
        </w:tc>
        <w:tc>
          <w:tcPr>
            <w:tcW w:type="dxa" w:w="3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Adapter-only rule enforced in code review; portability drill in Phase 7</w:t>
            </w:r>
          </w:p>
        </w:tc>
      </w:tr>
      <w:tr>
        <w:tc>
          <w:tcPr>
            <w:tcW w:type="dxa" w:w="26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Certificate/key compromise at commissioning</w:t>
            </w:r>
          </w:p>
        </w:tc>
        <w:tc>
          <w:tcPr>
            <w:tcW w:type="dxa" w:w="28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Device impersonation</w:t>
            </w:r>
          </w:p>
        </w:tc>
        <w:tc>
          <w:tcPr>
            <w:tcW w:type="dxa" w:w="39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On-device key generation, rotation support, per-device least-privilege policy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Reconnection storms after site outage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Broker throttling, delayed alarms</w:t>
            </w:r>
          </w:p>
        </w:tc>
        <w:tc>
          <w:tcPr>
            <w:tcW w:type="dxa" w:w="3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Jittered backoff + controlled outbox drain rate</w:t>
            </w:r>
          </w:p>
        </w:tc>
      </w:tr>
      <w:tr>
        <w:tc>
          <w:tcPr>
            <w:tcW w:type="dxa" w:w="26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Bad config push weakens alarm thresholds</w:t>
            </w:r>
          </w:p>
        </w:tc>
        <w:tc>
          <w:tcPr>
            <w:tcW w:type="dxa" w:w="28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Missed thermal faults</w:t>
            </w:r>
          </w:p>
        </w:tc>
        <w:tc>
          <w:tcPr>
            <w:tcW w:type="dxa" w:w="39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Edge-side validation rules and atomic apply; audit trail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Flash wear from queue writes on long outages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 hardware failure</w:t>
            </w:r>
          </w:p>
        </w:tc>
        <w:tc>
          <w:tcPr>
            <w:tcW w:type="dxa" w:w="3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Size-capped outbox, wear-aware write strategy, hardware headroom check in Phase 0</w:t>
            </w:r>
          </w:p>
        </w:tc>
      </w:tr>
    </w:tbl>
    <w:sectPr>
      <w:footerReference w:type="default" r:id="rId7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BusductTherMo Edge Readiness — Confidential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2026-07-10T05:55:32.658Z</dcterms:created>
  <dcterms:modified xsi:type="dcterms:W3CDTF">2026-07-10T05:55:32.670Z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