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rFonts w:ascii="Aptos" w:hAnsi="Aptos"/>
          <w:b/>
          <w:color w:val="A95670"/>
          <w:sz w:val="20"/>
        </w:rPr>
        <w:t>ANÁLISE DE DESEMPENHO</w:t>
      </w:r>
    </w:p>
    <w:p>
      <w:pPr>
        <w:pStyle w:val="Title"/>
      </w:pPr>
      <w:r>
        <w:t>Relatório de desempenho das campanhas de email</w:t>
      </w:r>
    </w:p>
    <w:p>
      <w:pPr>
        <w:spacing w:after="440"/>
      </w:pPr>
      <w:r>
        <w:rPr>
          <w:rFonts w:ascii="Aptos" w:hAnsi="Aptos"/>
          <w:color w:val="667085"/>
          <w:sz w:val="26"/>
        </w:rPr>
        <w:t>21 campanhas enviadas entre 21 de agosto e 21 de setembro de 2026</w:t>
      </w:r>
    </w:p>
    <w:p>
      <w:pPr>
        <w:pStyle w:val="Heading1"/>
        <w:keepNext/>
      </w:pPr>
      <w:r>
        <w:t>Visão executiva</w:t>
      </w:r>
    </w:p>
    <w:p>
      <w:r>
        <w:t>No período analisado, foram realizadas 21 campanhas para 4.155 destinatários. Após 999 rejeições de entrega, estima-se que 3.156 mensagens tenham sido entregues. Essas entregas geraram 1.484 aberturas, 80 cliques e 12 cancelamentos de assinatura.</w:t>
      </w:r>
    </w:p>
    <w:p>
      <w:r>
        <w:t>A taxa de abertura de 47,02% indica boa capacidade de gerar interesse entre as mensagens que chegaram aos destinatários. O principal ponto de atenção está antes dessa etapa: 24,04% dos endereços resultaram em soft ou hard bounce, reduzindo a entrega estimada a 75,96%. Assim, a oportunidade mais imediata é melhorar a qualidade da base e a entregabilidade, preservando o desempenho de abertura e ampliando o volume efetivamente alcançado.</w:t>
      </w:r>
    </w:p>
    <w:p>
      <w:pPr>
        <w:pStyle w:val="Heading1"/>
        <w:keepNext/>
      </w:pPr>
      <w:r>
        <w:t>Indicadores principais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ptos Display" w:hAnsi="Aptos Display"/>
                <w:b/>
                <w:color w:val="263247"/>
                <w:sz w:val="38"/>
              </w:rPr>
              <w:t>21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667085"/>
                <w:sz w:val="18"/>
              </w:rPr>
              <w:t>campanhas enviadas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ptos Display" w:hAnsi="Aptos Display"/>
                <w:b/>
                <w:color w:val="263247"/>
                <w:sz w:val="38"/>
              </w:rPr>
              <w:t>3.156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667085"/>
                <w:sz w:val="18"/>
              </w:rPr>
              <w:t>entregas estimadas</w:t>
            </w:r>
          </w:p>
        </w:tc>
        <w:tc>
          <w:tcPr>
            <w:tcW w:type="dxa" w:w="3293"/>
            <w:shd w:fill="F7EEF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ptos Display" w:hAnsi="Aptos Display"/>
                <w:b/>
                <w:color w:val="263247"/>
                <w:sz w:val="38"/>
              </w:rPr>
              <w:t>47,02%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667085"/>
                <w:sz w:val="18"/>
              </w:rPr>
              <w:t>taxa de abertura</w:t>
            </w:r>
          </w:p>
        </w:tc>
      </w:tr>
      <w:tr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ptos Display" w:hAnsi="Aptos Display"/>
                <w:b/>
                <w:color w:val="263247"/>
                <w:sz w:val="38"/>
              </w:rPr>
              <w:t>24,04%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667085"/>
                <w:sz w:val="18"/>
              </w:rPr>
              <w:t>taxa de rejeição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ptos Display" w:hAnsi="Aptos Display"/>
                <w:b/>
                <w:color w:val="263247"/>
                <w:sz w:val="38"/>
              </w:rPr>
              <w:t>2,53%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667085"/>
                <w:sz w:val="18"/>
              </w:rPr>
              <w:t>taxa de cliques</w:t>
            </w:r>
          </w:p>
        </w:tc>
        <w:tc>
          <w:tcPr>
            <w:tcW w:type="dxa" w:w="3293"/>
            <w:shd w:fill="F7EEF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ptos Display" w:hAnsi="Aptos Display"/>
                <w:b/>
                <w:color w:val="263247"/>
                <w:sz w:val="38"/>
              </w:rPr>
              <w:t>0,38%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667085"/>
                <w:sz w:val="18"/>
              </w:rPr>
              <w:t>cancelamento de assinatura</w:t>
            </w:r>
          </w:p>
        </w:tc>
      </w:tr>
    </w:tbl>
    <w:p>
      <w:pPr>
        <w:spacing w:before="200" w:after="0"/>
      </w:pPr>
      <w:r>
        <w:rPr>
          <w:b/>
          <w:color w:val="A95670"/>
        </w:rPr>
        <w:t xml:space="preserve">Conclusão central  </w:t>
      </w:r>
      <w:r>
        <w:t>há interesse após a entrega, mas a redução das rejeições é necessária para converter esse interesse em maior alcance.</w:t>
      </w:r>
    </w:p>
    <w:p>
      <w:r>
        <w:br w:type="page"/>
      </w:r>
    </w:p>
    <w:p>
      <w:pPr>
        <w:pStyle w:val="Heading1"/>
        <w:keepNext/>
      </w:pPr>
      <w:r>
        <w:t>Resultados consolidados</w:t>
      </w:r>
    </w:p>
    <w:p>
      <w:r>
        <w:t>A tabela apresenta os dados observados na plataforma e os indicadores calculados a partir deles. As taxas de abertura, clique e cancelamento exibidas na imagem usam como base as 3.156 entregas estimadas.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6324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6324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6324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Base de cálculo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Campanhas enviadas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21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Dado da plataforma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Destinatários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4.155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Dado da plataforma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Soft e hard bounces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999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Dado da plataforma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Entregas estimadas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3.156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4.155 − 999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Aberturas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1.484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Dado da plataforma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Taxa de abertura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47,02%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1.484 ÷ 3.156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Cliques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80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Dado da plataforma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Taxa de cliques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2,53%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80 ÷ 3.156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Respondidos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Dado da plataforma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Cancelamentos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Dado da plataforma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Taxa de cancelamento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0,38%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12 ÷ 3.156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Funil de desempenho</w:t>
      </w:r>
    </w:p>
    <w:p>
      <w:r>
        <w:t>O funil mostra onde o volume é reduzido ao longo da jornada. As aberturas e os cliques são registros agregados informados pela plataforma; a imagem não permite confirmar se são eventos únicos por pessoa.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6324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6324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6324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% dos destinatários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6324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% da etapa anterior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Destinatários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4.155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100,00%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Entregas estimadas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3.156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75,96%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75,96%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Aberturas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1.484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35,72%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47,02%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Cliques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80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1,93%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5,39%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Cancelamentos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0,29%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0,81% das aberturas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Médias por campanha</w:t>
      </w:r>
    </w:p>
    <w:p>
      <w:r>
        <w:t>Como a imagem apresenta apenas totais consolidados, as médias abaixo dividem cada resultado pelas 21 campanhas e servem como referência de escala, não como avaliação de campanhas individuais.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51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6324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2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6324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Média por campanha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Destinatários</w:t>
            </w:r>
          </w:p>
        </w:tc>
        <w:tc>
          <w:tcPr>
            <w:tcW w:type="dxa" w:w="42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197,86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Entregas estimadas</w:t>
            </w:r>
          </w:p>
        </w:tc>
        <w:tc>
          <w:tcPr>
            <w:tcW w:type="dxa" w:w="42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150,29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Rejeições</w:t>
            </w:r>
          </w:p>
        </w:tc>
        <w:tc>
          <w:tcPr>
            <w:tcW w:type="dxa" w:w="42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47,57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Aberturas</w:t>
            </w:r>
          </w:p>
        </w:tc>
        <w:tc>
          <w:tcPr>
            <w:tcW w:type="dxa" w:w="42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70,67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Cliques</w:t>
            </w:r>
          </w:p>
        </w:tc>
        <w:tc>
          <w:tcPr>
            <w:tcW w:type="dxa" w:w="42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3,81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Cancelamentos</w:t>
            </w:r>
          </w:p>
        </w:tc>
        <w:tc>
          <w:tcPr>
            <w:tcW w:type="dxa" w:w="42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0,57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Leitura dos resultados</w:t>
      </w:r>
    </w:p>
    <w:p>
      <w:pPr>
        <w:pStyle w:val="Heading2"/>
        <w:keepNext/>
      </w:pPr>
      <w:r>
        <w:t>Entregabilidade</w:t>
      </w:r>
    </w:p>
    <w:p>
      <w:r>
        <w:t>Foram registradas 999 rejeições entre 4.155 destinatários, o equivalente a 24,04%. Com isso, aproximadamente um em cada quatro endereços não recebeu a mensagem. Como o dado reúne soft e hard bounces, não é possível identificar pela imagem quanto decorreu de falhas temporárias e quanto decorreu de endereços inválidos ou indisponíveis de forma permanente.</w:t>
      </w:r>
    </w:p>
    <w:p>
      <w:pPr>
        <w:pStyle w:val="Heading2"/>
        <w:keepNext/>
      </w:pPr>
      <w:r>
        <w:t>Abertura e interesse inicial</w:t>
      </w:r>
    </w:p>
    <w:p>
      <w:r>
        <w:t>Entre as entregas estimadas, houve 1.484 aberturas, correspondentes a 47,02%. Esse resultado mostra que assunto, remetente e momento de envio conseguiram gerar abertura em parcela relevante das mensagens entregues. A plataforma informa que aberturas e cliques automatizados estão incluídos; portanto, esses eventos podem conter atividade de filtros de segurança ou mecanismos de privacidade.</w:t>
      </w:r>
    </w:p>
    <w:p>
      <w:pPr>
        <w:pStyle w:val="Heading2"/>
        <w:keepNext/>
      </w:pPr>
      <w:r>
        <w:t>Cliques e avanço para a ação</w:t>
      </w:r>
    </w:p>
    <w:p>
      <w:r>
        <w:t>Os 80 cliques representam 2,53% das entregas e 5,39% das aberturas. A diferença entre abertura e clique indica espaço para fortalecer a ligação entre a promessa do assunto, o conteúdo da mensagem, a oferta e a chamada para ação.</w:t>
      </w:r>
    </w:p>
    <w:p>
      <w:pPr>
        <w:pStyle w:val="Heading2"/>
        <w:keepNext/>
      </w:pPr>
      <w:r>
        <w:t>Respostas e cancelamentos</w:t>
      </w:r>
    </w:p>
    <w:p>
      <w:r>
        <w:t>Não houve respostas registradas. Esse dado deve ser interpretado de acordo com o objetivo das campanhas: se a meta era direcionar tráfego por links, a ausência de respostas pode ser esperada; se havia expectativa de conversa por email, convém revisar o convite à resposta e a configuração do endereço remetente. Os 12 cancelamentos equivalem a 0,38% das entregas.</w:t>
      </w:r>
    </w:p>
    <w:p>
      <w:r>
        <w:br w:type="page"/>
      </w:r>
    </w:p>
    <w:p>
      <w:pPr>
        <w:pStyle w:val="Heading1"/>
        <w:keepNext/>
      </w:pPr>
      <w:r>
        <w:t>Recomendações para o próximo ciclo</w:t>
      </w:r>
    </w:p>
    <w:p>
      <w:pPr>
        <w:pStyle w:val="ListBullet"/>
      </w:pPr>
      <w:r>
        <w:rPr>
          <w:b/>
        </w:rPr>
        <w:t xml:space="preserve">Priorizar a higiene da base. </w:t>
      </w:r>
      <w:r>
        <w:t>Separar soft e hard bounces, suprimir endereços com rejeição permanente e revisar as origens de captação que concentram falhas.</w:t>
      </w:r>
    </w:p>
    <w:p>
      <w:pPr>
        <w:pStyle w:val="ListBullet"/>
      </w:pPr>
      <w:r>
        <w:rPr>
          <w:b/>
        </w:rPr>
        <w:t xml:space="preserve">Proteger a reputação de envio. </w:t>
      </w:r>
      <w:r>
        <w:t>Evitar novos disparos para endereços inválidos, acompanhar autenticações do domínio e observar a evolução da taxa de entrega em cada campanha.</w:t>
      </w:r>
    </w:p>
    <w:p>
      <w:pPr>
        <w:pStyle w:val="ListBullet"/>
      </w:pPr>
      <w:r>
        <w:rPr>
          <w:b/>
        </w:rPr>
        <w:t xml:space="preserve">Aumentar a conversão de abertura em clique. </w:t>
      </w:r>
      <w:r>
        <w:t>Testar uma chamada principal mais evidente, reduzir a dispersão de links e alinhar o conteúdo da mensagem à promessa feita no assunto.</w:t>
      </w:r>
    </w:p>
    <w:p>
      <w:pPr>
        <w:pStyle w:val="ListBullet"/>
      </w:pPr>
      <w:r>
        <w:rPr>
          <w:b/>
        </w:rPr>
        <w:t xml:space="preserve">Comparar campanhas individualmente. </w:t>
      </w:r>
      <w:r>
        <w:t>Analisar assunto, público, data, horário e oferta de cada envio para identificar quais combinações explicam as melhores aberturas e os melhores cliques.</w:t>
      </w:r>
    </w:p>
    <w:p>
      <w:pPr>
        <w:pStyle w:val="ListBullet"/>
      </w:pPr>
      <w:r>
        <w:rPr>
          <w:b/>
        </w:rPr>
        <w:t xml:space="preserve">Definir o papel da resposta. </w:t>
      </w:r>
      <w:r>
        <w:t>Se respostas forem desejadas, incluir uma pergunta objetiva e confirmar que o endereço de resposta é monitorado; caso contrário, tratar cliques e conversões no destino como métricas principais.</w:t>
      </w:r>
    </w:p>
    <w:p>
      <w:pPr>
        <w:pStyle w:val="ListBullet"/>
      </w:pPr>
      <w:r>
        <w:rPr>
          <w:b/>
        </w:rPr>
        <w:t xml:space="preserve">Medir além do clique. </w:t>
      </w:r>
      <w:r>
        <w:t>Adicionar acompanhamento de conversões no site ou canal de destino para conectar os envios a agendamentos, solicitações ou vendas.</w:t>
      </w:r>
    </w:p>
    <w:p>
      <w:pPr>
        <w:pStyle w:val="Heading1"/>
        <w:keepNext/>
      </w:pPr>
      <w:r>
        <w:t>Plano de acompanhamento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6324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43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6324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3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6324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Indicador de acompanhamento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Imediata</w:t>
            </w:r>
          </w:p>
        </w:tc>
        <w:tc>
          <w:tcPr>
            <w:tcW w:type="dxa" w:w="43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Limpar e segmentar a base</w:t>
            </w:r>
          </w:p>
        </w:tc>
        <w:tc>
          <w:tcPr>
            <w:tcW w:type="dxa" w:w="3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Bounces e taxa de entrega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Próximos envios</w:t>
            </w:r>
          </w:p>
        </w:tc>
        <w:tc>
          <w:tcPr>
            <w:tcW w:type="dxa" w:w="43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Testar assunto, CTA e conteúdo</w:t>
            </w:r>
          </w:p>
        </w:tc>
        <w:tc>
          <w:tcPr>
            <w:tcW w:type="dxa" w:w="3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2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Abertura, cliques e clique por abertura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Próximo ciclo</w:t>
            </w:r>
          </w:p>
        </w:tc>
        <w:tc>
          <w:tcPr>
            <w:tcW w:type="dxa" w:w="43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Rastrear conversões após o clique</w:t>
            </w:r>
          </w:p>
        </w:tc>
        <w:tc>
          <w:tcPr>
            <w:tcW w:type="dxa" w:w="3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Agendamentos, leads ou vendas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Metodologia e limitações</w:t>
      </w:r>
    </w:p>
    <w:p>
      <w:r>
        <w:t>Fonte: captura da tela de Estatísticas referente ao período de 21/08/2026 a 21/09/2026. Entregas estimadas = destinatários − soft e hard bounces. Taxa de rejeição = bounces ÷ destinatários. Clique por abertura = cliques ÷ aberturas. Médias por campanha = total ÷ 21.</w:t>
      </w:r>
    </w:p>
    <w:p>
      <w:r>
        <w:t>A captura não contém resultados separados por campanha, distinção entre soft e hard bounce, identificação de eventos únicos, conversões após o clique ou comparativos históricos. Por isso, o relatório não atribui causas específicas nem compara o desempenho com benchmarks externos. A própria plataforma informa que aberturas e cliques automatizados estão incluídos.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6"/>
      </w:rPr>
      <w:t xml:space="preserve">Período analisado  21 de agosto a 21 de setembro de 2026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7085"/>
        <w:sz w:val="16"/>
      </w:rPr>
      <w:t>RELATÓRIO DE CAMPANHAS DE E MAIL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17" w:hanging="23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desempenho das campanhas de email</dc:title>
  <dc:subject>Resultados consolidados de 21 campanhas de email</dc:subject>
  <dc:creator>Equipe de atendimento</dc:creator>
  <cp:keywords/>
  <dc:description>Elaborado a partir da captura de estatísticas fornecida.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