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[NAME OF THE UNIVERSITY]</w:t>
      </w:r>
    </w:p>
    <w:p>
      <w:pPr>
        <w:pStyle w:val="TitleCenter"/>
        <w:spacing w:after="600"/>
      </w:pPr>
      <w:r>
        <w:rPr>
          <w:b w:val="0"/>
        </w:rPr>
        <w:t>Faculty: [name of the faculty]</w:t>
        <w:br/>
      </w:r>
      <w:r>
        <w:rPr>
          <w:b w:val="0"/>
        </w:rPr>
        <w:t>Department: [name of the department]</w:t>
      </w:r>
    </w:p>
    <w:p>
      <w:pPr>
        <w:pStyle w:val="TitleLeft"/>
        <w:spacing w:after="0"/>
      </w:pPr>
      <w:r>
        <w:rPr>
          <w:b w:val="0"/>
        </w:rPr>
        <w:t>UDC 539.12.04:615.849</w:t>
      </w:r>
    </w:p>
    <w:p>
      <w:pPr>
        <w:pStyle w:val="TitleRight"/>
        <w:spacing w:after="800"/>
      </w:pPr>
      <w:r>
        <w:rPr>
          <w:b w:val="0"/>
        </w:rPr>
        <w:t>As a manuscript</w:t>
      </w:r>
    </w:p>
    <w:p>
      <w:pPr>
        <w:pStyle w:val="TitleCenter"/>
        <w:spacing w:after="600"/>
      </w:pPr>
      <w:r>
        <w:rPr>
          <w:b/>
        </w:rPr>
        <w:t>[FULL NAME OF THE STUDENT]</w:t>
      </w:r>
    </w:p>
    <w:p>
      <w:pPr>
        <w:pStyle w:val="TitleBig"/>
        <w:spacing w:after="600"/>
      </w:pPr>
      <w:r>
        <w:rPr>
          <w:b/>
        </w:rPr>
        <w:t>X-RAY SPECTRUM MODELING FOR THE STUDY OF RADIO-ENHANCEMENT IN BIOLOGICAL MATTER WITH Ag</w:t>
      </w:r>
    </w:p>
    <w:p>
      <w:pPr>
        <w:pStyle w:val="TitleCenter"/>
        <w:spacing w:after="480"/>
      </w:pPr>
      <w:r>
        <w:rPr>
          <w:b w:val="0"/>
        </w:rPr>
        <w:t>Specialty: [code] – [name of the master’s specialty]</w:t>
      </w:r>
    </w:p>
    <w:p>
      <w:pPr>
        <w:pStyle w:val="TitleCenter"/>
        <w:spacing w:after="1000"/>
      </w:pPr>
      <w:r>
        <w:rPr>
          <w:b/>
        </w:rPr>
        <w:t>MASTER’S DISSERTATION</w:t>
        <w:br/>
      </w:r>
      <w:r>
        <w:rPr>
          <w:b/>
        </w:rPr>
        <w:t>for the academic degree of Master</w:t>
      </w:r>
    </w:p>
    <w:p>
      <w:pPr>
        <w:pStyle w:val="TitleLeft"/>
        <w:spacing w:after="480"/>
      </w:pPr>
      <w:r>
        <w:rPr>
          <w:b w:val="0"/>
          <w:sz w:val="26"/>
        </w:rPr>
        <w:t>“Admitted to defence”</w:t>
        <w:br/>
      </w:r>
      <w:r>
        <w:rPr>
          <w:b w:val="0"/>
          <w:sz w:val="26"/>
        </w:rPr>
        <w:t>Head of the department ____________ [full name]</w:t>
        <w:br/>
      </w:r>
      <w:r>
        <w:rPr>
          <w:b w:val="0"/>
          <w:sz w:val="26"/>
        </w:rPr>
        <w:t>“___” ____________ 2026</w:t>
      </w:r>
    </w:p>
    <w:p>
      <w:pPr>
        <w:pStyle w:val="TitleRight"/>
        <w:spacing w:after="1200"/>
      </w:pPr>
      <w:r>
        <w:rPr>
          <w:b w:val="0"/>
        </w:rPr>
        <w:t>Scientific supervisor:</w:t>
        <w:br/>
      </w:r>
      <w:r>
        <w:rPr>
          <w:b w:val="0"/>
        </w:rPr>
        <w:t>[academic degree, title, full name]</w:t>
      </w:r>
    </w:p>
    <w:p>
      <w:pPr>
        <w:pStyle w:val="TitleCenter"/>
        <w:spacing w:after="0"/>
      </w:pPr>
      <w:r>
        <w:rPr>
          <w:b/>
        </w:rPr>
        <w:t>[City] – 2026</w:t>
      </w:r>
      <w:r>
        <w:br w:type="page"/>
      </w:r>
    </w:p>
    <w:p>
      <w:pPr>
        <w:pStyle w:val="Heading1"/>
      </w:pPr>
      <w:r>
        <w:t xml:space="preserve">ANNOTATION</w:t>
      </w:r>
    </w:p>
    <w:p>
      <w:pPr>
        <w:pStyle w:val="FirstParagraph"/>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BodyText"/>
      </w:pPr>
      <w:r>
        <w:t xml:space="preserve">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2 mm Al to 1.62 and 0.2 mm Cu to 1.80, while the air kerma decreases 120–1300-fold. At equal transmission, light and medium-Z filters (Al, Ti) are optimal, whereas filters with K-edges at 20–30 keV (Mo, Ag, Sn) are the least effective at strong filtration. For Al-filtered beams, the DM reproduces the SpekPy half-value layer within 5 % and the DEF within 2 %.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BodyText"/>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FirstParagraph"/>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nishonning yarim analitik modeli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BodyText"/>
      </w:pPr>
      <w:r>
        <w:t xml:space="preserve">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Al bilan filtrlangan dastalar uchun IM SpekPy yordamida hisoblangan yarim susaytirish qatlamini 5 % dan, DEFni esa 2 % dan oshmaydigan farq bilan takrorlaydi. DEF chuqurlik ortishi bilan ortadi (dastaning qattiqlashishi) va Ag miqdori yuqori bo‘lgan soha ichida kamayadi (o‘z-o‘zini ekranlash); Monte-Karlo hisoblari bu qiymatlarni 1–10 % doirasida tasdiqlaydi. Massa birligiga nisbatan olinganda Ag fizik sensibilizator sifatida Au, Pt, Bi yoki Gd elementlaridan kuchsizroq bo‘lib, samaradorligi jihatidan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BodyText"/>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nurlanishi; Monte-Karlo usuli.</w:t>
      </w:r>
    </w:p>
    <w:p>
      <w:pPr>
        <w:pStyle w:val="Heading1"/>
      </w:pPr>
      <w:r>
        <w:t xml:space="preserve">АННОТАЦИЯ</w:t>
      </w:r>
    </w:p>
    <w:p>
      <w:pPr>
        <w:pStyle w:val="FirstParagraph"/>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BodyText"/>
      </w:pPr>
      <w:r>
        <w:t xml:space="preserve">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2 мм Al — до 1,62,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Для пучков с алюминиевым фильтром РМ воспроизводит слой половинного ослабления, рассчитанный SpekPy, с точностью до 5 %, а DEF — с точностью до 2 %.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BodyText"/>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t>10</w:t>
      </w:r>
    </w:p>
    <w:p>
      <w:pPr>
        <w:pStyle w:val="TOCLine1"/>
        <w:tabs>
          <w:tab w:pos="9354" w:val="right" w:leader="dot"/>
        </w:tabs>
        <w:ind w:left="0" w:firstLine="0"/>
      </w:pPr>
      <w:r>
        <w:rPr>
          <w:b/>
        </w:rPr>
        <w:t>INTRODUCTION</w:t>
      </w:r>
      <w:r>
        <w:tab/>
        <w:t>11</w:t>
      </w:r>
    </w:p>
    <w:p>
      <w:pPr>
        <w:pStyle w:val="TOCLine1"/>
        <w:tabs>
          <w:tab w:pos="9354" w:val="right" w:leader="dot"/>
        </w:tabs>
        <w:ind w:left="0" w:firstLine="0"/>
      </w:pPr>
      <w:r>
        <w:rPr>
          <w:b/>
        </w:rPr>
        <w:t>CHAPTER 1. RADIOSENSITIZATION BY HIGH-Z ELEMENTS AND X-RAY SPECTRUM MODELING: LITERATURE REVIEW</w:t>
      </w:r>
      <w:r>
        <w:tab/>
        <w:t>16</w:t>
      </w:r>
    </w:p>
    <w:p>
      <w:pPr>
        <w:pStyle w:val="TOCLine2"/>
        <w:tabs>
          <w:tab w:pos="9354" w:val="right" w:leader="dot"/>
        </w:tabs>
        <w:ind w:left="709" w:hanging="283"/>
      </w:pPr>
      <w:r>
        <w:t>1.1. Radiotherapy and the problem of normal-tissue tolerance</w:t>
      </w:r>
      <w:r>
        <w:tab/>
        <w:t>16</w:t>
      </w:r>
    </w:p>
    <w:p>
      <w:pPr>
        <w:pStyle w:val="TOCLine2"/>
        <w:tabs>
          <w:tab w:pos="9354" w:val="right" w:leader="dot"/>
        </w:tabs>
        <w:ind w:left="709" w:hanging="283"/>
      </w:pPr>
      <w:r>
        <w:t>1.2. Interaction of kilovoltage photons with biological matter</w:t>
      </w:r>
      <w:r>
        <w:tab/>
        <w:t>17</w:t>
      </w:r>
    </w:p>
    <w:p>
      <w:pPr>
        <w:pStyle w:val="TOCLine2"/>
        <w:tabs>
          <w:tab w:pos="9354" w:val="right" w:leader="dot"/>
        </w:tabs>
        <w:ind w:left="709" w:hanging="283"/>
      </w:pPr>
      <w:r>
        <w:t>1.3. High-Z radiosensitizers: from iodine contrast to metal nanoparticles</w:t>
      </w:r>
      <w:r>
        <w:tab/>
        <w:t>20</w:t>
      </w:r>
    </w:p>
    <w:p>
      <w:pPr>
        <w:pStyle w:val="TOCLine2"/>
        <w:tabs>
          <w:tab w:pos="9354" w:val="right" w:leader="dot"/>
        </w:tabs>
        <w:ind w:left="709" w:hanging="283"/>
      </w:pPr>
      <w:r>
        <w:t>1.4. Silver and silver nanoparticles as radiosensitizers</w:t>
      </w:r>
      <w:r>
        <w:tab/>
        <w:t>23</w:t>
      </w:r>
    </w:p>
    <w:p>
      <w:pPr>
        <w:pStyle w:val="TOCLine2"/>
        <w:tabs>
          <w:tab w:pos="9354" w:val="right" w:leader="dot"/>
        </w:tabs>
        <w:ind w:left="709" w:hanging="283"/>
      </w:pPr>
      <w:r>
        <w:t>1.5. Methods of modelling x-ray tube spectra</w:t>
      </w:r>
      <w:r>
        <w:tab/>
        <w:t>25</w:t>
      </w:r>
    </w:p>
    <w:p>
      <w:pPr>
        <w:pStyle w:val="TOCLine2"/>
        <w:tabs>
          <w:tab w:pos="9354" w:val="right" w:leader="dot"/>
        </w:tabs>
        <w:ind w:left="709" w:hanging="283"/>
      </w:pPr>
      <w:r>
        <w:t>1.6. Conclusions to Chapter 1</w:t>
      </w:r>
      <w:r>
        <w:tab/>
        <w:t>28</w:t>
      </w:r>
    </w:p>
    <w:p>
      <w:pPr>
        <w:pStyle w:val="TOCLine1"/>
        <w:tabs>
          <w:tab w:pos="9354" w:val="right" w:leader="dot"/>
        </w:tabs>
        <w:ind w:left="0" w:firstLine="0"/>
      </w:pPr>
      <w:r>
        <w:rPr>
          <w:b/>
        </w:rPr>
        <w:t>CHAPTER 2. PHYSICAL MODEL OF THE X-RAY SPECTRUM AND METHODS OF DOSE-ENHANCEMENT CALCULATION</w:t>
      </w:r>
      <w:r>
        <w:tab/>
        <w:t>29</w:t>
      </w:r>
    </w:p>
    <w:p>
      <w:pPr>
        <w:pStyle w:val="TOCLine2"/>
        <w:tabs>
          <w:tab w:pos="9354" w:val="right" w:leader="dot"/>
        </w:tabs>
        <w:ind w:left="709" w:hanging="283"/>
      </w:pPr>
      <w:r>
        <w:t>2.1. Design and technical parameters of an x-ray tube with a copper anode</w:t>
      </w:r>
      <w:r>
        <w:tab/>
        <w:t>29</w:t>
      </w:r>
    </w:p>
    <w:p>
      <w:pPr>
        <w:pStyle w:val="TOCLine2"/>
        <w:tabs>
          <w:tab w:pos="9354" w:val="right" w:leader="dot"/>
        </w:tabs>
        <w:ind w:left="709" w:hanging="283"/>
      </w:pPr>
      <w:r>
        <w:t>2.2. Electron slowing-down in the anode</w:t>
      </w:r>
      <w:r>
        <w:tab/>
        <w:t>31</w:t>
      </w:r>
    </w:p>
    <w:p>
      <w:pPr>
        <w:pStyle w:val="TOCLine2"/>
        <w:tabs>
          <w:tab w:pos="9354" w:val="right" w:leader="dot"/>
        </w:tabs>
        <w:ind w:left="709" w:hanging="283"/>
      </w:pPr>
      <w:r>
        <w:t>2.3. Bremsstrahlung production in a thick target</w:t>
      </w:r>
      <w:r>
        <w:tab/>
        <w:t>32</w:t>
      </w:r>
    </w:p>
    <w:p>
      <w:pPr>
        <w:pStyle w:val="TOCLine2"/>
        <w:tabs>
          <w:tab w:pos="9354" w:val="right" w:leader="dot"/>
        </w:tabs>
        <w:ind w:left="709" w:hanging="283"/>
      </w:pPr>
      <w:r>
        <w:t>2.4. Characteristic radiation</w:t>
      </w:r>
      <w:r>
        <w:tab/>
        <w:t>34</w:t>
      </w:r>
    </w:p>
    <w:p>
      <w:pPr>
        <w:pStyle w:val="TOCLine2"/>
        <w:tabs>
          <w:tab w:pos="9354" w:val="right" w:leader="dot"/>
        </w:tabs>
        <w:ind w:left="709" w:hanging="283"/>
      </w:pPr>
      <w:r>
        <w:t>2.5. Filtration, beam-quality parameters and air kerma</w:t>
      </w:r>
      <w:r>
        <w:tab/>
        <w:t>37</w:t>
      </w:r>
    </w:p>
    <w:p>
      <w:pPr>
        <w:pStyle w:val="TOCLine2"/>
        <w:tabs>
          <w:tab w:pos="9354" w:val="right" w:leader="dot"/>
        </w:tabs>
        <w:ind w:left="709" w:hanging="283"/>
      </w:pPr>
      <w:r>
        <w:t>2.6. Dose enhancement factor: definitions and calculation</w:t>
      </w:r>
      <w:r>
        <w:tab/>
        <w:t>39</w:t>
      </w:r>
    </w:p>
    <w:p>
      <w:pPr>
        <w:pStyle w:val="TOCLine2"/>
        <w:tabs>
          <w:tab w:pos="9354" w:val="right" w:leader="dot"/>
        </w:tabs>
        <w:ind w:left="709" w:hanging="283"/>
      </w:pPr>
      <w:r>
        <w:t>2.7. Monte Carlo method for verification</w:t>
      </w:r>
      <w:r>
        <w:tab/>
        <w:t>41</w:t>
      </w:r>
    </w:p>
    <w:p>
      <w:pPr>
        <w:pStyle w:val="TOCLine2"/>
        <w:tabs>
          <w:tab w:pos="9354" w:val="right" w:leader="dot"/>
        </w:tabs>
        <w:ind w:left="709" w:hanging="283"/>
      </w:pPr>
      <w:r>
        <w:t>2.8. Data sources, software implementation and validation strategy</w:t>
      </w:r>
      <w:r>
        <w:tab/>
        <w:t>43</w:t>
      </w:r>
    </w:p>
    <w:p>
      <w:pPr>
        <w:pStyle w:val="TOCLine2"/>
        <w:tabs>
          <w:tab w:pos="9354" w:val="right" w:leader="dot"/>
        </w:tabs>
        <w:ind w:left="709" w:hanging="283"/>
      </w:pPr>
      <w:r>
        <w:t>2.9. Radiation safety when working with a kilovoltage x-ray tube</w:t>
      </w:r>
      <w:r>
        <w:tab/>
        <w:t>44</w:t>
      </w:r>
    </w:p>
    <w:p>
      <w:pPr>
        <w:pStyle w:val="TOCLine2"/>
        <w:tabs>
          <w:tab w:pos="9354" w:val="right" w:leader="dot"/>
        </w:tabs>
        <w:ind w:left="709" w:hanging="283"/>
      </w:pPr>
      <w:r>
        <w:t>2.10. Conclusions to Chapter 2</w:t>
      </w:r>
      <w:r>
        <w:tab/>
        <w:t>45</w:t>
      </w:r>
    </w:p>
    <w:p>
      <w:pPr>
        <w:pStyle w:val="TOCLine1"/>
        <w:tabs>
          <w:tab w:pos="9354" w:val="right" w:leader="dot"/>
        </w:tabs>
        <w:ind w:left="0" w:firstLine="0"/>
      </w:pPr>
      <w:r>
        <w:rPr>
          <w:b/>
        </w:rPr>
        <w:t>CHAPTER 3. RESULTS OF SPECTRUM MODELLING AND DOSE-ENHANCEMENT CALCULATIONS</w:t>
      </w:r>
      <w:r>
        <w:tab/>
        <w:t>47</w:t>
      </w:r>
    </w:p>
    <w:p>
      <w:pPr>
        <w:pStyle w:val="TOCLine2"/>
        <w:tabs>
          <w:tab w:pos="9354" w:val="right" w:leader="dot"/>
        </w:tabs>
        <w:ind w:left="709" w:hanging="283"/>
      </w:pPr>
      <w:r>
        <w:t>3.1. Validation of the developed spectrum model</w:t>
      </w:r>
      <w:r>
        <w:tab/>
        <w:t>47</w:t>
      </w:r>
    </w:p>
    <w:p>
      <w:pPr>
        <w:pStyle w:val="TOCLine2"/>
        <w:tabs>
          <w:tab w:pos="9354" w:val="right" w:leader="dot"/>
        </w:tabs>
        <w:ind w:left="709" w:hanging="283"/>
      </w:pPr>
      <w:r>
        <w:t>3.2. Spectrum of the 45 kV copper-anode tube</w:t>
      </w:r>
      <w:r>
        <w:tab/>
        <w:t>51</w:t>
      </w:r>
    </w:p>
    <w:p>
      <w:pPr>
        <w:pStyle w:val="TOCLine2"/>
        <w:tabs>
          <w:tab w:pos="9354" w:val="right" w:leader="dot"/>
        </w:tabs>
        <w:ind w:left="709" w:hanging="283"/>
      </w:pPr>
      <w:r>
        <w:t>3.3. Influence of tube design parameters</w:t>
      </w:r>
      <w:r>
        <w:tab/>
        <w:t>52</w:t>
      </w:r>
    </w:p>
    <w:p>
      <w:pPr>
        <w:pStyle w:val="TOCLine2"/>
        <w:tabs>
          <w:tab w:pos="9354" w:val="right" w:leader="dot"/>
        </w:tabs>
        <w:ind w:left="709" w:hanging="283"/>
      </w:pPr>
      <w:r>
        <w:t>3.4. Influence of added filters on the spectrum</w:t>
      </w:r>
      <w:r>
        <w:tab/>
        <w:t>55</w:t>
      </w:r>
    </w:p>
    <w:p>
      <w:pPr>
        <w:pStyle w:val="TOCLine2"/>
        <w:tabs>
          <w:tab w:pos="9354" w:val="right" w:leader="dot"/>
        </w:tabs>
        <w:ind w:left="709" w:hanging="283"/>
      </w:pPr>
      <w:r>
        <w:t>3.5. Dose enhancement factor of Ag-loaded soft tissue</w:t>
      </w:r>
      <w:r>
        <w:tab/>
        <w:t>58</w:t>
      </w:r>
    </w:p>
    <w:p>
      <w:pPr>
        <w:pStyle w:val="TOCLine2"/>
        <w:tabs>
          <w:tab w:pos="9354" w:val="right" w:leader="dot"/>
        </w:tabs>
        <w:ind w:left="709" w:hanging="283"/>
      </w:pPr>
      <w:r>
        <w:t>3.6. Optimisation of the filtration</w:t>
      </w:r>
      <w:r>
        <w:tab/>
        <w:t>61</w:t>
      </w:r>
    </w:p>
    <w:p>
      <w:pPr>
        <w:pStyle w:val="TOCLine2"/>
        <w:tabs>
          <w:tab w:pos="9354" w:val="right" w:leader="dot"/>
        </w:tabs>
        <w:ind w:left="709" w:hanging="283"/>
      </w:pPr>
      <w:r>
        <w:t>3.7. Depth dependence and self-shielding</w:t>
      </w:r>
      <w:r>
        <w:tab/>
        <w:t>64</w:t>
      </w:r>
    </w:p>
    <w:p>
      <w:pPr>
        <w:pStyle w:val="TOCLine2"/>
        <w:tabs>
          <w:tab w:pos="9354" w:val="right" w:leader="dot"/>
        </w:tabs>
        <w:ind w:left="709" w:hanging="283"/>
      </w:pPr>
      <w:r>
        <w:t>3.8. Influence of tube voltage and comparison with other high-Z elements</w:t>
      </w:r>
      <w:r>
        <w:tab/>
        <w:t>67</w:t>
      </w:r>
    </w:p>
    <w:p>
      <w:pPr>
        <w:pStyle w:val="TOCLine2"/>
        <w:tabs>
          <w:tab w:pos="9354" w:val="right" w:leader="dot"/>
        </w:tabs>
        <w:ind w:left="709" w:hanging="283"/>
      </w:pPr>
      <w:r>
        <w:t>3.9. Monte Carlo verification</w:t>
      </w:r>
      <w:r>
        <w:tab/>
        <w:t>69</w:t>
      </w:r>
    </w:p>
    <w:p>
      <w:pPr>
        <w:pStyle w:val="TOCLine2"/>
        <w:tabs>
          <w:tab w:pos="9354" w:val="right" w:leader="dot"/>
        </w:tabs>
        <w:ind w:left="709" w:hanging="283"/>
      </w:pPr>
      <w:r>
        <w:t>3.10. Uncertainty and sensitivity analysis</w:t>
      </w:r>
      <w:r>
        <w:tab/>
        <w:t>71</w:t>
      </w:r>
    </w:p>
    <w:p>
      <w:pPr>
        <w:pStyle w:val="TOCLine2"/>
        <w:tabs>
          <w:tab w:pos="9354" w:val="right" w:leader="dot"/>
        </w:tabs>
        <w:ind w:left="709" w:hanging="283"/>
      </w:pPr>
      <w:r>
        <w:t>3.11. Discussion</w:t>
      </w:r>
      <w:r>
        <w:tab/>
        <w:t>73</w:t>
      </w:r>
    </w:p>
    <w:p>
      <w:pPr>
        <w:pStyle w:val="TOCLine2"/>
        <w:tabs>
          <w:tab w:pos="9354" w:val="right" w:leader="dot"/>
        </w:tabs>
        <w:ind w:left="709" w:hanging="283"/>
      </w:pPr>
      <w:r>
        <w:t>3.12. Conclusions to Chapter 3</w:t>
      </w:r>
      <w:r>
        <w:tab/>
        <w:t>75</w:t>
      </w:r>
    </w:p>
    <w:p>
      <w:pPr>
        <w:pStyle w:val="TOCLine1"/>
        <w:tabs>
          <w:tab w:pos="9354" w:val="right" w:leader="dot"/>
        </w:tabs>
        <w:ind w:left="0" w:firstLine="0"/>
      </w:pPr>
      <w:r>
        <w:rPr>
          <w:b/>
        </w:rPr>
        <w:t>CONCLUSIONS</w:t>
      </w:r>
      <w:r>
        <w:tab/>
        <w:t>75</w:t>
      </w:r>
    </w:p>
    <w:p>
      <w:pPr>
        <w:pStyle w:val="TOCLine2"/>
        <w:tabs>
          <w:tab w:pos="9354" w:val="right" w:leader="dot"/>
        </w:tabs>
        <w:ind w:left="709" w:hanging="283"/>
      </w:pPr>
      <w:r>
        <w:t>Practical recommendations</w:t>
      </w:r>
      <w:r>
        <w:tab/>
        <w:t>77</w:t>
      </w:r>
    </w:p>
    <w:p>
      <w:pPr>
        <w:pStyle w:val="TOCLine2"/>
        <w:tabs>
          <w:tab w:pos="9354" w:val="right" w:leader="dot"/>
        </w:tabs>
        <w:ind w:left="709" w:hanging="283"/>
      </w:pPr>
      <w:r>
        <w:t>Prospects for further research</w:t>
      </w:r>
      <w:r>
        <w:tab/>
        <w:t>78</w:t>
      </w:r>
    </w:p>
    <w:p>
      <w:pPr>
        <w:pStyle w:val="TOCLine1"/>
        <w:tabs>
          <w:tab w:pos="9354" w:val="right" w:leader="dot"/>
        </w:tabs>
        <w:ind w:left="0" w:firstLine="0"/>
      </w:pPr>
      <w:r>
        <w:rPr>
          <w:b/>
        </w:rPr>
        <w:t>REFERENCES</w:t>
      </w:r>
      <w:r>
        <w:tab/>
        <w:t>79</w:t>
      </w:r>
    </w:p>
    <w:p>
      <w:pPr>
        <w:pStyle w:val="TOCLine1"/>
        <w:tabs>
          <w:tab w:pos="9354" w:val="right" w:leader="dot"/>
        </w:tabs>
        <w:ind w:left="0" w:firstLine="0"/>
      </w:pPr>
      <w:r>
        <w:rPr>
          <w:b/>
        </w:rPr>
        <w:t>APPENDICES</w:t>
      </w:r>
      <w:r>
        <w:tab/>
        <w:t>87</w:t>
      </w:r>
    </w:p>
    <w:p>
      <w:pPr>
        <w:pStyle w:val="TOCLine2"/>
        <w:tabs>
          <w:tab w:pos="9354" w:val="right" w:leader="dot"/>
        </w:tabs>
        <w:ind w:left="709" w:hanging="283"/>
      </w:pPr>
      <w:r>
        <w:t>Appendix A. Source code of the spectrum model (fragments)</w:t>
      </w:r>
      <w:r>
        <w:tab/>
        <w:t>87</w:t>
      </w:r>
    </w:p>
    <w:p>
      <w:pPr>
        <w:pStyle w:val="TOCLine2"/>
        <w:tabs>
          <w:tab w:pos="9354" w:val="right" w:leader="dot"/>
        </w:tabs>
        <w:ind w:left="709" w:hanging="283"/>
      </w:pPr>
      <w:r>
        <w:t>Appendix B. Reproducibility</w:t>
      </w:r>
      <w:r>
        <w:tab/>
        <w:t>89</w:t>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DCS</w:t>
            </w:r>
          </w:p>
        </w:tc>
        <w:tc>
          <w:tcPr/>
          <w:p>
            <w:pPr>
              <w:pStyle w:val="Compact"/>
              <w:spacing w:line="240" w:lineRule="auto"/>
              <w:ind w:firstLine="0"/>
              <w:jc w:val="left"/>
            </w:pPr>
            <w:r>
              <w:rPr>
                <w:sz w:val="20"/>
              </w:rPr>
              <w:t xml:space="preserve">differential cross-section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ICRP</w:t>
            </w:r>
          </w:p>
        </w:tc>
        <w:tc>
          <w:tcPr/>
          <w:p>
            <w:pPr>
              <w:pStyle w:val="Compact"/>
              <w:spacing w:line="240" w:lineRule="auto"/>
              <w:ind w:firstLine="0"/>
              <w:jc w:val="left"/>
            </w:pPr>
            <w:r>
              <w:rPr>
                <w:sz w:val="20"/>
              </w:rPr>
              <w:t xml:space="preserve">International Commission on Radiological Protection</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is the air kerma</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d>
                <m:dPr>
                  <m:begChr m:val="("/>
                  <m:endChr m:val=")"/>
                  <m:sepChr m:val=""/>
                  <m:grow/>
                </m:dPr>
                <m:e>
                  <m:r>
                    <m:t>T</m:t>
                  </m:r>
                </m:e>
              </m:d>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m:oMath>
              <m:sSup>
                <m:e>
                  <m:r>
                    <m:t>​</m:t>
                  </m:r>
                </m:e>
                <m:sup>
                  <m:r>
                    <m:t>2</m:t>
                  </m:r>
                </m:sup>
              </m:sSup>
            </m:oMath>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m:oMath>
              <m:sSup>
                <m:e>
                  <m:r>
                    <m:t>​</m:t>
                  </m:r>
                </m:e>
                <m:sup>
                  <m:r>
                    <m:rPr>
                      <m:sty m:val="p"/>
                    </m:rPr>
                    <m:t>−</m:t>
                  </m:r>
                  <m:r>
                    <m:t>1</m:t>
                  </m:r>
                </m:sup>
              </m:sSup>
            </m:oMath>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m:oMath>
              <m:sSup>
                <m:e>
                  <m:r>
                    <m:t>​</m:t>
                  </m:r>
                </m:e>
                <m:sup>
                  <m:r>
                    <m:t>2</m:t>
                  </m:r>
                </m:sup>
              </m:sSup>
            </m:oMath>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m:oMath>
              <m:sSup>
                <m:e>
                  <m:r>
                    <m:t>​</m:t>
                  </m:r>
                </m:e>
                <m:sup>
                  <m:r>
                    <m:t>2</m:t>
                  </m:r>
                </m:sup>
              </m:sSup>
            </m:oMath>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d>
                <m:dPr>
                  <m:begChr m:val="("/>
                  <m:endChr m:val=")"/>
                  <m:sepChr m:val=""/>
                  <m:grow/>
                </m:dPr>
                <m:e>
                  <m:r>
                    <m:t>E</m:t>
                  </m:r>
                </m:e>
              </m:d>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d>
                <m:dPr>
                  <m:begChr m:val="("/>
                  <m:endChr m:val=")"/>
                  <m:sepChr m:val=""/>
                  <m:grow/>
                </m:dPr>
                <m:e>
                  <m:r>
                    <m:t>E</m:t>
                  </m:r>
                </m:e>
              </m:d>
            </m:oMath>
          </w:p>
        </w:tc>
        <w:tc>
          <w:tcPr/>
          <w:p>
            <w:pPr>
              <w:pStyle w:val="Compact"/>
              <w:spacing w:line="240" w:lineRule="auto"/>
              <w:ind w:firstLine="0"/>
              <w:jc w:val="left"/>
            </w:pPr>
            <w:r>
              <w:rPr>
                <w:sz w:val="20"/>
              </w:rPr>
              <w:t xml:space="preserve">spectral energy fluence,</w:t>
            </w:r>
            <w:r>
              <w:rPr>
                <w:sz w:val="20"/>
              </w:rP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cancer patients have an indication for radiotherapy [2], whose effectiveness is limited by the tolerance of healthy tissues [3, 4]. The therapeutic window can be widened with radiosensitizers [5], among which heavy-metal compounds and nanoparticles are now studied intensively [6, 7]. Elements of high atomic number</w:t>
      </w:r>
      <w:r>
        <w:t xml:space="preserve"> </w:t>
      </w:r>
      <m:oMath>
        <m:r>
          <m:t>Z</m:t>
        </m:r>
      </m:oMath>
      <w:r>
        <w:t xml:space="preserve"> </w:t>
      </w:r>
      <w:r>
        <w:t xml:space="preserve">absorb kilovoltage photons far more strongly than soft tissue owing to the photoelectric effect [8]. Gold nanoparticles improved the survival of tumour-bearing mice irradiated with 250 kVp (kilovolt peak) x-rays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the absorbed doses in tissue with and without silver. The ratio of the mass energy-absorption coefficients of silver and soft tissue is only 21–32 at 8–25 keV, about 76 at the Ag K-edge and 100–139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its spectrum, and hence the DEF, depends on the anode angle, tube voltage, beryllium window and filters,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as functions of photon energy [13, 29]; the enhancement around nanoparticles is highly localised [30], and such nanoscale deposition can explain biological effects beyond the macroscopic enhancement [31]. For silver, radiosensitization by AgNPs was shown in cancer cells [32], glioma [33, 34], breast cancer cells [35] and colorectal cancer [36]. AgNPs are themselves cytotoxic and induce reactive oxygen species and DNA damage [37], so part of their effect may be chemical or biological. Silver dosimetry was studied by MC for brachytherapy [38], tissues around a loaded tumour [39] and skin [40] and in dose gels [41]; the depth dependence of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 which motivated this work.</w:t>
      </w:r>
    </w:p>
    <w:p>
      <w:pPr>
        <w:pStyle w:val="BodyText"/>
      </w:pPr>
      <w:r>
        <w:rPr>
          <w:bCs/>
          <w:b/>
        </w:rPr>
        <w:t xml:space="preserve">Aim of the work.</w:t>
      </w:r>
      <w:r>
        <w:t xml:space="preserve"> </w:t>
      </w:r>
      <w:r>
        <w:t xml:space="preserve">The aim is to model the spectrum of a 45 kV copper-anode x-ray tube as a function of its design parameters and filtration and, on this basis,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and attenuation in the anode, window, air and filters.</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and verify them by an independent MC calculation.</w:t>
      </w:r>
    </w:p>
    <w:p>
      <w:pPr>
        <w:numPr>
          <w:ilvl w:val="0"/>
          <w:numId w:val="1001"/>
        </w:numPr>
        <w:pStyle w:val="Compact"/>
      </w:pPr>
      <w:r>
        <w:t xml:space="preserve">To compare silver with other high-Z elements, estimate the DEF uncertainty and formulate recommendations for experiments.</w:t>
      </w:r>
    </w:p>
    <w:p>
      <w:pPr>
        <w:pStyle w:val="FirstParagraph"/>
      </w:pPr>
      <w:r>
        <w:rPr>
          <w:bCs/>
          <w:b/>
        </w:rPr>
        <w:t xml:space="preserve">Object of the research.</w:t>
      </w:r>
      <w:r>
        <w:t xml:space="preserve"> </w:t>
      </w:r>
      <w:r>
        <w:t xml:space="preserve">The object is the x-ray radiation of a 45 kV copper-anode tube and its interaction with soft tissue containing silver.</w:t>
      </w:r>
    </w:p>
    <w:p>
      <w:pPr>
        <w:pStyle w:val="BodyText"/>
      </w:pPr>
      <w:r>
        <w:rPr>
          <w:bCs/>
          <w:b/>
        </w:rPr>
        <w:t xml:space="preserve">Subject of the research.</w:t>
      </w:r>
      <w:r>
        <w:t xml:space="preserve"> </w:t>
      </w:r>
      <w:r>
        <w:t xml:space="preserve">The subject is the formation of the spectrum,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Gryzinski K-shell cross-section [53–57], with SpekPy v2.5.4 as the reference [58]. Interaction data are from the NIST tables [59] and xraylib [60], with ICRU-44 soft tissue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of the work is as follows:</w:t>
      </w:r>
    </w:p>
    <w:p>
      <w:pPr>
        <w:numPr>
          <w:ilvl w:val="0"/>
          <w:numId w:val="1002"/>
        </w:numPr>
        <w:pStyle w:val="Compact"/>
      </w:pPr>
      <w:r>
        <w:t xml:space="preserve">A semi-analytical spectrum model of a reflection-type copper-anode tube has been developed with a single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the dose is dominated by the Cu K lines and soft bremsstrahlung.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37 % (oxygen at 30 keV), which would overestimate the DEF (1.72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m:oMath>
        <m:sSup>
          <m:e>
            <m:r>
              <m:t>​</m:t>
            </m:r>
          </m:e>
          <m:sup>
            <m:r>
              <m:t>2</m:t>
            </m:r>
          </m:sup>
        </m:sSup>
      </m:oMath>
      <w:r>
        <w:t xml:space="preserve">/g) [69], and the DM reproduces the SpekPy HVL for a tungsten anode at 50–100 kV within 6 %. The MC energy-transfer coefficients reproduce the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89 pages, 23 figures, 17 tables and 121 references. Chapter 1 reviews the literature, Chapter 2 presents the methods and Chapter 3 the results and their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Cancer is a major cause of morbidity and mortality worldwide [1], and radiotherapy (RT) is one of its principal treatment modalities [4], with an evidence-based optimal utilisation rate of approximately 52 % [2]. RT damages cellular DNA directly through secondary electrons or indirectly through the free radicals of water radiolysis [3], but because energy deposition is not selective, the healthy tissues traversed by the beam are damaged as well and limit the tumour dose [3, 4].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within the same beam region. Radiosensitizers, which increase the effect of radiation on tumour cells more than on normal cells, include oxygen mimetics such as the nitroimidazoles [5] and transition-metal compounds (platinum, gold, ruthenium) that combine chemical and biological activity with heavy atoms [6]. High-Z elements act by an essentially physical principle: concentrated in the tumour, they absorb more photon energy per unit mass than soft tissue, raising the tumour dose while the dose to element-free surrounding tissue remains practically unchanged [7, 9]. The gain is expressed by the dose enhancement factor (DEF), the ratio of the absorbed doses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of an agent therefore cannot be stated without the x-ray spectrum, which depends on the tube design and filtration; the present work addresses this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and</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the mass coefficients (cm²/g) of photoelectric absorption, coherent and incoherent scattering. For mixtures such as soft tissue the elemental coefficients are weighted by mass fractions [62], using data tabulated by the National Institute of Standards and Technology (NIST)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reduces the Klein–Nishina cross-section at low energies and small angles, as described by the incoherent scattering function</w:t>
      </w:r>
      <w:r>
        <w:t xml:space="preserve"> </w:t>
      </w:r>
      <m:oMath>
        <m:r>
          <m:t>S</m:t>
        </m:r>
        <m:d>
          <m:dPr>
            <m:begChr m:val="("/>
            <m:endChr m:val=")"/>
            <m:sepChr m:val=""/>
            <m:grow/>
          </m:dPr>
          <m:e>
            <m:r>
              <m:t>x</m:t>
            </m:r>
            <m:r>
              <m:rPr>
                <m:sty m:val="p"/>
              </m:rPr>
              <m:t>,</m:t>
            </m:r>
            <m:r>
              <m:t>Z</m:t>
            </m:r>
          </m:e>
        </m:d>
      </m:oMath>
      <w:r>
        <w:t xml:space="preserve"> </w:t>
      </w:r>
      <w:r>
        <w:t xml:space="preserve">(</w:t>
      </w:r>
      <m:oMath>
        <m:r>
          <m:t>x</m:t>
        </m:r>
      </m:oMath>
      <w:r>
        <w:t xml:space="preserve"> </w:t>
      </w:r>
      <w:r>
        <w:t xml:space="preserve">is the momentum-transfer variable); Rayleigh scattering only deflects the photon and is described by the atomic form factor</w:t>
      </w:r>
      <w:r>
        <w:t xml:space="preserve"> </w:t>
      </w:r>
      <m:oMath>
        <m:r>
          <m:t>F</m:t>
        </m:r>
        <m:d>
          <m:dPr>
            <m:begChr m:val="("/>
            <m:endChr m:val=")"/>
            <m:sepChr m:val=""/>
            <m:grow/>
          </m:dPr>
          <m:e>
            <m:r>
              <m:t>x</m:t>
            </m:r>
            <m:r>
              <m:rPr>
                <m:sty m:val="p"/>
              </m:rPr>
              <m:t>,</m:t>
            </m:r>
            <m:r>
              <m:t>Z</m:t>
            </m:r>
          </m:e>
        </m:d>
      </m:oMath>
      <w:r>
        <w:t xml:space="preserve"> </w:t>
      </w:r>
      <w:r>
        <w:t xml:space="preserve">[64]. In soft tissue incoherent scattering overtakes photoabsorption in the upper part of the range, whereas in silver photoabsorption dominates throughout [8, 72]. The mass energy-absorption coefficient counts only the energy transferred to charged particles and not re-emitted as bremsstrahlung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d>
                  <m:dPr>
                    <m:begChr m:val="("/>
                    <m:endChr m:val=")"/>
                    <m:sepChr m:val=""/>
                    <m:grow/>
                  </m:dPr>
                  <m:e>
                    <m:r>
                      <m:t>1</m:t>
                    </m:r>
                    <m:r>
                      <m:rPr>
                        <m:sty m:val="p"/>
                      </m:rPr>
                      <m:t>−</m:t>
                    </m:r>
                    <m:acc>
                      <m:accPr>
                        <m:chr m:val="‾"/>
                      </m:accPr>
                      <m:e>
                        <m:r>
                          <m:t>g</m:t>
                        </m:r>
                      </m:e>
                    </m:acc>
                  </m:e>
                </m:d>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sty m:val="p"/>
              </m:rPr>
              <m:t>i</m:t>
            </m:r>
            <m:r>
              <m:rPr>
                <m:sty m:val="p"/>
              </m:rPr>
              <m:t>n</m:t>
            </m:r>
            <m:r>
              <m:rPr>
                <m:sty m:val="p"/>
              </m:rPr>
              <m:t>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 The NIST</w:t>
      </w:r>
      <w:r>
        <w:t xml:space="preserve"> </w:t>
      </w:r>
      <m:oMath>
        <m:sSub>
          <m:e>
            <m:r>
              <m:t>μ</m:t>
            </m:r>
          </m:e>
          <m:sub>
            <m:r>
              <m:t>e</m:t>
            </m:r>
            <m:r>
              <m:t>n</m:t>
            </m:r>
          </m:sub>
        </m:sSub>
        <m:r>
          <m:rPr>
            <m:sty m:val="p"/>
          </m:rPr>
          <m:t>/</m:t>
        </m:r>
        <m:r>
          <m:t>ρ</m:t>
        </m:r>
      </m:oMath>
      <w:r>
        <w:t xml:space="preserve"> </w:t>
      </w:r>
      <w:r>
        <w:t xml:space="preserve">values used in this work are based on Seltzer’s calculations [59, 75].</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sty m:val="p"/>
              </m:rPr>
              <m:t>c</m:t>
            </m:r>
            <m:r>
              <m:rPr>
                <m:sty m:val="p"/>
              </m:rPr>
              <m:t>o</m:t>
            </m:r>
            <m:r>
              <m:rPr>
                <m:sty m:val="p"/>
              </m:rPr>
              <m:t>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coefficients of silver and ICRU-44 soft tissue [61] from the NIST tables [59].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21.0 at 8 keV to 31.8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8.54 to 20.3 cm²/g). The reason is K-shell fluorescence: the energy of the K x-rays emitted after most K-shell photoabsorptions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5219999" cy="3102243"/>
            <wp:effectExtent b="0" l="0" r="0" t="0"/>
            <wp:docPr descr="Fig. 1.1. Mass attenuation (solid) and mass energy-absorption (dashed) coefficients of silver and ICRU-44 soft tissue at 1–50 keV (NIST data). The vertical dashed line marks the Ag K-edge at 25.51 keV; the arrow marks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5219999" cy="3102243"/>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marks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102.7 at 30 keV, 120.0 at 35 keV and a maximum of about 139 at 40–45 keV. The fraction of the energy fluence above the Ag K-edge is thus the key beam characteristic for silver, and its determination for a copper-anode tube is a central task of this work.</w:t>
      </w:r>
    </w:p>
    <w:p>
      <w:pPr>
        <w:pStyle w:val="Heading2"/>
      </w:pPr>
      <w:r>
        <w:t xml:space="preserve">1.3. High-Z radiosensitizers: from iodine contrast to metal nanoparticles</w:t>
      </w:r>
    </w:p>
    <w:p>
      <w:pPr>
        <w:pStyle w:val="FirstParagraph"/>
      </w:pPr>
      <w:r>
        <w:t xml:space="preserve">Spiers first analysed how the increased energy absorption of bone and the secondary-electron ranges determine the dose to soft tissue in and near bone [18], and Das and Chopra quantified the backscatter dose perturbation at tissue–high-Z interfaces in kilovoltage beams [78]. The first systematic studies used iodinated contrast media, which sensitized cultured mammalian cells to x-rays but not to gamma rays [79], pointing to photoabsorption by iodine. Dose enhancement in iodine-loaded tumours was calculated for kilovoltage x-rays [19] and for brain-tumour therapy [20], and a computed tomography scanner modified for therapy (CTRx)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w:t>
      </w:r>
    </w:p>
    <w:p>
      <w:pPr>
        <w:pStyle w:val="BodyText"/>
      </w:pPr>
      <w:r>
        <w:t xml:space="preserve">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iododeoxyuridine, bromodeoxyuridine, platinum salts and gadolinium porphyrins [85]; when the heavy atom lies in or near DNA, short-range Auger electrons deposit their energy at this critical target. The subcellular location of the high-Z atom therefore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kilovoltage [23], orthovoltage and superficial [87] and monoenergetic synchrotron beams [88]; uptake and radiosensitization depend on particle size [22], and experiments with DNA identified photon energy, size and concentration as the governing parameters [89]. Reviews [90–94] and a roadmap to clinical use [28] summarise these results.</w:t>
      </w:r>
    </w:p>
    <w:p>
      <w:pPr>
        <w:pStyle w:val="BodyText"/>
      </w:pPr>
      <w:r>
        <w:t xml:space="preserve">The physics has been studied mainly by MC simulation: following the first estimate of the macroscopic enhancement [10], the tumour-selective enhancement was quantified for various photon sources [24] and therapeutic beams [95], and kilovoltage energies proved optimal for AuNP-enhanced arc therapy [96]. Radiosensitization depends on the photon energy and on nanoparticle size, concentration and location [97]; microscopically, the enhancement is highly localised [30], and the spatial distribution of the secondary electrons was characterised with Geant4 [25]. This strong energy dependence makes a reliable incident spectrum a prerequisite of any dose-enhancement calculation.</w:t>
      </w:r>
    </w:p>
    <w:p>
      <w:pPr>
        <w:pStyle w:val="BodyText"/>
      </w:pPr>
      <w:r>
        <w:t xml:space="preserve">The biological effect, however, is not explained by the mean dose increase alone. Radio-enhancement comprises a physical stage (additional photon absorption; emission of photoelectrons, Auger electrons and fluorescence), a chemical stage (additional production of reactive oxygen species, ROS) and a biological stage (oxidative stress, cell-cycle perturbation, inhibition of DNA repair) [7, 26, 27, 98]. With a local effect model, McMahon et al. showed that the highly inhomogeneous nanoscale energy deposition near heavy-atom nanoparticles can explain effects exceeding the macroscopic dose enhancement [31], so the sensitizer enhancement ratio (SER) measured in cells may exceed the macroscopic DEF, which nevertheless remains the baseline for separating the physical contribution from the chemical and biological ones.</w:t>
      </w:r>
    </w:p>
    <w:p>
      <w:pPr>
        <w:pStyle w:val="BodyText"/>
      </w:pPr>
      <w:r>
        <w:t xml:space="preserve">Although gold dominates the literature, the best element is not obvious and has been sought through kerma-based comparisons over photon energy [13] and physical modelling [29]. In the kerma approximation the comparison reduces to the ratio</w:t>
      </w:r>
      <w:r>
        <w:t xml:space="preserve"> </w:t>
      </w:r>
      <m:oMath>
        <m:r>
          <m:t>R</m:t>
        </m:r>
        <m:d>
          <m:dPr>
            <m:begChr m:val="("/>
            <m:endChr m:val=")"/>
            <m:sepChr m:val=""/>
            <m:grow/>
          </m:dPr>
          <m:e>
            <m:r>
              <m:t>E</m:t>
            </m:r>
          </m:e>
        </m:d>
      </m:oMath>
      <w:r>
        <w:t xml:space="preserve"> </w:t>
      </w:r>
      <w:r>
        <w:t xml:space="preserve">of the mass energy-absorption coefficient of the element to that of tissue, since tissue containing a mass fraction</w:t>
      </w:r>
      <w:r>
        <w:t xml:space="preserve"> </w:t>
      </w:r>
      <m:oMath>
        <m:r>
          <m:t>w</m:t>
        </m:r>
      </m:oMath>
      <w:r>
        <w:t xml:space="preserve"> </w:t>
      </w:r>
      <w:r>
        <w:t xml:space="preserve">of the element and irradiated by monoenergetic photons of energy</w:t>
      </w:r>
      <w:r>
        <w:t xml:space="preserve"> </w:t>
      </w:r>
      <m:oMath>
        <m:r>
          <m:t>E</m:t>
        </m:r>
      </m:oMath>
      <w:r>
        <w:t xml:space="preserve"> </w:t>
      </w:r>
      <w:r>
        <w:t xml:space="preserve">has a DEF of</w:t>
      </w:r>
      <w:r>
        <w:t xml:space="preserve"> </w:t>
      </w:r>
      <m:oMath>
        <m:r>
          <m:t>1</m:t>
        </m:r>
        <m:r>
          <m:rPr>
            <m:sty m:val="p"/>
          </m:rPr>
          <m:t>+</m:t>
        </m:r>
        <m:r>
          <m:t>w</m:t>
        </m:r>
        <m:r>
          <m:t> </m:t>
        </m:r>
        <m:d>
          <m:dPr>
            <m:begChr m:val="["/>
            <m:endChr m:val="]"/>
            <m:sepChr m:val=""/>
            <m:grow/>
          </m:dPr>
          <m:e>
            <m:r>
              <m:t>R</m:t>
            </m:r>
            <m:d>
              <m:dPr>
                <m:begChr m:val="("/>
                <m:endChr m:val=")"/>
                <m:sepChr m:val=""/>
                <m:grow/>
              </m:dPr>
              <m:e>
                <m:r>
                  <m:t>E</m:t>
                </m:r>
              </m:e>
            </m:d>
            <m:r>
              <m:rPr>
                <m:sty m:val="p"/>
              </m:rPr>
              <m:t>−</m:t>
            </m:r>
            <m:r>
              <m:t>1</m:t>
            </m:r>
          </m:e>
        </m:d>
      </m:oMath>
      <w:r>
        <w:t xml:space="preserve"> </w:t>
      </w:r>
      <w:r>
        <w:t xml:space="preserve">(Section 2.6). Fig. 1.2 shows</w:t>
      </w:r>
      <w:r>
        <w:t xml:space="preserve"> </w:t>
      </w:r>
      <m:oMath>
        <m:r>
          <m:t>R</m:t>
        </m:r>
        <m:d>
          <m:dPr>
            <m:begChr m:val="("/>
            <m:endChr m:val=")"/>
            <m:sepChr m:val=""/>
            <m:grow/>
          </m:dPr>
          <m:e>
            <m:r>
              <m:t>E</m:t>
            </m:r>
          </m:e>
        </m:d>
      </m:oMath>
      <w:r>
        <w:t xml:space="preserve"> </w:t>
      </w:r>
      <w:r>
        <w:t xml:space="preserve">for Ag, I, Gd, Pt, Au and Bi at 5–45 keV, covering practically the whole spectrum of the 45 kV tube.</w:t>
      </w:r>
    </w:p>
    <w:p>
      <w:pPr>
        <w:pStyle w:val="CaptionedFigure"/>
      </w:pPr>
      <w:r>
        <w:drawing>
          <wp:inline>
            <wp:extent cx="5219999" cy="3077486"/>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5219999" cy="3077486"/>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the iodine K-edge at 33.169 keV.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and gadolinium only above its K-edge,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 The arguments that nevertheless favour silver are reviewed in Section 1.4.</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inside the spectra of x-ray tubes operated at a few tens of kilovolts.</w:t>
      </w:r>
    </w:p>
    <w:p>
      <w:pPr>
        <w:pStyle w:val="BodyText"/>
      </w:pPr>
      <w:r>
        <w:t xml:space="preserve">The biological activity of AgNPs is linked to their toxicity: they are cytotoxic and genotoxic in human cells, inducing ROS, DNA damage and cell-cycle arrest with mitochondrial involvement [37]. Such effects belong to the chemical and biological stages of radio-enhancement (Section 1.3), in which ROS, oxidative stress and inhibited DNA repair amplify the physical damage [7, 98], so AgNPs may sensitize cells beyond their physical dose enhancement. Their cytotoxicity, however, makes selective tumour accumulation a prerequisite of therapy, and the effect of tumour dose enhancement on healthy tissues must be assessed [39].</w:t>
      </w:r>
    </w:p>
    <w:p>
      <w:pPr>
        <w:pStyle w:val="BodyText"/>
      </w:pPr>
      <w:r>
        <w:t xml:space="preserve">Experimental evidence is summarised in Table 1.1. Since the early report by Xu et al. [32], glioma has been the most studied model [11, 12, 33, 34], including hypoxic cells, which are less radiosensitive because of the oxygen effect [3]; breast [35] and colorectal [36] cancers have also been used. The studies differ in particles, coatings, biological models and irradiation conditions and cannot be compared quantitatively. Moreover,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PEG and AS1411 coating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have addressed AgNPs in a brain tumour during brachytherapy [38], the effect on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of about 22 keV, whose mean free path of about 1.5 cm in soft tissue carries this energy away. The ratio of the mass energy-absorption coefficients of silver and ICRU-44 soft tissue is 21–32 between 8 keV and the K-edge but 76–139 between the edge and 45 keV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the four groups of methods are compared in Table 1.2. The empirical model TASMIP (tungsten anode spectral model using interpolating polynomials) interpolates measured tungsten-anode spectra from 30 to 140 kV [43], and spektr 3.0 is based on the TASMICS model [102]. Such models are fast and accurate within their data range but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d>
          <m:dPr>
            <m:begChr m:val="("/>
            <m:endChr m:val=")"/>
            <m:sepChr m:val=""/>
            <m:grow/>
          </m:dPr>
          <m:e>
            <m:sSub>
              <m:e>
                <m:r>
                  <m:t>T</m:t>
                </m:r>
              </m:e>
              <m:sub>
                <m:r>
                  <m:t>0</m:t>
                </m:r>
              </m:sub>
            </m:sSub>
            <m:r>
              <m:rPr>
                <m:sty m:val="p"/>
              </m:rPr>
              <m:t>−</m:t>
            </m:r>
            <m:r>
              <m:t>E</m:t>
            </m:r>
          </m:e>
        </m:d>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fitting some parameters to experiment; they are cheap and show the dependence on voltage, anode angle and filtration explicitly, but their accuracy is limited by the simplified physics and their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 Such models are fast and physically founded but limited to the anodes and voltages with precomputed transport data.</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However, it needs detailed geometric data and long computation times,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The calculated spectrum must be related to measurable quantities. In kilovoltage dosimetry, beam quality is specified by the HVL together with the tube voltage [110], as in the protocol of the American Association of Physicists in Medicine for 40–300 kV beams (AAPM TG-61) [14], the IAEA TRS-398 code of practice [70] and the standard radiation qualities of the International Electrotechnical Commission (IEC 61267) [111]. The HVL is thus the natural quantity for comparing models with each other and with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(XRD),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which combines the Bethe collision stopping power in the continuous slowing-down approximation (CSDA) [53, 68], the non-relativistic Bethe–Heitler bremsstrahlung cross-section with the Elwert factor [54–56] and the Gryzinski K-shell ionisation cross-section [57], with one adjustable parameter, the electron depth factor (Chapter 2). All dependences on tube parameters remain explicit, and SpekPy v2 serves as the validation reference.</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are well developed for tungsten anodes but much less so for the full spectrum of copper-anode tubes.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describes the semi-analytical spectrum model of this work, the developed model (DM), and the methods for calculating the dose enhancement factor (DEF) and verifying it by Monte Carlo (MC) simulation. Formulas are given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emitted by the heated cathode are focused onto the focal spot of the anode,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product of tube current and exposure time (mAs), whereas the spectral shape does not depend on the current, so all spectra are normalised to 1 mAs. In the modelled reflection-target tube (Fig. 2.1), the beam leaves through the face of the thick anode on which the electrons are incident. The anode angle</w:t>
      </w:r>
      <w:r>
        <w:t xml:space="preserve"> </w:t>
      </w:r>
      <m:oMath>
        <m:r>
          <m:t>θ</m:t>
        </m:r>
      </m:oMath>
      <w:r>
        <w:t xml:space="preserve"> </w:t>
      </w:r>
      <w:r>
        <w:t xml:space="preserve">lies between the anode surface and the central ray, which is perpendicular to the electron beam, so the electrons are incident at</w:t>
      </w:r>
      <w:r>
        <w:t xml:space="preserve"> </w:t>
      </w:r>
      <m:oMath>
        <m:r>
          <m:t>θ</m:t>
        </m:r>
      </m:oMath>
      <w:r>
        <w:t xml:space="preserve"> </w:t>
      </w:r>
      <w:r>
        <w:t xml:space="preserve">to the surface normal and the central-ray photons leave at the take-off angle</w:t>
      </w:r>
      <w:r>
        <w:t xml:space="preserve"> </w:t>
      </w:r>
      <m:oMath>
        <m:r>
          <m:t>θ</m:t>
        </m:r>
      </m:oMath>
      <w:r>
        <w:t xml:space="preserv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the self-absorption in the anode form the inherent filtration, and added metal filters remove the soft part of the spectrum and harden the beam [17] before the photons cross an air gap to the sample at the focus–sample distance</w:t>
      </w:r>
      <w:r>
        <w:t xml:space="preserve"> </w:t>
      </w:r>
      <m:oMath>
        <m:r>
          <m:t>r</m:t>
        </m:r>
      </m:oMath>
      <w:r>
        <w:t xml:space="preserve"> </w:t>
      </w:r>
      <w:r>
        <w:t xml:space="preserve">(labelled d in Fig. 2.1).</w:t>
      </w:r>
    </w:p>
    <w:p>
      <w:pPr>
        <w:pStyle w:val="CaptionedFigure"/>
      </w:pPr>
      <w:r>
        <w:drawing>
          <wp:inline>
            <wp:extent cx="5219999" cy="2747368"/>
            <wp:effectExtent b="0" l="0" r="0" t="0"/>
            <wp:docPr descr="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5219999" cy="2747368"/>
                    </a:xfrm>
                    <a:prstGeom prst="rect">
                      <a:avLst/>
                    </a:prstGeom>
                    <a:noFill/>
                    <a:ln w="9525">
                      <a:noFill/>
                      <a:headEnd/>
                      <a:tailEnd/>
                    </a:ln>
                  </pic:spPr>
                </pic:pic>
              </a:graphicData>
            </a:graphic>
          </wp:inline>
        </w:drawing>
      </w:r>
    </w:p>
    <w:p>
      <w:pPr>
        <w:pStyle w:val="ImageCaption"/>
      </w:pPr>
      <w:r>
        <w:t xml:space="preserve">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w:t>
      </w:r>
    </w:p>
    <w:p>
      <w:pPr>
        <w:pStyle w:val="BodyText"/>
      </w:pPr>
      <w:r>
        <w:t xml:space="preserve">Copper-anode tubes are standard sources for x-ray diffraction, which uses the intense Cu Kα line and suppresses the Kβ line with a nickel filter whose K-edge lies between the two lines [52]. For irradiations with silver, however, the useful photons lie above the Ag K-edge at 25.514 keV (Section 1.4), in the continuum that is merely a background in diffraction,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54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ICRU Report 37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d>
                      <m:dPr>
                        <m:begChr m:val="("/>
                        <m:endChr m:val=")"/>
                        <m:sepChr m:val=""/>
                        <m:grow/>
                      </m:dPr>
                      <m:e>
                        <m:r>
                          <m:t>T</m:t>
                        </m:r>
                      </m:e>
                    </m:d>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d>
                          <m:dPr>
                            <m:begChr m:val="("/>
                            <m:endChr m:val=")"/>
                            <m:sepChr m:val=""/>
                            <m:grow/>
                          </m:dPr>
                          <m:e>
                            <m:r>
                              <m:t>τ</m:t>
                            </m:r>
                            <m:r>
                              <m:rPr>
                                <m:sty m:val="p"/>
                              </m:rPr>
                              <m:t>+</m:t>
                            </m:r>
                            <m:r>
                              <m:t>2</m:t>
                            </m:r>
                          </m:e>
                        </m:d>
                      </m:num>
                      <m:den>
                        <m:r>
                          <m:t>2</m:t>
                        </m:r>
                        <m:r>
                          <m:t> </m:t>
                        </m:r>
                        <m:sSup>
                          <m:e>
                            <m:d>
                              <m:dPr>
                                <m:begChr m:val="("/>
                                <m:endChr m:val=")"/>
                                <m:sepChr m:val=""/>
                                <m:grow/>
                              </m:dPr>
                              <m:e>
                                <m:r>
                                  <m:t>I</m:t>
                                </m:r>
                                <m:r>
                                  <m:rPr>
                                    <m:sty m:val="p"/>
                                  </m:rPr>
                                  <m:t>/</m:t>
                                </m:r>
                                <m:sSub>
                                  <m:e>
                                    <m:r>
                                      <m:t>m</m:t>
                                    </m:r>
                                  </m:e>
                                  <m:sub>
                                    <m:r>
                                      <m:t>e</m:t>
                                    </m:r>
                                  </m:sub>
                                </m:sSub>
                                <m:sSup>
                                  <m:e>
                                    <m:r>
                                      <m:t>c</m:t>
                                    </m:r>
                                  </m:e>
                                  <m:sup>
                                    <m:r>
                                      <m:t>2</m:t>
                                    </m:r>
                                  </m:sup>
                                </m:sSup>
                              </m:e>
                            </m:d>
                          </m:e>
                          <m:sup>
                            <m:r>
                              <m:t>2</m:t>
                            </m:r>
                          </m:sup>
                        </m:sSup>
                      </m:den>
                    </m:f>
                    <m:r>
                      <m:rPr>
                        <m:sty m:val="p"/>
                      </m:rPr>
                      <m:t>+</m:t>
                    </m:r>
                    <m:sSup>
                      <m:e>
                        <m:r>
                          <m:t>F</m:t>
                        </m:r>
                      </m:e>
                      <m:sup>
                        <m:r>
                          <m:rPr>
                            <m:sty m:val="p"/>
                          </m:rPr>
                          <m:t>−</m:t>
                        </m:r>
                      </m:sup>
                    </m:sSup>
                    <m:d>
                      <m:dPr>
                        <m:begChr m:val="("/>
                        <m:endChr m:val=")"/>
                        <m:sepChr m:val=""/>
                        <m:grow/>
                      </m:dPr>
                      <m:e>
                        <m:r>
                          <m:t>τ</m:t>
                        </m:r>
                      </m:e>
                    </m:d>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d>
          <m:dPr>
            <m:begChr m:val="("/>
            <m:endChr m:val=")"/>
            <m:sepChr m:val=""/>
            <m:grow/>
          </m:dPr>
          <m:e>
            <m:r>
              <m:t>T</m:t>
            </m:r>
          </m:e>
        </m:d>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d>
              <m:dPr>
                <m:begChr m:val="("/>
                <m:endChr m:val=")"/>
                <m:sepChr m:val=""/>
                <m:grow/>
              </m:dPr>
              <m:e>
                <m:r>
                  <m:t>1</m:t>
                </m:r>
                <m:r>
                  <m:rPr>
                    <m:sty m:val="p"/>
                  </m:rPr>
                  <m:t>+</m:t>
                </m:r>
                <m:r>
                  <m:t>τ</m:t>
                </m:r>
              </m:e>
            </m:d>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d>
          <m:dPr>
            <m:begChr m:val="("/>
            <m:endChr m:val=")"/>
            <m:sepChr m:val=""/>
            <m:grow/>
          </m:dPr>
          <m:e>
            <m:r>
              <m:t>τ</m:t>
            </m:r>
          </m:e>
        </m:d>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d>
                  <m:dPr>
                    <m:begChr m:val="("/>
                    <m:endChr m:val=")"/>
                    <m:sepChr m:val=""/>
                    <m:grow/>
                  </m:dPr>
                  <m:e>
                    <m:r>
                      <m:t>τ</m:t>
                    </m:r>
                  </m:e>
                </m:d>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d>
                      <m:dPr>
                        <m:begChr m:val="("/>
                        <m:endChr m:val=")"/>
                        <m:sepChr m:val=""/>
                        <m:grow/>
                      </m:dPr>
                      <m:e>
                        <m:r>
                          <m:t>2</m:t>
                        </m:r>
                        <m:r>
                          <m:t>τ</m:t>
                        </m:r>
                        <m:r>
                          <m:rPr>
                            <m:sty m:val="p"/>
                          </m:rPr>
                          <m:t>+</m:t>
                        </m:r>
                        <m:r>
                          <m:t>1</m:t>
                        </m:r>
                      </m:e>
                    </m:d>
                    <m:r>
                      <m:rPr>
                        <m:sty m:val="p"/>
                      </m:rPr>
                      <m:t>ln</m:t>
                    </m:r>
                    <m:r>
                      <m:t>2</m:t>
                    </m:r>
                  </m:num>
                  <m:den>
                    <m:sSup>
                      <m:e>
                        <m:d>
                          <m:dPr>
                            <m:begChr m:val="("/>
                            <m:endChr m:val=")"/>
                            <m:sepChr m:val=""/>
                            <m:grow/>
                          </m:dPr>
                          <m:e>
                            <m:r>
                              <m:t>τ</m:t>
                            </m:r>
                            <m:r>
                              <m:rPr>
                                <m:sty m:val="p"/>
                              </m:rPr>
                              <m:t>+</m:t>
                            </m:r>
                            <m:r>
                              <m:t>1</m:t>
                            </m:r>
                          </m:e>
                        </m:d>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NIST ESTAR stopping power [69] (Section 2.8). The path length travelled while slowing down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d>
                  <m:dPr>
                    <m:begChr m:val="("/>
                    <m:endChr m:val=")"/>
                    <m:sepChr m:val=""/>
                    <m:grow/>
                  </m:dPr>
                  <m:e>
                    <m:r>
                      <m:t>T</m:t>
                    </m:r>
                  </m:e>
                </m:d>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d>
                          <m:dPr>
                            <m:begChr m:val="("/>
                            <m:endChr m:val=")"/>
                            <m:sepChr m:val=""/>
                            <m:grow/>
                          </m:dPr>
                          <m:e>
                            <m:r>
                              <m:t>T</m:t>
                            </m:r>
                            <m:r>
                              <m:rPr>
                                <m:sty m:val="p"/>
                              </m:rPr>
                              <m:t>′</m:t>
                            </m:r>
                          </m:e>
                        </m:d>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variable of integration. Evaluated by the trapezoidal rule (step 0.02 keV) down to</w:t>
      </w:r>
      <w:r>
        <w:t xml:space="preserve"> </w:t>
      </w:r>
      <m:oMath>
        <m:sSub>
          <m:e>
            <m:r>
              <m:t>T</m:t>
            </m:r>
          </m:e>
          <m:sub>
            <m:r>
              <m:rPr>
                <m:sty m:val="p"/>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Because multiple elastic scattering makes the electrons diffuse into the target, the CSDA path is not the depth at which the photons are produced.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d>
                  <m:dPr>
                    <m:begChr m:val="("/>
                    <m:endChr m:val=")"/>
                    <m:sepChr m:val=""/>
                    <m:grow/>
                  </m:dPr>
                  <m:e>
                    <m:r>
                      <m:t>T</m:t>
                    </m:r>
                  </m:e>
                </m:d>
                <m:r>
                  <m:rPr>
                    <m:sty m:val="p"/>
                  </m:rPr>
                  <m:t>=</m:t>
                </m:r>
                <m:r>
                  <m:t>η</m:t>
                </m:r>
                <m:r>
                  <m:t> </m:t>
                </m:r>
                <m:r>
                  <m:t>s</m:t>
                </m:r>
                <m:d>
                  <m:dPr>
                    <m:begChr m:val="("/>
                    <m:endChr m:val=")"/>
                    <m:sepChr m:val=""/>
                    <m:grow/>
                  </m:dPr>
                  <m:e>
                    <m:r>
                      <m:t>T</m:t>
                    </m:r>
                  </m:e>
                </m:d>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d>
          <m:dPr>
            <m:begChr m:val="("/>
            <m:endChr m:val=")"/>
            <m:sepChr m:val=""/>
            <m:grow/>
          </m:dPr>
          <m:e>
            <m:r>
              <m:t>T</m:t>
            </m:r>
          </m:e>
        </m:d>
      </m:oMath>
      <w:r>
        <w:t xml:space="preserve"> </w:t>
      </w:r>
      <w:r>
        <w:t xml:space="preserve">is the depth below the anode surface,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equals the angle of incidence measured from the normal.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which contributes to the overestimate of the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5219999" cy="2284470"/>
            <wp:effectExtent b="0" l="0" r="0" t="0"/>
            <wp:docPr descr="Fig. 2.2. Electron slowing-down and K-shell ionisation in the copper anode: (a) Bethe collision stopping power (solid, left axis) and projected depth at which a 45 keV electron has slowed down to the energy T, for η = 0.4 and θ = 12° (dashed, right axis); (b) Gryziński K-shell ionisation cross-section of copper."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5219999" cy="228447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the energy T, for η = 0.4 and θ = 12° (dashed, right axis); (b) Gryziński K-shell ionisation cross-section of copper.</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d>
          <m:dPr>
            <m:begChr m:val="("/>
            <m:endChr m:val=")"/>
            <m:sepChr m:val=""/>
            <m:grow/>
          </m:dPr>
          <m:e>
            <m:sSub>
              <m:e>
                <m:r>
                  <m:t>T</m:t>
                </m:r>
              </m:e>
              <m:sub>
                <m:r>
                  <m:t>0</m:t>
                </m:r>
              </m:sub>
            </m:sSub>
            <m:r>
              <m:rPr>
                <m:sty m:val="p"/>
              </m:rPr>
              <m:t>−</m:t>
            </m:r>
            <m:r>
              <m:t>E</m:t>
            </m:r>
          </m:e>
        </m:d>
      </m:oMath>
      <w:r>
        <w:t xml:space="preserve">. The DM keeps this cross-section only as an option and by default uses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d>
              <m:dPr>
                <m:begChr m:val="("/>
                <m:endChr m:val=")"/>
                <m:sepChr m:val=""/>
                <m:grow/>
              </m:dPr>
              <m:e>
                <m:r>
                  <m:t>T</m:t>
                </m:r>
                <m:r>
                  <m:rPr>
                    <m:sty m:val="p"/>
                  </m:rPr>
                  <m:t>+</m:t>
                </m:r>
                <m:r>
                  <m:t>2</m:t>
                </m:r>
                <m:sSub>
                  <m:e>
                    <m:r>
                      <m:t>m</m:t>
                    </m:r>
                  </m:e>
                  <m:sub>
                    <m:r>
                      <m:t>e</m:t>
                    </m:r>
                  </m:sub>
                </m:sSub>
                <m:sSup>
                  <m:e>
                    <m:r>
                      <m:t>c</m:t>
                    </m:r>
                  </m:e>
                  <m:sup>
                    <m:r>
                      <m:t>2</m:t>
                    </m:r>
                  </m:sup>
                </m:sSup>
              </m:e>
            </m:d>
          </m:e>
        </m:rad>
      </m:oMath>
      <w:r>
        <w:t xml:space="preserve"> </w:t>
      </w:r>
      <w:r>
        <w:t xml:space="preserve">and</w:t>
      </w:r>
      <w:r>
        <w:t xml:space="preserve"> </w:t>
      </w:r>
      <m:oMath>
        <m:r>
          <m:t>p</m:t>
        </m:r>
        <m:r>
          <m:t>c</m:t>
        </m:r>
        <m:r>
          <m:rPr>
            <m:sty m:val="p"/>
          </m:rPr>
          <m:t>=</m:t>
        </m:r>
        <m:rad>
          <m:radPr>
            <m:degHide m:val="on"/>
          </m:radPr>
          <m:deg/>
          <m:e>
            <m:d>
              <m:dPr>
                <m:begChr m:val="("/>
                <m:endChr m:val=")"/>
                <m:sepChr m:val=""/>
                <m:grow/>
              </m:dPr>
              <m:e>
                <m:r>
                  <m:t>T</m:t>
                </m:r>
                <m:r>
                  <m:rPr>
                    <m:sty m:val="p"/>
                  </m:rPr>
                  <m:t>−</m:t>
                </m:r>
                <m:r>
                  <m:t>E</m:t>
                </m:r>
              </m:e>
            </m:d>
            <m:d>
              <m:dPr>
                <m:begChr m:val="("/>
                <m:endChr m:val=")"/>
                <m:sepChr m:val=""/>
                <m:grow/>
              </m:dPr>
              <m:e>
                <m:r>
                  <m:t>T</m:t>
                </m:r>
                <m:r>
                  <m:rPr>
                    <m:sty m:val="p"/>
                  </m:rPr>
                  <m:t>−</m:t>
                </m:r>
                <m:r>
                  <m:t>E</m:t>
                </m:r>
                <m:r>
                  <m:rPr>
                    <m:sty m:val="p"/>
                  </m:rPr>
                  <m:t>+</m:t>
                </m:r>
                <m:r>
                  <m:t>2</m:t>
                </m:r>
                <m:sSub>
                  <m:e>
                    <m:r>
                      <m:t>m</m:t>
                    </m:r>
                  </m:e>
                  <m:sub>
                    <m:r>
                      <m:t>e</m:t>
                    </m:r>
                  </m:sub>
                </m:sSub>
                <m:sSup>
                  <m:e>
                    <m:r>
                      <m:t>c</m:t>
                    </m:r>
                  </m:e>
                  <m:sup>
                    <m:r>
                      <m:t>2</m:t>
                    </m:r>
                  </m:sup>
                </m:sSup>
              </m:e>
            </m:d>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d>
                      <m:dPr>
                        <m:begChr m:val="("/>
                        <m:endChr m:val=")"/>
                        <m:sepChr m:val=""/>
                        <m:grow/>
                      </m:dPr>
                      <m:e>
                        <m:r>
                          <m:rPr>
                            <m:sty m:val="p"/>
                          </m:rPr>
                          <m:t>−</m:t>
                        </m:r>
                        <m:r>
                          <m:t>2</m:t>
                        </m:r>
                        <m:r>
                          <m:t>π</m:t>
                        </m:r>
                        <m:r>
                          <m:t>Z</m:t>
                        </m:r>
                        <m:r>
                          <m:t>α</m:t>
                        </m:r>
                        <m:r>
                          <m:rPr>
                            <m:sty m:val="p"/>
                          </m:rPr>
                          <m:t>/</m:t>
                        </m:r>
                        <m:sSub>
                          <m:e>
                            <m:r>
                              <m:t>β</m:t>
                            </m:r>
                          </m:e>
                          <m:sub>
                            <m:r>
                              <m:t>0</m:t>
                            </m:r>
                          </m:sub>
                        </m:sSub>
                      </m:e>
                    </m:d>
                  </m:num>
                  <m:den>
                    <m:r>
                      <m:t>1</m:t>
                    </m:r>
                    <m:r>
                      <m:rPr>
                        <m:sty m:val="p"/>
                      </m:rPr>
                      <m:t>−</m:t>
                    </m:r>
                    <m:r>
                      <m:rPr>
                        <m:sty m:val="p"/>
                      </m:rPr>
                      <m:t>exp</m:t>
                    </m:r>
                    <m:d>
                      <m:dPr>
                        <m:begChr m:val="("/>
                        <m:endChr m:val=")"/>
                        <m:sepChr m:val=""/>
                        <m:grow/>
                      </m:dPr>
                      <m:e>
                        <m:r>
                          <m:rPr>
                            <m:sty m:val="p"/>
                          </m:rPr>
                          <m:t>−</m:t>
                        </m:r>
                        <m:r>
                          <m:t>2</m:t>
                        </m:r>
                        <m:r>
                          <m:t>π</m:t>
                        </m:r>
                        <m:r>
                          <m:t>Z</m:t>
                        </m:r>
                        <m:r>
                          <m:t>α</m:t>
                        </m:r>
                        <m:r>
                          <m:rPr>
                            <m:sty m:val="p"/>
                          </m:rPr>
                          <m:t>/</m:t>
                        </m:r>
                        <m:r>
                          <m:t>β</m:t>
                        </m:r>
                      </m:e>
                    </m:d>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which contributes to the overestimate of the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sty m:val="p"/>
          </m:rPr>
          <m:t>d</m:t>
        </m:r>
        <m:r>
          <m:t>T</m:t>
        </m:r>
        <m:r>
          <m:rPr>
            <m:sty m:val="p"/>
          </m:rPr>
          <m:t>/</m:t>
        </m:r>
        <m:r>
          <m:t>S</m:t>
        </m:r>
        <m:d>
          <m:dPr>
            <m:begChr m:val="("/>
            <m:endChr m:val=")"/>
            <m:sepChr m:val=""/>
            <m:grow/>
          </m:dPr>
          <m:e>
            <m:r>
              <m:t>T</m:t>
            </m:r>
          </m:e>
        </m:d>
      </m:oMath>
      <w:r>
        <w:t xml:space="preserve"> </w:t>
      </w:r>
      <w:r>
        <w:t xml:space="preserve">atoms per unit area while losing the energy</w:t>
      </w:r>
      <w:r>
        <w:t xml:space="preserve"> </w:t>
      </w:r>
      <m:oMath>
        <m:r>
          <m:rPr>
            <m:sty m:val="p"/>
          </m:rPr>
          <m:t>d</m:t>
        </m:r>
        <m:r>
          <m:t>T</m:t>
        </m:r>
      </m:oMath>
      <w:r>
        <w:t xml:space="preserve">, and a photon produced at the depth</w:t>
      </w:r>
      <w:r>
        <w:t xml:space="preserve"> </w:t>
      </w:r>
      <m:oMath>
        <m:r>
          <m:t>d</m:t>
        </m:r>
        <m:d>
          <m:dPr>
            <m:begChr m:val="("/>
            <m:endChr m:val=")"/>
            <m:sepChr m:val=""/>
            <m:grow/>
          </m:dPr>
          <m:e>
            <m:r>
              <m:t>T</m:t>
            </m:r>
          </m:e>
        </m:d>
      </m:oMath>
      <w:r>
        <w:t xml:space="preserve"> </w:t>
      </w:r>
      <w:r>
        <w:t xml:space="preserve">is attenuated along the exit path</w:t>
      </w:r>
      <w:r>
        <w:t xml:space="preserve"> </w:t>
      </w:r>
      <m:oMath>
        <m:r>
          <m:t>d</m:t>
        </m:r>
        <m:d>
          <m:dPr>
            <m:begChr m:val="("/>
            <m:endChr m:val=")"/>
            <m:sepChr m:val=""/>
            <m:grow/>
          </m:dPr>
          <m:e>
            <m:r>
              <m:t>T</m:t>
            </m:r>
          </m:e>
        </m:d>
        <m:r>
          <m:rPr>
            <m:sty m:val="p"/>
          </m:rPr>
          <m:t>/</m:t>
        </m:r>
        <m:r>
          <m:rPr>
            <m:sty m:val="p"/>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d>
                  <m:dPr>
                    <m:begChr m:val="("/>
                    <m:endChr m:val=")"/>
                    <m:sepChr m:val=""/>
                    <m:grow/>
                  </m:dPr>
                  <m:e>
                    <m:r>
                      <m:t>E</m:t>
                    </m:r>
                  </m:e>
                </m:d>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d>
                          <m:dPr>
                            <m:begChr m:val="("/>
                            <m:endChr m:val=")"/>
                            <m:sepChr m:val=""/>
                            <m:grow/>
                          </m:dPr>
                          <m:e>
                            <m:r>
                              <m:t>T</m:t>
                            </m:r>
                          </m:e>
                        </m:d>
                      </m:den>
                    </m:f>
                  </m:e>
                </m:nary>
                <m:r>
                  <m:t> </m:t>
                </m:r>
                <m:f>
                  <m:fPr>
                    <m:type m:val="bar"/>
                  </m:fPr>
                  <m:num>
                    <m:r>
                      <m:rPr>
                        <m:sty m:val="p"/>
                      </m:rPr>
                      <m:t>d</m:t>
                    </m:r>
                    <m:r>
                      <m:t>σ</m:t>
                    </m:r>
                  </m:num>
                  <m:den>
                    <m:r>
                      <m:rPr>
                        <m:sty m:val="p"/>
                      </m:rPr>
                      <m:t>d</m:t>
                    </m:r>
                    <m:r>
                      <m:t>E</m:t>
                    </m:r>
                  </m:den>
                </m:f>
                <m:d>
                  <m:dPr>
                    <m:begChr m:val="("/>
                    <m:endChr m:val=")"/>
                    <m:sepChr m:val=""/>
                    <m:grow/>
                  </m:dPr>
                  <m:e>
                    <m:r>
                      <m:t>T</m:t>
                    </m:r>
                    <m:r>
                      <m:rPr>
                        <m:sty m:val="p"/>
                      </m:rPr>
                      <m:t>,</m:t>
                    </m:r>
                    <m:r>
                      <m:t>E</m:t>
                    </m:r>
                  </m:e>
                </m:d>
                <m:r>
                  <m:t> </m:t>
                </m:r>
                <m:r>
                  <m:rPr>
                    <m:sty m:val="p"/>
                  </m:rPr>
                  <m:t>exp</m:t>
                </m:r>
                <m:d>
                  <m:dPr>
                    <m:begChr m:val="["/>
                    <m:endChr m:val="]"/>
                    <m:sepChr m:val=""/>
                    <m:grow/>
                  </m:dPr>
                  <m:e>
                    <m:r>
                      <m:rPr>
                        <m:sty m:val="p"/>
                      </m:rPr>
                      <m:t>−</m:t>
                    </m:r>
                    <m:f>
                      <m:fPr>
                        <m:type m:val="bar"/>
                      </m:fPr>
                      <m:num>
                        <m:r>
                          <m:t>μ</m:t>
                        </m:r>
                        <m:d>
                          <m:dPr>
                            <m:begChr m:val="("/>
                            <m:endChr m:val=")"/>
                            <m:sepChr m:val=""/>
                            <m:grow/>
                          </m:dPr>
                          <m:e>
                            <m:r>
                              <m:t>E</m:t>
                            </m:r>
                          </m:e>
                        </m:d>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sty m:val="p"/>
          </m:rPr>
          <m:t>d</m:t>
        </m:r>
        <m:r>
          <m:t>σ</m:t>
        </m:r>
        <m:r>
          <m:rPr>
            <m:sty m:val="p"/>
          </m:rPr>
          <m:t>/</m:t>
        </m:r>
        <m:r>
          <m:rPr>
            <m:sty m:val="p"/>
          </m:rPr>
          <m:t>d</m:t>
        </m:r>
        <m:r>
          <m:t>E</m:t>
        </m:r>
      </m:oMath>
      <w:r>
        <w:t xml:space="preserve"> </w:t>
      </w:r>
      <w:r>
        <w:t xml:space="preserve">the BH-E cross-section, and</w:t>
      </w:r>
      <w:r>
        <w:t xml:space="preserve"> </w:t>
      </w:r>
      <m:oMath>
        <m:r>
          <m:t>μ</m:t>
        </m:r>
        <m:d>
          <m:dPr>
            <m:begChr m:val="("/>
            <m:endChr m:val=")"/>
            <m:sepChr m:val=""/>
            <m:grow/>
          </m:dPr>
          <m:e>
            <m:r>
              <m:t>E</m:t>
            </m:r>
          </m:e>
        </m:d>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the integral gives the generated spectrum</w:t>
      </w:r>
      <w:r>
        <w:t xml:space="preserve"> </w:t>
      </w:r>
      <m:oMath>
        <m:sSub>
          <m:e>
            <m:r>
              <m:t>N</m:t>
            </m:r>
          </m:e>
          <m:sub>
            <m:r>
              <m:t>g</m:t>
            </m:r>
          </m:sub>
        </m:sSub>
        <m:d>
          <m:dPr>
            <m:begChr m:val="("/>
            <m:endChr m:val=")"/>
            <m:sepChr m:val=""/>
            <m:grow/>
          </m:dPr>
          <m:e>
            <m:r>
              <m:t>E</m:t>
            </m:r>
          </m:e>
        </m:d>
      </m:oMath>
      <w:r>
        <w:t xml:space="preserve"> </w:t>
      </w:r>
      <w:r>
        <w:t xml:space="preserve">(photons emitted in all directions). The integrals are evaluated by the trapezoidal rule in photon bins of 0.05 keV; a similar formulation with MC-derived penetration data underlies SpekCalc [46, 47]. The exponential in (2.8) describes the self-absorption, which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with the emission either of a characteristic photon, with the probability</w:t>
      </w:r>
      <w:r>
        <w:t xml:space="preserve"> </w:t>
      </w:r>
      <m:oMath>
        <m:sSub>
          <m:e>
            <m:r>
              <m:t>ω</m:t>
            </m:r>
          </m:e>
          <m:sub>
            <m:r>
              <m:t>K</m:t>
            </m:r>
          </m:sub>
        </m:sSub>
      </m:oMath>
      <w:r>
        <w:t xml:space="preserve"> </w:t>
      </w:r>
      <w:r>
        <w:t xml:space="preserve">(the fluorescence yield, 0.454 for copper), or of an Auger electron [73, 74]. The DM includes the four strongest lines, K</w:t>
      </w:r>
      <m:oMath>
        <m:sSub>
          <m:e>
            <m:r>
              <m:t>α</m:t>
            </m:r>
          </m:e>
          <m:sub>
            <m:r>
              <m:t>1</m:t>
            </m:r>
          </m:sub>
        </m:sSub>
      </m:oMath>
      <w:r>
        <w:t xml:space="preserve"> </w:t>
      </w:r>
      <w:r>
        <w:t xml:space="preserve">(K–L</w:t>
      </w:r>
      <m:oMath>
        <m:sSub>
          <m:e>
            <m:r>
              <m:t>​</m:t>
            </m:r>
          </m:e>
          <m:sub>
            <m:r>
              <m:t>3</m:t>
            </m:r>
          </m:sub>
        </m:sSub>
      </m:oMath>
      <w:r>
        <w:t xml:space="preserve">, 8.048 keV), K</w:t>
      </w:r>
      <m:oMath>
        <m:sSub>
          <m:e>
            <m:r>
              <m:t>α</m:t>
            </m:r>
          </m:e>
          <m:sub>
            <m:r>
              <m:t>2</m:t>
            </m:r>
          </m:sub>
        </m:sSub>
      </m:oMath>
      <w:r>
        <w:t xml:space="preserve"> </w:t>
      </w:r>
      <w:r>
        <w:t xml:space="preserve">(K–L</w:t>
      </w:r>
      <m:oMath>
        <m:sSub>
          <m:e>
            <m:r>
              <m:t>​</m:t>
            </m:r>
          </m:e>
          <m:sub>
            <m:r>
              <m:t>2</m:t>
            </m:r>
          </m:sub>
        </m:sSub>
      </m:oMath>
      <w:r>
        <w:t xml:space="preserve">, 8.028 keV), K</w:t>
      </w:r>
      <m:oMath>
        <m:sSub>
          <m:e>
            <m:r>
              <m:t>β</m:t>
            </m:r>
          </m:e>
          <m:sub>
            <m:r>
              <m:t>1</m:t>
            </m:r>
          </m:sub>
        </m:sSub>
      </m:oMath>
      <w:r>
        <w:t xml:space="preserve"> </w:t>
      </w:r>
      <w:r>
        <w:t xml:space="preserve">(K–M</w:t>
      </w:r>
      <m:oMath>
        <m:sSub>
          <m:e>
            <m:r>
              <m:t>​</m:t>
            </m:r>
          </m:e>
          <m:sub>
            <m:r>
              <m:t>3</m:t>
            </m:r>
          </m:sub>
        </m:sSub>
      </m:oMath>
      <w:r>
        <w:t xml:space="preserve">) and K</w:t>
      </w:r>
      <m:oMath>
        <m:sSub>
          <m:e>
            <m:r>
              <m:t>β</m:t>
            </m:r>
          </m:e>
          <m:sub>
            <m:r>
              <m:t>3</m:t>
            </m:r>
          </m:sub>
        </m:sSub>
      </m:oMath>
      <w:r>
        <w:t xml:space="preserve"> </w:t>
      </w:r>
      <w:r>
        <w:t xml:space="preserve">(K–M</w:t>
      </w:r>
      <m:oMath>
        <m:sSub>
          <m:e>
            <m:r>
              <m:t>​</m:t>
            </m:r>
          </m:e>
          <m:sub>
            <m:r>
              <m:t>2</m:t>
            </m:r>
          </m:sub>
        </m:sSub>
      </m:oMath>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given by the binary-encounter formula of Gryziński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d>
                  <m:dPr>
                    <m:begChr m:val="("/>
                    <m:endChr m:val=")"/>
                    <m:sepChr m:val=""/>
                    <m:grow/>
                  </m:dPr>
                  <m:e>
                    <m:r>
                      <m:t>T</m:t>
                    </m:r>
                  </m:e>
                </m:d>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25–43 %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(yields compiled by Krause [74], transition energies by Deslattes et al. [116]) and are listed in Table 2.2 for the anode, window, filter materials and several high-Z radiosensitizers. Filters of Mo, Ag and Sn, with K-edges close to the Ag K-edge, strongly absorb the photons most effective for dose enhancement by silver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d>
                          <m:dPr>
                            <m:begChr m:val="("/>
                            <m:endChr m:val=")"/>
                            <m:sepChr m:val=""/>
                            <m:grow/>
                          </m:dPr>
                          <m:e>
                            <m:r>
                              <m:t>T</m:t>
                            </m:r>
                          </m:e>
                        </m:d>
                      </m:num>
                      <m:den>
                        <m:r>
                          <m:t>S</m:t>
                        </m:r>
                        <m:d>
                          <m:dPr>
                            <m:begChr m:val="("/>
                            <m:endChr m:val=")"/>
                            <m:sepChr m:val=""/>
                            <m:grow/>
                          </m:dPr>
                          <m:e>
                            <m:r>
                              <m:t>T</m:t>
                            </m:r>
                          </m:e>
                        </m:d>
                      </m:den>
                    </m:f>
                  </m:e>
                </m:nary>
                <m:r>
                  <m:t> </m:t>
                </m:r>
                <m:r>
                  <m:rPr>
                    <m:sty m:val="p"/>
                  </m:rPr>
                  <m:t>exp</m:t>
                </m:r>
                <m:d>
                  <m:dPr>
                    <m:begChr m:val="["/>
                    <m:endChr m:val="]"/>
                    <m:sepChr m:val=""/>
                    <m:grow/>
                  </m:dPr>
                  <m:e>
                    <m:r>
                      <m:rPr>
                        <m:sty m:val="p"/>
                      </m:rPr>
                      <m:t>−</m:t>
                    </m:r>
                    <m:f>
                      <m:fPr>
                        <m:type m:val="bar"/>
                      </m:fPr>
                      <m:num>
                        <m:sSub>
                          <m:e>
                            <m:r>
                              <m:t>μ</m:t>
                            </m:r>
                          </m:e>
                          <m:sub>
                            <m:r>
                              <m:t>j</m:t>
                            </m:r>
                          </m:sub>
                        </m:sSub>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d>
          <m:dPr>
            <m:begChr m:val="("/>
            <m:endChr m:val=")"/>
            <m:sepChr m:val=""/>
            <m:grow/>
          </m:dPr>
          <m:e>
            <m:sSub>
              <m:e>
                <m:r>
                  <m:t>E</m:t>
                </m:r>
              </m:e>
              <m:sub>
                <m:r>
                  <m:t>j</m:t>
                </m:r>
              </m:sub>
            </m:sSub>
          </m:e>
        </m:d>
      </m:oMath>
      <w:r>
        <w:t xml:space="preserve"> </w:t>
      </w:r>
      <w:r>
        <w:t xml:space="preserve">is the linear attenuation coefficient of the anode at the line energy</w:t>
      </w:r>
      <w:r>
        <w:t xml:space="preserve"> </w:t>
      </w:r>
      <m:oMath>
        <m:sSub>
          <m:e>
            <m:r>
              <m:t>E</m:t>
            </m:r>
          </m:e>
          <m:sub>
            <m:r>
              <m:t>j</m:t>
            </m:r>
          </m:sub>
        </m:sSub>
      </m:oMath>
      <w:r>
        <w:t xml:space="preserve">, and the other symbols are as in (2.8); lying below the copper K-edge, the lines are weakly absorbed in the anode and cannot themselves ionise the K shell. Indirect fluorescence follows the K-shell photoabsorption of bremsstrahlung photons with</w:t>
      </w:r>
      <w:r>
        <w:t xml:space="preserve"> </w:t>
      </w:r>
      <m:oMath>
        <m:r>
          <m:t>E</m:t>
        </m:r>
        <m:r>
          <m:rPr>
            <m:sty m:val="p"/>
          </m:rPr>
          <m:t>&gt;</m:t>
        </m:r>
        <m:sSub>
          <m:e>
            <m:r>
              <m:t>E</m:t>
            </m:r>
          </m:e>
          <m:sub>
            <m:r>
              <m:t>K</m:t>
            </m:r>
          </m:sub>
        </m:sSub>
      </m:oMath>
      <w:r>
        <w:t xml:space="preserv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sty m:val="p"/>
          </m:rPr>
          <m:t>cos</m:t>
        </m:r>
        <m:r>
          <m:t>ϑ</m:t>
        </m:r>
      </m:oMath>
      <w:r>
        <w:t xml:space="preserve">, where</w:t>
      </w:r>
      <w:r>
        <w:t xml:space="preserve"> </w:t>
      </w:r>
      <m:oMath>
        <m:r>
          <m:t>ϑ</m:t>
        </m:r>
      </m:oMath>
      <w:r>
        <w:t xml:space="preserve"> </w:t>
      </w:r>
      <w:r>
        <w:t xml:space="preserve">is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between the depths</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with the probability</w:t>
      </w:r>
      <w:r>
        <w:t xml:space="preserve"> </w:t>
      </w:r>
      <m:oMath>
        <m:d>
          <m:dPr>
            <m:begChr m:val="("/>
            <m:endChr m:val=")"/>
            <m:sepChr m:val=""/>
            <m:grow/>
          </m:dPr>
          <m:e>
            <m:r>
              <m:t>μ</m:t>
            </m:r>
            <m:r>
              <m:rPr>
                <m:sty m:val="p"/>
              </m:rPr>
              <m:t>/</m:t>
            </m:r>
            <m:r>
              <m:t>u</m:t>
            </m:r>
          </m:e>
        </m:d>
        <m:r>
          <m:rPr>
            <m:sty m:val="p"/>
          </m:rPr>
          <m:t>exp</m:t>
        </m:r>
        <m:d>
          <m:dPr>
            <m:begChr m:val="("/>
            <m:endChr m:val=")"/>
            <m:sepChr m:val=""/>
            <m:grow/>
          </m:dPr>
          <m:e>
            <m:r>
              <m:rPr>
                <m:sty m:val="p"/>
              </m:rPr>
              <m:t>−</m:t>
            </m:r>
            <m:r>
              <m:t>μ</m:t>
            </m:r>
            <m:r>
              <m:t>z</m:t>
            </m:r>
            <m:r>
              <m:rPr>
                <m:sty m:val="p"/>
              </m:rPr>
              <m:t>/</m:t>
            </m:r>
            <m:r>
              <m:t>u</m:t>
            </m:r>
          </m:e>
        </m:d>
        <m:r>
          <m:t> </m:t>
        </m:r>
        <m:r>
          <m:rPr>
            <m:sty m:val="p"/>
          </m:rPr>
          <m:t>d</m:t>
        </m:r>
        <m:r>
          <m:t>z</m:t>
        </m:r>
      </m:oMath>
      <w:r>
        <w:t xml:space="preserve">, where</w:t>
      </w:r>
      <w:r>
        <w:t xml:space="preserve"> </w:t>
      </w:r>
      <m:oMath>
        <m:r>
          <m:t>μ</m:t>
        </m:r>
        <m:r>
          <m:rPr>
            <m:sty m:val="p"/>
          </m:rPr>
          <m:t>=</m:t>
        </m:r>
        <m:r>
          <m:t>μ</m:t>
        </m:r>
        <m:d>
          <m:dPr>
            <m:begChr m:val="("/>
            <m:endChr m:val=")"/>
            <m:sepChr m:val=""/>
            <m:grow/>
          </m:dPr>
          <m:e>
            <m:r>
              <m:t>E</m:t>
            </m:r>
          </m:e>
        </m:d>
      </m:oMath>
      <w:r>
        <w:t xml:space="preserve">; the probability density of the interaction depth per emitted photon 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d>
                  <m:dPr>
                    <m:begChr m:val="("/>
                    <m:endChr m:val=")"/>
                    <m:sepChr m:val=""/>
                    <m:grow/>
                  </m:dPr>
                  <m:e>
                    <m:r>
                      <m:t>z</m:t>
                    </m:r>
                  </m:e>
                </m:d>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d>
                  <m:dPr>
                    <m:begChr m:val="("/>
                    <m:endChr m:val=")"/>
                    <m:sepChr m:val=""/>
                    <m:grow/>
                  </m:dPr>
                  <m:e>
                    <m:r>
                      <m:t>μ</m:t>
                    </m:r>
                    <m:r>
                      <m:t>z</m:t>
                    </m:r>
                  </m:e>
                </m:d>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 the substitution</w:t>
      </w:r>
      <w:r>
        <w:t xml:space="preserve"> </w:t>
      </w:r>
      <m:oMath>
        <m:r>
          <m:t>t</m:t>
        </m:r>
        <m:r>
          <m:rPr>
            <m:sty m:val="p"/>
          </m:rPr>
          <m:t>=</m:t>
        </m:r>
        <m:r>
          <m:t>1</m:t>
        </m:r>
        <m:r>
          <m:rPr>
            <m:sty m:val="p"/>
          </m:rPr>
          <m:t>/</m:t>
        </m:r>
        <m:r>
          <m:t>u</m:t>
        </m:r>
      </m:oMath>
      <w:r>
        <w:t xml:space="preserve"> </w:t>
      </w:r>
      <w:r>
        <w:t xml:space="preserve">has been made and</w:t>
      </w:r>
      <w:r>
        <w:t xml:space="preserve"> </w:t>
      </w:r>
      <m:oMath>
        <m:sSub>
          <m:e>
            <m:r>
              <m:rPr>
                <m:sty m:val="p"/>
              </m:rPr>
              <m:t>E</m:t>
            </m:r>
          </m:e>
          <m:sub>
            <m:r>
              <m:t>1</m:t>
            </m:r>
          </m:sub>
        </m:sSub>
        <m:d>
          <m:dPr>
            <m:begChr m:val="("/>
            <m:endChr m:val=")"/>
            <m:sepChr m:val=""/>
            <m:grow/>
          </m:dPr>
          <m:e>
            <m:r>
              <m:t>x</m:t>
            </m:r>
          </m:e>
        </m:d>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is the exponential integral. A fraction</w:t>
      </w:r>
      <w:r>
        <w:t xml:space="preserve"> </w:t>
      </w:r>
      <m:oMath>
        <m:sSub>
          <m:e>
            <m:r>
              <m:t>τ</m:t>
            </m:r>
          </m:e>
          <m:sub>
            <m:r>
              <m:t>K</m:t>
            </m:r>
          </m:sub>
        </m:sSub>
        <m:d>
          <m:dPr>
            <m:begChr m:val="("/>
            <m:endChr m:val=")"/>
            <m:sepChr m:val=""/>
            <m:grow/>
          </m:dPr>
          <m:e>
            <m:r>
              <m:t>E</m:t>
            </m:r>
          </m:e>
        </m:d>
        <m:r>
          <m:rPr>
            <m:sty m:val="p"/>
          </m:rPr>
          <m:t>/</m:t>
        </m:r>
        <m:r>
          <m:t>μ</m:t>
        </m:r>
        <m:d>
          <m:dPr>
            <m:begChr m:val="("/>
            <m:endChr m:val=")"/>
            <m:sepChr m:val=""/>
            <m:grow/>
          </m:dPr>
          <m:e>
            <m:r>
              <m:t>E</m:t>
            </m:r>
          </m:e>
        </m:d>
      </m:oMath>
      <w:r>
        <w:t xml:space="preserve"> </w:t>
      </w:r>
      <w:r>
        <w:t xml:space="preserve">of the interactions are K-shell photoabsorptions, where</w:t>
      </w:r>
      <w:r>
        <w:t xml:space="preserve"> </w:t>
      </w:r>
      <m:oMath>
        <m:sSub>
          <m:e>
            <m:r>
              <m:t>τ</m:t>
            </m:r>
          </m:e>
          <m:sub>
            <m:r>
              <m:t>K</m:t>
            </m:r>
          </m:sub>
        </m:sSub>
        <m:d>
          <m:dPr>
            <m:begChr m:val="("/>
            <m:endChr m:val=")"/>
            <m:sepChr m:val=""/>
            <m:grow/>
          </m:dPr>
          <m:e>
            <m:r>
              <m:t>E</m:t>
            </m:r>
          </m:e>
        </m:d>
      </m:oMath>
      <w:r>
        <w:t xml:space="preserve"> </w:t>
      </w:r>
      <w:r>
        <w:t xml:space="preserve">is the linear K-shell photoelectric coefficient of copper (from xraylib) and</w:t>
      </w:r>
      <w:r>
        <w:t xml:space="preserve"> </w:t>
      </w:r>
      <m:oMath>
        <m:r>
          <m:t>μ</m:t>
        </m:r>
        <m:d>
          <m:dPr>
            <m:begChr m:val="("/>
            <m:endChr m:val=")"/>
            <m:sepChr m:val=""/>
            <m:grow/>
          </m:dPr>
          <m:e>
            <m:r>
              <m:t>E</m:t>
            </m:r>
          </m:e>
        </m:d>
      </m:oMath>
      <w:r>
        <w:t xml:space="preserve"> </w:t>
      </w:r>
      <w:r>
        <w:t xml:space="preserve">the total linear attenuation coefficient. Each vacancy yields a photon of line</w:t>
      </w:r>
      <w:r>
        <w:t xml:space="preserve"> </w:t>
      </w:r>
      <m:oMath>
        <m:r>
          <m:t>j</m:t>
        </m:r>
      </m:oMath>
      <w:r>
        <w:t xml:space="preserve"> </w:t>
      </w:r>
      <w:r>
        <w:t xml:space="preserve">with the probability</w:t>
      </w:r>
      <w:r>
        <w:t xml:space="preserve"> </w:t>
      </w:r>
      <m:oMath>
        <m:sSub>
          <m:e>
            <m:r>
              <m:t>ω</m:t>
            </m:r>
          </m:e>
          <m:sub>
            <m:r>
              <m:t>K</m:t>
            </m:r>
          </m:sub>
        </m:sSub>
        <m:sSub>
          <m:e>
            <m:r>
              <m:t>p</m:t>
            </m:r>
          </m:e>
          <m:sub>
            <m:r>
              <m:t>j</m:t>
            </m:r>
          </m:sub>
        </m:sSub>
      </m:oMath>
      <w:r>
        <w:t xml:space="preserve">, attenuated on its way out along the central ray by</w:t>
      </w:r>
      <w:r>
        <w:t xml:space="preserve"> </w:t>
      </w:r>
      <m:oMath>
        <m:r>
          <m:rPr>
            <m:sty m:val="p"/>
          </m:rPr>
          <m:t>exp</m:t>
        </m:r>
        <m:d>
          <m:dPr>
            <m:begChr m:val="("/>
            <m:endChr m:val=")"/>
            <m:sepChr m:val=""/>
            <m:grow/>
          </m:dPr>
          <m:e>
            <m:r>
              <m:rPr>
                <m:sty m:val="p"/>
              </m:rPr>
              <m:t>−</m:t>
            </m:r>
            <m:sSub>
              <m:e>
                <m:r>
                  <m:t>b</m:t>
                </m:r>
              </m:e>
              <m:sub>
                <m:r>
                  <m:t>j</m:t>
                </m:r>
              </m:sub>
            </m:sSub>
            <m:r>
              <m:t>z</m:t>
            </m:r>
          </m:e>
        </m:d>
      </m:oMath>
      <w:r>
        <w:t xml:space="preserve">, where</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d>
                  <m:dPr>
                    <m:begChr m:val="("/>
                    <m:endChr m:val=")"/>
                    <m:sepChr m:val=""/>
                    <m:grow/>
                  </m:dPr>
                  <m:e>
                    <m:r>
                      <m:t>E</m:t>
                    </m:r>
                  </m:e>
                </m:d>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d>
                          <m:dPr>
                            <m:begChr m:val="("/>
                            <m:endChr m:val=")"/>
                            <m:sepChr m:val=""/>
                            <m:grow/>
                          </m:dPr>
                          <m:e>
                            <m:r>
                              <m:t>E</m:t>
                            </m:r>
                          </m:e>
                        </m:d>
                      </m:num>
                      <m:den>
                        <m:r>
                          <m:t>μ</m:t>
                        </m:r>
                        <m:d>
                          <m:dPr>
                            <m:begChr m:val="("/>
                            <m:endChr m:val=")"/>
                            <m:sepChr m:val=""/>
                            <m:grow/>
                          </m:dPr>
                          <m:e>
                            <m:r>
                              <m:t>E</m:t>
                            </m:r>
                          </m:e>
                        </m:d>
                      </m:den>
                    </m:f>
                  </m:e>
                </m:nary>
                <m:r>
                  <m:t> </m:t>
                </m:r>
                <m:r>
                  <m:t>P</m:t>
                </m:r>
                <m:d>
                  <m:dPr>
                    <m:begChr m:val="("/>
                    <m:endChr m:val=")"/>
                    <m:sepChr m:val=""/>
                    <m:grow/>
                  </m:dPr>
                  <m:e>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d>
                      <m:dPr>
                        <m:begChr m:val="("/>
                        <m:endChr m:val=")"/>
                        <m:sepChr m:val=""/>
                        <m:grow/>
                      </m:dPr>
                      <m:e>
                        <m:r>
                          <m:t>E</m:t>
                        </m:r>
                      </m:e>
                    </m:d>
                  </m:num>
                  <m:den>
                    <m:r>
                      <m:t>2</m:t>
                    </m:r>
                  </m:den>
                </m:f>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The remaining Laplace transform of the exponential integral follows by interchanging the order of integration,</w:t>
      </w:r>
      <w:r>
        <w:t xml:space="preserve"> </w:t>
      </w: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x</m:t>
            </m:r>
          </m:e>
        </m:d>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d>
              <m:dPr>
                <m:begChr m:val="("/>
                <m:endChr m:val=")"/>
                <m:sepChr m:val=""/>
                <m:grow/>
              </m:dPr>
              <m:e>
                <m:r>
                  <m:t>t</m:t>
                </m:r>
                <m:r>
                  <m:rPr>
                    <m:sty m:val="p"/>
                  </m:rPr>
                  <m:t>+</m:t>
                </m:r>
                <m:r>
                  <m:t>s</m:t>
                </m:r>
              </m:e>
            </m:d>
          </m:e>
        </m:d>
        <m:r>
          <m:rPr>
            <m:sty m:val="p"/>
          </m:rPr>
          <m:t>=</m:t>
        </m:r>
        <m:r>
          <m:rPr>
            <m:sty m:val="p"/>
          </m:rPr>
          <m:t>ln</m:t>
        </m:r>
        <m:d>
          <m:dPr>
            <m:begChr m:val="("/>
            <m:endChr m:val=")"/>
            <m:sepChr m:val=""/>
            <m:grow/>
          </m:dPr>
          <m:e>
            <m:r>
              <m:t>1</m:t>
            </m:r>
            <m:r>
              <m:rPr>
                <m:sty m:val="p"/>
              </m:rPr>
              <m:t>+</m:t>
            </m:r>
            <m:r>
              <m:t>s</m:t>
            </m:r>
          </m:e>
        </m:d>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d>
          <m:dPr>
            <m:begChr m:val="("/>
            <m:endChr m:val=")"/>
            <m:sepChr m:val=""/>
            <m:grow/>
          </m:dPr>
          <m:e>
            <m:r>
              <m:t>E</m:t>
            </m:r>
          </m:e>
        </m:d>
      </m:oMath>
      <w:r>
        <w:t xml:space="preserve"> </w:t>
      </w:r>
      <w:r>
        <w:t xml:space="preserve">with</w:t>
      </w:r>
      <w:r>
        <w:t xml:space="preserve"> </w:t>
      </w:r>
      <m:oMath>
        <m:sSub>
          <m:e>
            <m:r>
              <m:t>N</m:t>
            </m:r>
          </m:e>
          <m:sub>
            <m:r>
              <m:t>g</m:t>
            </m:r>
          </m:sub>
        </m:sSub>
        <m:d>
          <m:dPr>
            <m:begChr m:val="("/>
            <m:endChr m:val=")"/>
            <m:sepChr m:val=""/>
            <m:grow/>
          </m:dPr>
          <m:e>
            <m:r>
              <m:t>E</m:t>
            </m:r>
          </m:e>
        </m:d>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d>
                  <m:dPr>
                    <m:begChr m:val="("/>
                    <m:endChr m:val=")"/>
                    <m:sepChr m:val=""/>
                    <m:grow/>
                  </m:dPr>
                  <m:e>
                    <m:r>
                      <m:t>E</m:t>
                    </m:r>
                  </m:e>
                </m:d>
                <m:r>
                  <m:t> </m:t>
                </m:r>
                <m:f>
                  <m:fPr>
                    <m:type m:val="bar"/>
                  </m:fPr>
                  <m:num>
                    <m:sSub>
                      <m:e>
                        <m:r>
                          <m:t>τ</m:t>
                        </m:r>
                      </m:e>
                      <m:sub>
                        <m:r>
                          <m:t>K</m:t>
                        </m:r>
                      </m:sub>
                    </m:sSub>
                    <m:d>
                      <m:dPr>
                        <m:begChr m:val="("/>
                        <m:endChr m:val=")"/>
                        <m:sepChr m:val=""/>
                        <m:grow/>
                      </m:dPr>
                      <m:e>
                        <m:r>
                          <m:t>E</m:t>
                        </m:r>
                      </m:e>
                    </m:d>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d>
                          <m:dPr>
                            <m:begChr m:val="("/>
                            <m:endChr m:val=")"/>
                            <m:sepChr m:val=""/>
                            <m:grow/>
                          </m:dPr>
                          <m:e>
                            <m:r>
                              <m:t>E</m:t>
                            </m:r>
                          </m:e>
                        </m:d>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For the baseline tube the indirect contribution is 4.5 % of the Kα and 4.8 % of the Kβ intensity; it is slightly larger for Kβ because the indirect vacancies lie deeper on average and Kβ photons are attenuated less. Because this contribution is small, the surface-source approximation and the neglect of scattered photons matter little for the line intensities.</w:t>
      </w:r>
    </w:p>
    <w:p>
      <w:pPr>
        <w:pStyle w:val="Heading2"/>
      </w:pPr>
      <w:r>
        <w:t xml:space="preserve">2.5. Filtration, beam-quality parameters and air kerma</w:t>
      </w:r>
    </w:p>
    <w:p>
      <w:pPr>
        <w:pStyle w:val="FirstParagraph"/>
      </w:pPr>
      <w:r>
        <w:t xml:space="preserve">The attenuation in the window, the added filters and the air follows the Beer–Lambert law for narrow-beam geometry (scattered photons do not reach the point of interest):</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d>
                  <m:dPr>
                    <m:begChr m:val="("/>
                    <m:endChr m:val=")"/>
                    <m:sepChr m:val=""/>
                    <m:grow/>
                  </m:dPr>
                  <m:e>
                    <m:r>
                      <m:t>E</m:t>
                    </m:r>
                  </m:e>
                </m:d>
                <m:r>
                  <m:rPr>
                    <m:sty m:val="p"/>
                  </m:rPr>
                  <m:t>=</m:t>
                </m:r>
                <m:r>
                  <m:rPr>
                    <m:sty m:val="p"/>
                  </m:rPr>
                  <m:t>exp</m:t>
                </m:r>
                <m:d>
                  <m:dPr>
                    <m:begChr m:val="["/>
                    <m:endChr m:val="]"/>
                    <m:sepChr m:val=""/>
                    <m:grow/>
                  </m:dPr>
                  <m:e>
                    <m:r>
                      <m:rPr>
                        <m:sty m:val="p"/>
                      </m:rPr>
                      <m:t>−</m:t>
                    </m:r>
                    <m:sSub>
                      <m:e>
                        <m:r>
                          <m:t>μ</m:t>
                        </m:r>
                      </m:e>
                      <m:sub>
                        <m:r>
                          <m:rPr>
                            <m:sty m:val="p"/>
                          </m:rPr>
                          <m:t>B</m:t>
                        </m:r>
                        <m:r>
                          <m:rPr>
                            <m:sty m:val="p"/>
                          </m:rPr>
                          <m:t>e</m:t>
                        </m:r>
                      </m:sub>
                    </m:sSub>
                    <m:d>
                      <m:dPr>
                        <m:begChr m:val="("/>
                        <m:endChr m:val=")"/>
                        <m:sepChr m:val=""/>
                        <m:grow/>
                      </m:dPr>
                      <m:e>
                        <m:r>
                          <m:t>E</m:t>
                        </m:r>
                      </m:e>
                    </m:d>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d>
                      <m:dPr>
                        <m:begChr m:val="("/>
                        <m:endChr m:val=")"/>
                        <m:sepChr m:val=""/>
                        <m:grow/>
                      </m:dPr>
                      <m:e>
                        <m:r>
                          <m:t>E</m:t>
                        </m:r>
                      </m:e>
                    </m:d>
                    <m:r>
                      <m:t> </m:t>
                    </m:r>
                    <m:sSub>
                      <m:e>
                        <m:r>
                          <m:t>t</m:t>
                        </m:r>
                      </m:e>
                      <m:sub>
                        <m:r>
                          <m:t>i</m:t>
                        </m:r>
                      </m:sub>
                    </m:sSub>
                    <m:r>
                      <m:rPr>
                        <m:sty m:val="p"/>
                      </m:rPr>
                      <m:t>−</m:t>
                    </m:r>
                    <m:sSub>
                      <m:e>
                        <m:r>
                          <m:t>μ</m:t>
                        </m:r>
                      </m:e>
                      <m:sub>
                        <m:r>
                          <m:rPr>
                            <m:sty m:val="p"/>
                          </m:rPr>
                          <m:t>a</m:t>
                        </m:r>
                        <m:r>
                          <m:rPr>
                            <m:sty m:val="p"/>
                          </m:rPr>
                          <m:t>i</m:t>
                        </m:r>
                        <m:r>
                          <m:rPr>
                            <m:sty m:val="p"/>
                          </m:rPr>
                          <m:t>r</m:t>
                        </m:r>
                      </m:sub>
                    </m:sSub>
                    <m:d>
                      <m:dPr>
                        <m:begChr m:val="("/>
                        <m:endChr m:val=")"/>
                        <m:sepChr m:val=""/>
                        <m:grow/>
                      </m:dPr>
                      <m:e>
                        <m:r>
                          <m:t>E</m:t>
                        </m:r>
                      </m:e>
                    </m:d>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sty m:val="p"/>
            <m:scr m:val="script"/>
          </m:rPr>
          <m:t>T</m:t>
        </m:r>
        <m:d>
          <m:dPr>
            <m:begChr m:val="("/>
            <m:endChr m:val=")"/>
            <m:sepChr m:val=""/>
            <m:grow/>
          </m:dPr>
          <m:e>
            <m:r>
              <m:t>E</m:t>
            </m:r>
          </m:e>
        </m:d>
      </m:oMath>
      <w:r>
        <w:t xml:space="preserve"> </w:t>
      </w:r>
      <w:r>
        <w:t xml:space="preserve">is the transmission,</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sty m:val="p"/>
              </m:rPr>
              <m:t>a</m:t>
            </m:r>
            <m:r>
              <m:rPr>
                <m:sty m:val="p"/>
              </m:rPr>
              <m:t>i</m:t>
            </m:r>
            <m:r>
              <m:rPr>
                <m:sty m:val="p"/>
              </m:rPr>
              <m:t>r</m:t>
            </m:r>
          </m:sub>
        </m:sSub>
      </m:oMath>
      <w:r>
        <w:t xml:space="preserve"> </w:t>
      </w:r>
      <w:r>
        <w:t xml:space="preserve">are the linear attenuation coefficients of beryllium, of the</w:t>
      </w:r>
      <w:r>
        <w:t xml:space="preserve"> </w:t>
      </w:r>
      <m:oMath>
        <m:r>
          <m:t>i</m:t>
        </m:r>
      </m:oMath>
      <w:r>
        <w:t xml:space="preserve">-th added filter and of air,</w:t>
      </w:r>
      <w:r>
        <w:t xml:space="preserve"> </w:t>
      </w:r>
      <m:oMath>
        <m:sSub>
          <m:e>
            <m:r>
              <m:t>t</m:t>
            </m:r>
          </m:e>
          <m:sub>
            <m:r>
              <m:rPr>
                <m:sty m:val="p"/>
              </m:rPr>
              <m:t>B</m:t>
            </m:r>
            <m:r>
              <m:rPr>
                <m:sty m:val="p"/>
              </m:rPr>
              <m:t>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d>
                  <m:dPr>
                    <m:begChr m:val="("/>
                    <m:endChr m:val=")"/>
                    <m:sepChr m:val=""/>
                    <m:grow/>
                  </m:dPr>
                  <m:e>
                    <m:r>
                      <m:t>E</m:t>
                    </m:r>
                  </m:e>
                </m:d>
                <m:r>
                  <m:rPr>
                    <m:sty m:val="p"/>
                  </m:rPr>
                  <m:t>=</m:t>
                </m:r>
                <m:f>
                  <m:fPr>
                    <m:type m:val="bar"/>
                  </m:fPr>
                  <m:num>
                    <m:sSub>
                      <m:e>
                        <m:r>
                          <m:t>n</m:t>
                        </m:r>
                      </m:e>
                      <m:sub>
                        <m:r>
                          <m:t>e</m:t>
                        </m:r>
                      </m:sub>
                    </m:sSub>
                    <m:r>
                      <m:t> </m:t>
                    </m:r>
                    <m:r>
                      <m:t>Q</m:t>
                    </m:r>
                  </m:num>
                  <m:den>
                    <m:sSup>
                      <m:e>
                        <m:r>
                          <m:t>r</m:t>
                        </m:r>
                      </m:e>
                      <m:sup>
                        <m:r>
                          <m:t>2</m:t>
                        </m:r>
                      </m:sup>
                    </m:sSup>
                  </m:den>
                </m:f>
                <m:r>
                  <m:t> </m:t>
                </m:r>
                <m:r>
                  <m:rPr>
                    <m:sty m:val="p"/>
                    <m:scr m:val="script"/>
                  </m:rPr>
                  <m:t>T</m:t>
                </m:r>
                <m:d>
                  <m:dPr>
                    <m:begChr m:val="("/>
                    <m:endChr m:val=")"/>
                    <m:sepChr m:val=""/>
                    <m:grow/>
                  </m:dPr>
                  <m:e>
                    <m:r>
                      <m:t>E</m:t>
                    </m:r>
                  </m:e>
                </m:d>
                <m:d>
                  <m:dPr>
                    <m:begChr m:val="["/>
                    <m:endChr m:val="]"/>
                    <m:sepChr m:val=""/>
                    <m:grow/>
                  </m:dPr>
                  <m:e>
                    <m:sSub>
                      <m:e>
                        <m:r>
                          <m:t>N</m:t>
                        </m:r>
                      </m:e>
                      <m:sub>
                        <m:r>
                          <m:t>b</m:t>
                        </m:r>
                      </m:sub>
                    </m:sSub>
                    <m:d>
                      <m:dPr>
                        <m:begChr m:val="("/>
                        <m:endChr m:val=")"/>
                        <m:sepChr m:val=""/>
                        <m:grow/>
                      </m:dPr>
                      <m:e>
                        <m:r>
                          <m:t>E</m:t>
                        </m:r>
                      </m:e>
                    </m:d>
                    <m:r>
                      <m:rPr>
                        <m:sty m:val="p"/>
                      </m:rPr>
                      <m:t>+</m:t>
                    </m:r>
                    <m:nary>
                      <m:naryPr>
                        <m:chr m:val="∑"/>
                        <m:limLoc m:val="undOvr"/>
                        <m:subHide m:val="off"/>
                        <m:supHide m:val="on"/>
                      </m:naryPr>
                      <m:sub>
                        <m:r>
                          <m:t>j</m:t>
                        </m:r>
                      </m:sub>
                      <m:sup>
                        <m:r>
                          <m:t>​</m:t>
                        </m:r>
                      </m:sup>
                      <m:e>
                        <m:sSub>
                          <m:e>
                            <m:r>
                              <m:t>N</m:t>
                            </m:r>
                          </m:e>
                          <m:sub>
                            <m:r>
                              <m:t>j</m:t>
                            </m:r>
                          </m:sub>
                        </m:sSub>
                      </m:e>
                    </m:nary>
                    <m:r>
                      <m:t> </m:t>
                    </m:r>
                    <m:r>
                      <m:t>δ</m:t>
                    </m:r>
                    <m:d>
                      <m:dPr>
                        <m:begChr m:val="("/>
                        <m:endChr m:val=")"/>
                        <m:sepChr m:val=""/>
                        <m:grow/>
                      </m:dPr>
                      <m:e>
                        <m:r>
                          <m:t>E</m:t>
                        </m:r>
                        <m:r>
                          <m:rPr>
                            <m:sty m:val="p"/>
                          </m:rPr>
                          <m:t>−</m:t>
                        </m:r>
                        <m:sSub>
                          <m:e>
                            <m:r>
                              <m:t>E</m:t>
                            </m:r>
                          </m:e>
                          <m:sub>
                            <m:r>
                              <m:t>j</m:t>
                            </m:r>
                          </m:sub>
                        </m:sSub>
                      </m:e>
                    </m:d>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d>
          <m:dPr>
            <m:begChr m:val="("/>
            <m:endChr m:val=")"/>
            <m:sepChr m:val=""/>
            <m:grow/>
          </m:dPr>
          <m:e>
            <m:r>
              <m:t>E</m:t>
            </m:r>
          </m:e>
        </m:d>
      </m:oMath>
      <w:r>
        <w:t xml:space="preserve"> </w:t>
      </w:r>
      <w:r>
        <w:t xml:space="preserve">is the number of photons per unit area and per unit energy interval (cm</w:t>
      </w:r>
      <m:oMath>
        <m:sSup>
          <m:e>
            <m:r>
              <m:t>​</m:t>
            </m:r>
          </m:e>
          <m:sup>
            <m:r>
              <m:rPr>
                <m:sty m:val="p"/>
              </m:rPr>
              <m:t>−</m:t>
            </m:r>
            <m:r>
              <m:t>2</m:t>
            </m:r>
          </m:sup>
        </m:sSup>
      </m:oMath>
      <w:r>
        <w:t xml:space="preserve"> </w:t>
      </w:r>
      <w:r>
        <w:t xml:space="preserve">keV</w:t>
      </w:r>
      <m:oMath>
        <m:sSup>
          <m:e>
            <m:r>
              <m:t>​</m:t>
            </m:r>
          </m:e>
          <m:sup>
            <m:r>
              <m:rPr>
                <m:sty m:val="p"/>
              </m:rPr>
              <m:t>−</m:t>
            </m:r>
            <m:r>
              <m:t>1</m:t>
            </m:r>
          </m:sup>
        </m:sSup>
      </m:oMath>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the output of the tube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which SpekPy filters with its own attenuation data, the SpekPy air kerma is used, whereas the half-value layers (HVL) and mean energies of all copper-anode spectra are evaluated with the same routines for both models.</w:t>
      </w:r>
    </w:p>
    <w:p>
      <w:pPr>
        <w:pStyle w:val="BodyText"/>
      </w:pPr>
      <w:r>
        <w:t xml:space="preserve">Kilovoltage beam quality is specified primarily by the first HVL, the thickness of a reference absorber (usually aluminium or copper) that halves the narrow-beam air kerma [14, 17,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d>
                      <m:dPr>
                        <m:begChr m:val="("/>
                        <m:endChr m:val=")"/>
                        <m:sepChr m:val=""/>
                        <m:grow/>
                      </m:dPr>
                      <m:e>
                        <m:r>
                          <m:t>E</m:t>
                        </m:r>
                      </m:e>
                    </m:d>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sty m:val="p"/>
              </m:rPr>
              <m:t>A</m:t>
            </m:r>
            <m:r>
              <m:rPr>
                <m:sty m:val="p"/>
              </m:rPr>
              <m:t>l</m:t>
            </m:r>
          </m:sub>
        </m:sSub>
        <m:d>
          <m:dPr>
            <m:begChr m:val="("/>
            <m:endChr m:val=")"/>
            <m:sepChr m:val=""/>
            <m:grow/>
          </m:dPr>
          <m:e>
            <m:r>
              <m:t>E</m:t>
            </m:r>
          </m:e>
        </m:d>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sty m:val="p"/>
              </m:rPr>
              <m:t>e</m:t>
            </m:r>
            <m:r>
              <m:rPr>
                <m:sty m:val="p"/>
              </m:rPr>
              <m:t>f</m:t>
            </m:r>
            <m:r>
              <m:rPr>
                <m:sty m:val="p"/>
              </m:rPr>
              <m:t>f</m:t>
            </m:r>
          </m:sub>
        </m:sSub>
      </m:oMath>
      <w:r>
        <w:t xml:space="preserve">, that of the monoenergetic beam with the same HVL1, is found from</w:t>
      </w:r>
      <w:r>
        <w:t xml:space="preserve"> </w:t>
      </w:r>
      <m:oMath>
        <m:sSub>
          <m:e>
            <m:r>
              <m:t>μ</m:t>
            </m:r>
          </m:e>
          <m:sub>
            <m:r>
              <m:rPr>
                <m:sty m:val="p"/>
              </m:rPr>
              <m:t>A</m:t>
            </m:r>
            <m:r>
              <m:rPr>
                <m:sty m:val="p"/>
              </m:rPr>
              <m:t>l</m:t>
            </m:r>
          </m:sub>
        </m:sSub>
        <m:d>
          <m:dPr>
            <m:begChr m:val="("/>
            <m:endChr m:val=")"/>
            <m:sepChr m:val=""/>
            <m:grow/>
          </m:dPr>
          <m:e>
            <m:sSub>
              <m:e>
                <m:r>
                  <m:t>E</m:t>
                </m:r>
              </m:e>
              <m:sub>
                <m:r>
                  <m:rPr>
                    <m:sty m:val="p"/>
                  </m:rPr>
                  <m:t>e</m:t>
                </m:r>
                <m:r>
                  <m:rPr>
                    <m:sty m:val="p"/>
                  </m:rPr>
                  <m:t>f</m:t>
                </m:r>
                <m:r>
                  <m:rPr>
                    <m:sty m:val="p"/>
                  </m:rPr>
                  <m:t>f</m:t>
                </m:r>
              </m:sub>
            </m:sSub>
          </m:e>
        </m:d>
        <m:r>
          <m:rPr>
            <m:sty m:val="p"/>
          </m:rPr>
          <m:t>=</m:t>
        </m:r>
        <m:r>
          <m:rPr>
            <m:sty m:val="p"/>
          </m:rPr>
          <m:t>ln</m:t>
        </m:r>
        <m:r>
          <m:t>2</m:t>
        </m:r>
        <m:r>
          <m:rPr>
            <m:sty m:val="p"/>
          </m:rPr>
          <m:t>/</m:t>
        </m:r>
        <m:r>
          <m:rPr>
            <m:sty m:val="p"/>
          </m:rPr>
          <m:t>H</m:t>
        </m:r>
        <m:r>
          <m:rPr>
            <m:sty m:val="p"/>
          </m:rPr>
          <m:t>V</m:t>
        </m:r>
        <m:r>
          <m:rPr>
            <m:sty m:val="p"/>
          </m:rPr>
          <m:t>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d>
                      <m:dPr>
                        <m:begChr m:val="("/>
                        <m:endChr m:val=")"/>
                        <m:sepChr m:val=""/>
                        <m:grow/>
                      </m:dPr>
                      <m:e>
                        <m:r>
                          <m:t>E</m:t>
                        </m:r>
                      </m:e>
                    </m:d>
                    <m:r>
                      <m:t> </m:t>
                    </m:r>
                    <m:r>
                      <m:rPr>
                        <m:sty m:val="p"/>
                      </m:rPr>
                      <m:t>d</m:t>
                    </m:r>
                    <m:r>
                      <m:t>E</m:t>
                    </m:r>
                  </m:num>
                  <m:den>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d>
          <m:dPr>
            <m:begChr m:val="("/>
            <m:endChr m:val=")"/>
            <m:sepChr m:val=""/>
            <m:grow/>
          </m:dPr>
          <m:e>
            <m:r>
              <m:t>E</m:t>
            </m:r>
          </m:e>
        </m:d>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oMath>
      <w:r>
        <w:t xml:space="preserve"> </w:t>
      </w:r>
      <w:r>
        <w:t xml:space="preserve">with</w:t>
      </w:r>
      <w:r>
        <w:t xml:space="preserve"> </w:t>
      </w:r>
      <m:oMath>
        <m:sSub>
          <m:e>
            <m:r>
              <m:t>E</m:t>
            </m:r>
          </m:e>
          <m:sub>
            <m:r>
              <m:t>K</m:t>
            </m:r>
            <m:r>
              <m:rPr>
                <m:sty m:val="p"/>
              </m:rPr>
              <m:t>,</m:t>
            </m:r>
            <m:r>
              <m:rPr>
                <m:sty m:val="p"/>
              </m:rPr>
              <m:t>A</m:t>
            </m:r>
            <m:r>
              <m:rPr>
                <m:sty m:val="p"/>
              </m:rPr>
              <m:t>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shape of the spectrum and are insensitive to errors in the absolute output.</w:t>
      </w:r>
    </w:p>
    <w:p>
      <w:pPr>
        <w:pStyle w:val="Heading2"/>
      </w:pPr>
      <w:r>
        <w:t xml:space="preserve">2.6. Dose enhancement factor: definitions and calculation</w:t>
      </w:r>
    </w:p>
    <w:p>
      <w:pPr>
        <w:pStyle w:val="FirstParagraph"/>
      </w:pPr>
      <w:r>
        <w:t xml:space="preserve">The physical radio-enhancement is quantified by the DEF, the ratio of the absorbed doses at one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sty m:val="p"/>
              </m:rPr>
              <m:t>A</m:t>
            </m:r>
            <m:r>
              <m:rPr>
                <m:sty m:val="p"/>
              </m:rPr>
              <m:t>g</m:t>
            </m:r>
          </m:sub>
        </m:sSub>
      </m:oMath>
      <w:r>
        <w:t xml:space="preserve"> </w:t>
      </w:r>
      <w:r>
        <w:t xml:space="preserve">and</w:t>
      </w:r>
      <w:r>
        <w:t xml:space="preserve"> </w:t>
      </w:r>
      <m:oMath>
        <m:sSub>
          <m:e>
            <m:r>
              <m:t>D</m:t>
            </m:r>
          </m:e>
          <m:sub>
            <m:r>
              <m:t>t</m:t>
            </m:r>
          </m:sub>
        </m:sSub>
      </m:oMath>
      <w:r>
        <w:t xml:space="preserve"> </w:t>
      </w:r>
      <w:r>
        <w:t xml:space="preserve">are the absorbed doses in the silver-loaded and the unloaded (reference) tissue. This macroscopic DEF assumes a homogeneous silver distribution and doses averaged over volumes much larger than a cell and the electron ranges; it describes only the physical stage of radio-enhancement.</w:t>
      </w:r>
    </w:p>
    <w:p>
      <w:pPr>
        <w:pStyle w:val="BodyText"/>
      </w:pPr>
      <w:r>
        <w:t xml:space="preserve">Below 50 keV the secondary electrons have sub-millimetre ranges in tissue (Section 1.2), so charged-particle equilibrium (CPE) holds except near interfaces [62, 71] and the dose equals the collision kerma (1.4), practically the kerma, since radiative losses in low-Z media are negligible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d>
                  <m:dPr>
                    <m:begChr m:val="("/>
                    <m:endChr m:val=")"/>
                    <m:sepChr m:val=""/>
                    <m:grow/>
                  </m:dPr>
                  <m:e>
                    <m:r>
                      <m:t>E</m:t>
                    </m:r>
                  </m:e>
                </m:d>
                <m:r>
                  <m:t> </m:t>
                </m:r>
                <m:f>
                  <m:fPr>
                    <m:type m:val="bar"/>
                  </m:fPr>
                  <m:num>
                    <m:sSub>
                      <m:e>
                        <m:r>
                          <m:t>μ</m:t>
                        </m:r>
                      </m:e>
                      <m:sub>
                        <m:r>
                          <m:t>e</m:t>
                        </m:r>
                        <m:r>
                          <m:t>n</m:t>
                        </m:r>
                      </m:sub>
                    </m:sSub>
                  </m:num>
                  <m:den>
                    <m:r>
                      <m:t>ρ</m:t>
                    </m:r>
                  </m:den>
                </m:f>
                <m:d>
                  <m:dPr>
                    <m:begChr m:val="("/>
                    <m:endChr m:val=")"/>
                    <m:sepChr m:val=""/>
                    <m:grow/>
                  </m:dPr>
                  <m:e>
                    <m:r>
                      <m:t>E</m:t>
                    </m:r>
                  </m:e>
                </m:d>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w:t>
      </w:r>
      <w:r>
        <w:t xml:space="preserve">is the spectral energy fluence,</w:t>
      </w:r>
      <w:r>
        <w:t xml:space="preserve"> </w:t>
      </w:r>
      <m:oMath>
        <m:r>
          <m:t>Φ</m:t>
        </m:r>
        <m:d>
          <m:dPr>
            <m:begChr m:val="("/>
            <m:endChr m:val=")"/>
            <m:sepChr m:val=""/>
            <m:grow/>
          </m:dPr>
          <m:e>
            <m:r>
              <m:t>E</m:t>
            </m:r>
          </m:e>
        </m:d>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which Section 2.7 tests.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the same rule yields the coefficients of tissue, water and air from elemental data (Section 2.8). Mass fractions from 0.1 to 2 % are considered. Substituting (2.21) and (2.22) into (2.20) gives the DEF at the surface: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d>
                      <m:dPr>
                        <m:begChr m:val="("/>
                        <m:endChr m:val=")"/>
                        <m:sepChr m:val=""/>
                        <m:grow/>
                      </m:dPr>
                      <m:e>
                        <m:r>
                          <m:t>E</m:t>
                        </m:r>
                      </m:e>
                    </m:d>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w:t>
      </w:r>
      <w:r>
        <w:t xml:space="preserve"> </w:t>
      </w:r>
      <w:r>
        <w:rPr>
          <w:rStyle w:val="VerbatimChar"/>
        </w:rPr>
        <w:t xml:space="preserve">def_factor</w:t>
      </w:r>
      <w:r>
        <w:t xml:space="preserve"> </w:t>
      </w:r>
      <w:r>
        <w:t xml:space="preserve">in</w:t>
      </w:r>
      <w:r>
        <w:t xml:space="preserve"> </w:t>
      </w:r>
      <w:r>
        <w:rPr>
          <w:rStyle w:val="VerbatimChar"/>
        </w:rPr>
        <w:t xml:space="preserve">xspec.py</w:t>
      </w:r>
      <w:r>
        <w:t xml:space="preserve"> </w:t>
      </w:r>
      <w:r>
        <w:t xml:space="preserve">sums over the 0.05 keV bins.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d>
                  <m:dPr>
                    <m:begChr m:val="("/>
                    <m:endChr m:val=")"/>
                    <m:sepChr m:val=""/>
                    <m:grow/>
                  </m:dPr>
                  <m:e>
                    <m:r>
                      <m:rPr>
                        <m:sty m:val="p"/>
                      </m:rPr>
                      <m:t>⟨</m:t>
                    </m:r>
                    <m:r>
                      <m:t>R</m:t>
                    </m:r>
                    <m:r>
                      <m:rPr>
                        <m:sty m:val="p"/>
                      </m:rPr>
                      <m:t>⟩</m:t>
                    </m:r>
                    <m:r>
                      <m:rPr>
                        <m:sty m:val="p"/>
                      </m:rPr>
                      <m:t>−</m:t>
                    </m:r>
                    <m:r>
                      <m:t>1</m:t>
                    </m:r>
                  </m:e>
                </m:d>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d>
                      <m:dPr>
                        <m:begChr m:val="("/>
                        <m:endChr m:val=")"/>
                        <m:sepChr m:val=""/>
                        <m:grow/>
                      </m:dPr>
                      <m:e>
                        <m:r>
                          <m:t>E</m:t>
                        </m:r>
                      </m:e>
                    </m:d>
                    <m:r>
                      <m:t> </m:t>
                    </m:r>
                    <m:sSub>
                      <m:e>
                        <m:r>
                          <m:t>d</m:t>
                        </m:r>
                      </m:e>
                      <m:sub>
                        <m:r>
                          <m:t>t</m:t>
                        </m:r>
                      </m:sub>
                    </m:sSub>
                    <m:d>
                      <m:dPr>
                        <m:begChr m:val="("/>
                        <m:endChr m:val=")"/>
                        <m:sepChr m:val=""/>
                        <m:grow/>
                      </m:dPr>
                      <m:e>
                        <m:r>
                          <m:t>E</m:t>
                        </m:r>
                      </m:e>
                    </m:d>
                    <m:r>
                      <m:t> </m:t>
                    </m:r>
                    <m:r>
                      <m:rPr>
                        <m:sty m:val="p"/>
                      </m:rPr>
                      <m:t>d</m:t>
                    </m:r>
                    <m:r>
                      <m:t>E</m:t>
                    </m:r>
                  </m:num>
                  <m:den>
                    <m:r>
                      <m:rPr>
                        <m:sty m:val="p"/>
                      </m:rPr>
                      <m:t>∫</m:t>
                    </m:r>
                    <m:sSub>
                      <m:e>
                        <m:r>
                          <m:t>d</m:t>
                        </m:r>
                      </m:e>
                      <m:sub>
                        <m:r>
                          <m:t>t</m:t>
                        </m:r>
                      </m:sub>
                    </m:sSub>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d>
          <m:dPr>
            <m:begChr m:val="("/>
            <m:endChr m:val=")"/>
            <m:sepChr m:val=""/>
            <m:grow/>
          </m:dPr>
          <m:e>
            <m:r>
              <m:t>E</m:t>
            </m:r>
          </m:e>
        </m:d>
        <m:r>
          <m:rPr>
            <m:sty m:val="p"/>
          </m:rPr>
          <m:t>=</m:t>
        </m:r>
        <m:sSub>
          <m:e>
            <m:d>
              <m:dPr>
                <m:begChr m:val="("/>
                <m:endChr m:val=")"/>
                <m:sepChr m:val=""/>
                <m:grow/>
              </m:dPr>
              <m:e>
                <m:sSub>
                  <m:e>
                    <m:r>
                      <m:t>μ</m:t>
                    </m:r>
                  </m:e>
                  <m:sub>
                    <m:r>
                      <m:t>e</m:t>
                    </m:r>
                    <m:r>
                      <m:t>n</m:t>
                    </m:r>
                  </m:sub>
                </m:sSub>
                <m:r>
                  <m:rPr>
                    <m:sty m:val="p"/>
                  </m:rPr>
                  <m:t>/</m:t>
                </m:r>
                <m:r>
                  <m:t>ρ</m:t>
                </m:r>
              </m:e>
            </m:d>
          </m:e>
          <m:sub>
            <m:r>
              <m:rPr>
                <m:sty m:val="p"/>
              </m:rPr>
              <m:t>A</m:t>
            </m:r>
            <m:r>
              <m:rPr>
                <m:sty m:val="p"/>
              </m:rPr>
              <m:t>g</m:t>
            </m:r>
          </m:sub>
        </m:sSub>
        <m:r>
          <m:rPr>
            <m:sty m:val="p"/>
          </m:rPr>
          <m:t>/</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and</w:t>
      </w:r>
      <w:r>
        <w:t xml:space="preserve"> </w:t>
      </w:r>
      <m:oMath>
        <m:sSub>
          <m:e>
            <m:r>
              <m:t>d</m:t>
            </m:r>
          </m:e>
          <m:sub>
            <m:r>
              <m:t>t</m:t>
            </m:r>
          </m:sub>
        </m:sSub>
        <m:d>
          <m:dPr>
            <m:begChr m:val="("/>
            <m:endChr m:val=")"/>
            <m:sepChr m:val=""/>
            <m:grow/>
          </m:dPr>
          <m:e>
            <m:r>
              <m:t>E</m:t>
            </m:r>
          </m:e>
        </m:d>
        <m:r>
          <m:rPr>
            <m:sty m:val="p"/>
          </m:rPr>
          <m:t>=</m:t>
        </m:r>
        <m:r>
          <m:t>Ψ</m:t>
        </m:r>
        <m:d>
          <m:dPr>
            <m:begChr m:val="("/>
            <m:endChr m:val=")"/>
            <m:sepChr m:val=""/>
            <m:grow/>
          </m:dPr>
          <m:e>
            <m:r>
              <m:t>E</m:t>
            </m:r>
          </m:e>
        </m:d>
        <m:r>
          <m:t> </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w:t>
      </w:r>
      <w:r>
        <w:t xml:space="preserve">is the dose-weighted mean of</w:t>
      </w:r>
      <w:r>
        <w:t xml:space="preserve"> </w:t>
      </w:r>
      <m:oMath>
        <m:r>
          <m:t>R</m:t>
        </m:r>
        <m:d>
          <m:dPr>
            <m:begChr m:val="("/>
            <m:endChr m:val=")"/>
            <m:sepChr m:val=""/>
            <m:grow/>
          </m:dPr>
          <m:e>
            <m:r>
              <m:t>E</m:t>
            </m:r>
          </m:e>
        </m:d>
      </m:oMath>
      <w:r>
        <w:t xml:space="preserve"> </w:t>
      </w:r>
      <w:r>
        <w:t xml:space="preserve">and the slope</w:t>
      </w:r>
      <w:r>
        <w:t xml:space="preserve"> </w:t>
      </w:r>
      <m:oMath>
        <m:r>
          <m:rPr>
            <m:sty m:val="p"/>
          </m:rPr>
          <m:t>⟨</m:t>
        </m:r>
        <m:r>
          <m:t>R</m:t>
        </m:r>
        <m:r>
          <m:rPr>
            <m:sty m:val="p"/>
          </m:rPr>
          <m:t>⟩</m:t>
        </m:r>
        <m:r>
          <m:rPr>
            <m:sty m:val="p"/>
          </m:rPr>
          <m:t>−</m:t>
        </m:r>
        <m:r>
          <m:t>1</m:t>
        </m:r>
      </m:oMath>
      <w:r>
        <w:t xml:space="preserve"> </w:t>
      </w:r>
      <w:r>
        <w:t xml:space="preserve">depends on the spectrum alone. For ICRU-44 tissue,</w:t>
      </w:r>
      <w:r>
        <w:t xml:space="preserve"> </w:t>
      </w:r>
      <m:oMath>
        <m:r>
          <m:t>R</m:t>
        </m:r>
        <m:d>
          <m:dPr>
            <m:begChr m:val="("/>
            <m:endChr m:val=")"/>
            <m:sepChr m:val=""/>
            <m:grow/>
          </m:dPr>
          <m:e>
            <m:r>
              <m:t>E</m:t>
            </m:r>
          </m:e>
        </m:d>
      </m:oMath>
      <w:r>
        <w:t xml:space="preserve"> </w:t>
      </w:r>
      <w:r>
        <w:t xml:space="preserve">jumps at the Ag K-edge (25.514 keV) from 31.8 to about 76 and reaches about 139 at 40–45 keV (Section 1.2). Shifting the dose spectrum above the K-edge therefore raises the slope, the basis of the filter optimisation in Chapter 3.</w:t>
      </w:r>
    </w:p>
    <w:p>
      <w:pPr>
        <w:pStyle w:val="BodyText"/>
      </w:pPr>
      <w:r>
        <w:t xml:space="preserve">With depth the spectrum hardens; 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d>
          <m:dPr>
            <m:begChr m:val="("/>
            <m:endChr m:val=")"/>
            <m:sepChr m:val=""/>
            <m:grow/>
          </m:dPr>
          <m:e>
            <m:r>
              <m:t>E</m:t>
            </m:r>
          </m:e>
        </m:d>
      </m:oMath>
      <w:r>
        <w:t xml:space="preserve"> </w:t>
      </w:r>
      <w:r>
        <w:t xml:space="preserve">is the surface energy fluence and</w:t>
      </w:r>
      <w:r>
        <w:t xml:space="preserve"> </w:t>
      </w:r>
      <m:oMath>
        <m:sSub>
          <m:e>
            <m:r>
              <m:t>μ</m:t>
            </m:r>
          </m:e>
          <m:sub>
            <m:r>
              <m:t>t</m:t>
            </m:r>
          </m:sub>
        </m:sSub>
        <m:d>
          <m:dPr>
            <m:begChr m:val="("/>
            <m:endChr m:val=")"/>
            <m:sepChr m:val=""/>
            <m:grow/>
          </m:dPr>
          <m:e>
            <m:r>
              <m:t>E</m:t>
            </m:r>
          </m:e>
        </m:d>
        <m:r>
          <m:rPr>
            <m:sty m:val="p"/>
          </m:rPr>
          <m:t>=</m:t>
        </m:r>
        <m:sSub>
          <m:e>
            <m:r>
              <m:t>ρ</m:t>
            </m:r>
          </m:e>
          <m:sub>
            <m:r>
              <m:t>t</m:t>
            </m:r>
          </m:sub>
        </m:sSub>
        <m:r>
          <m:t> </m:t>
        </m:r>
        <m:sSub>
          <m:e>
            <m:d>
              <m:dPr>
                <m:begChr m:val="("/>
                <m:endChr m:val=")"/>
                <m:sepChr m:val=""/>
                <m:grow/>
              </m:dPr>
              <m:e>
                <m:r>
                  <m:t>μ</m:t>
                </m:r>
                <m:r>
                  <m:rPr>
                    <m:sty m:val="p"/>
                  </m:rPr>
                  <m:t>/</m:t>
                </m:r>
                <m:r>
                  <m:t>ρ</m:t>
                </m:r>
              </m:e>
            </m:d>
          </m:e>
          <m:sub>
            <m:r>
              <m:t>t</m:t>
            </m:r>
          </m:sub>
        </m:sSub>
        <m:d>
          <m:dPr>
            <m:begChr m:val="("/>
            <m:endChr m:val=")"/>
            <m:sepChr m:val=""/>
            <m:grow/>
          </m:dPr>
          <m:e>
            <m:r>
              <m:t>E</m:t>
            </m:r>
          </m:e>
        </m:d>
      </m:oMath>
      <w:r>
        <w:t xml:space="preserve"> </w:t>
      </w:r>
      <w:r>
        <w:t xml:space="preserve">is the linear attenuation coefficient of tissue of density</w:t>
      </w:r>
      <w:r>
        <w:t xml:space="preserve"> </w:t>
      </w:r>
      <m:oMath>
        <m:sSub>
          <m:e>
            <m:r>
              <m:t>ρ</m:t>
            </m:r>
          </m:e>
          <m:sub>
            <m:r>
              <m:t>t</m:t>
            </m:r>
          </m:sub>
        </m:sSub>
      </m:oMath>
      <w:r>
        <w:t xml:space="preserve"> </w:t>
      </w:r>
      <w:r>
        <w:t xml:space="preserve">= 1.06 g/cm³; scatter and the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d>
          <m:dPr>
            <m:begChr m:val="("/>
            <m:endChr m:val=")"/>
            <m:sepChr m:val=""/>
            <m:grow/>
          </m:dPr>
          <m:e>
            <m:r>
              <m:t>E</m:t>
            </m:r>
          </m:e>
        </m:d>
      </m:oMath>
      <w:r>
        <w:t xml:space="preserve"> </w:t>
      </w:r>
      <w:r>
        <w:t xml:space="preserve">is small, so the DEF increases with depth. Silver filling the whole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r>
                              <m:rPr>
                                <m:sty m:val="p"/>
                              </m:rPr>
                              <m:t>+</m:t>
                            </m:r>
                            <m:r>
                              <m:rPr>
                                <m:sty m:val="p"/>
                              </m:rPr>
                              <m:t>A</m:t>
                            </m:r>
                            <m:r>
                              <m:rPr>
                                <m:sty m:val="p"/>
                              </m:rPr>
                              <m:t>g</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sty m:val="p"/>
              </m:rPr>
              <m:t>A</m:t>
            </m:r>
            <m:r>
              <m:rPr>
                <m:sty m:val="p"/>
              </m:rPr>
              <m:t>g</m:t>
            </m:r>
          </m:sub>
        </m:sSub>
        <m:d>
          <m:dPr>
            <m:begChr m:val="("/>
            <m:endChr m:val=")"/>
            <m:sepChr m:val=""/>
            <m:grow/>
          </m:dPr>
          <m:e>
            <m:r>
              <m:t>E</m:t>
            </m:r>
          </m:e>
        </m:d>
        <m:r>
          <m:rPr>
            <m:sty m:val="p"/>
          </m:rPr>
          <m:t>=</m:t>
        </m:r>
        <m:sSub>
          <m:e>
            <m:r>
              <m:t>ρ</m:t>
            </m:r>
          </m:e>
          <m:sub>
            <m:r>
              <m:t>t</m:t>
            </m:r>
          </m:sub>
        </m:sSub>
        <m:d>
          <m:dPr>
            <m:begChr m:val="["/>
            <m:endChr m:val="]"/>
            <m:sepChr m:val=""/>
            <m:grow/>
          </m:dPr>
          <m:e>
            <m:d>
              <m:dPr>
                <m:begChr m:val="("/>
                <m:endChr m:val=")"/>
                <m:sepChr m:val=""/>
                <m:grow/>
              </m:dPr>
              <m:e>
                <m:r>
                  <m:t>1</m:t>
                </m:r>
                <m:r>
                  <m:rPr>
                    <m:sty m:val="p"/>
                  </m:rPr>
                  <m:t>−</m:t>
                </m:r>
                <m:r>
                  <m:t>w</m:t>
                </m:r>
              </m:e>
            </m:d>
            <m:sSub>
              <m:e>
                <m:d>
                  <m:dPr>
                    <m:begChr m:val="("/>
                    <m:endChr m:val=")"/>
                    <m:sepChr m:val=""/>
                    <m:grow/>
                  </m:dPr>
                  <m:e>
                    <m:r>
                      <m:t>μ</m:t>
                    </m:r>
                    <m:r>
                      <m:rPr>
                        <m:sty m:val="p"/>
                      </m:rPr>
                      <m:t>/</m:t>
                    </m:r>
                    <m:r>
                      <m:t>ρ</m:t>
                    </m:r>
                  </m:e>
                </m:d>
              </m:e>
              <m:sub>
                <m:r>
                  <m:t>t</m:t>
                </m:r>
              </m:sub>
            </m:sSub>
            <m:r>
              <m:rPr>
                <m:sty m:val="p"/>
              </m:rPr>
              <m:t>+</m:t>
            </m:r>
            <m:r>
              <m:t>w</m:t>
            </m:r>
            <m:r>
              <m:t> </m:t>
            </m:r>
            <m:sSub>
              <m:e>
                <m:d>
                  <m:dPr>
                    <m:begChr m:val="("/>
                    <m:endChr m:val=")"/>
                    <m:sepChr m:val=""/>
                    <m:grow/>
                  </m:dPr>
                  <m:e>
                    <m:r>
                      <m:t>μ</m:t>
                    </m:r>
                    <m:r>
                      <m:rPr>
                        <m:sty m:val="p"/>
                      </m:rPr>
                      <m:t>/</m:t>
                    </m:r>
                    <m:r>
                      <m:t>ρ</m:t>
                    </m:r>
                  </m:e>
                </m:d>
              </m:e>
              <m:sub>
                <m:r>
                  <m:rPr>
                    <m:sty m:val="p"/>
                  </m:rPr>
                  <m:t>A</m:t>
                </m:r>
                <m:r>
                  <m:rPr>
                    <m:sty m:val="p"/>
                  </m:rPr>
                  <m:t>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and the denominator refers to silver-free tissue. The added attenuation removes preferentially the most effective photons, so</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not resolved by the DEF, short-range photo- and Auger electrons deposit much of their energy close to nanoparticles [30], which can produce biological effects beyond the macroscopic enhancement (local effect model) [31] depending on photon energy and particle size, concentration and location [97]. The DEF calculated here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the Ag K-fluorescence and the neglect of scatter assumed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d>
          <m:dPr>
            <m:begChr m:val="("/>
            <m:endChr m:val=")"/>
            <m:sepChr m:val=""/>
            <m:grow/>
          </m:dPr>
          <m:e>
            <m:r>
              <m:t>1</m:t>
            </m:r>
            <m:r>
              <m:rPr>
                <m:sty m:val="p"/>
              </m:rPr>
              <m:t>−</m:t>
            </m:r>
            <m:r>
              <m:t>w</m:t>
            </m:r>
          </m:e>
        </m:d>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energy is scored in 0.25 mm bins. The SpekPy spectra of the 45 kV tube (θ = 12°, 0.5 mm Be, 10 cm air), unfiltered and with 1 mm Al, are sampled by inversion of the cumulative distribution. Free paths are sampled by Woodcock (delta) tracking [63, 117] with the majorant</w:t>
      </w:r>
      <w:r>
        <w:t xml:space="preserve"> </w:t>
      </w:r>
      <m:oMath>
        <m:sSub>
          <m:e>
            <m:r>
              <m:t>μ</m:t>
            </m:r>
          </m:e>
          <m:sub>
            <m:r>
              <m:rPr>
                <m:sty m:val="p"/>
              </m:rPr>
              <m:t>max</m:t>
            </m:r>
          </m:sub>
        </m:sSub>
        <m:d>
          <m:dPr>
            <m:begChr m:val="("/>
            <m:endChr m:val=")"/>
            <m:sepChr m:val=""/>
            <m:grow/>
          </m:dPr>
          <m:e>
            <m:r>
              <m:t>E</m:t>
            </m:r>
          </m:e>
        </m:d>
        <m:r>
          <m:rPr>
            <m:sty m:val="p"/>
          </m:rPr>
          <m:t>=</m:t>
        </m:r>
        <m:sSub>
          <m:e>
            <m:r>
              <m:t>μ</m:t>
            </m:r>
          </m:e>
          <m:sub>
            <m:r>
              <m:t>t</m:t>
            </m:r>
          </m:sub>
        </m:sSub>
        <m:d>
          <m:dPr>
            <m:begChr m:val="("/>
            <m:endChr m:val=")"/>
            <m:sepChr m:val=""/>
            <m:grow/>
          </m:dPr>
          <m:e>
            <m:r>
              <m:t>E</m:t>
            </m:r>
          </m:e>
        </m:d>
        <m:r>
          <m:rPr>
            <m:sty m:val="p"/>
          </m:rPr>
          <m:t>+</m:t>
        </m:r>
        <m:sSub>
          <m:e>
            <m:r>
              <m:t>μ</m:t>
            </m:r>
          </m:e>
          <m:sub>
            <m:r>
              <m:rPr>
                <m:sty m:val="p"/>
              </m:rPr>
              <m:t>A</m:t>
            </m:r>
            <m:r>
              <m:rPr>
                <m:sty m:val="p"/>
              </m:rPr>
              <m:t>g</m:t>
            </m:r>
          </m:sub>
        </m:sSub>
        <m:d>
          <m:dPr>
            <m:begChr m:val="("/>
            <m:endChr m:val=")"/>
            <m:sepChr m:val=""/>
            <m:grow/>
          </m:dPr>
          <m:e>
            <m:r>
              <m:t>E</m:t>
            </m:r>
          </m:e>
        </m:d>
      </m:oMath>
      <w:r>
        <w:t xml:space="preserve">, where</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d>
              <m:dPr>
                <m:begChr m:val="("/>
                <m:endChr m:val=")"/>
                <m:sepChr m:val=""/>
                <m:grow/>
              </m:dPr>
              <m:e>
                <m:r>
                  <m:t>μ</m:t>
                </m:r>
                <m:r>
                  <m:rPr>
                    <m:sty m:val="p"/>
                  </m:rPr>
                  <m:t>/</m:t>
                </m:r>
                <m:r>
                  <m:t>ρ</m:t>
                </m:r>
              </m:e>
            </m:d>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is a random number uniform in (0, 1); at the new depth</w:t>
      </w:r>
      <w:r>
        <w:t xml:space="preserve"> </w:t>
      </w:r>
      <m:oMath>
        <m:r>
          <m:t>z</m:t>
        </m:r>
        <m:r>
          <m:rPr>
            <m:sty m:val="p"/>
          </m:rPr>
          <m:t>+</m:t>
        </m:r>
        <m:r>
          <m:t>u</m:t>
        </m:r>
        <m:r>
          <m:t> </m:t>
        </m:r>
        <m:r>
          <m:t>s</m:t>
        </m:r>
      </m:oMath>
      <w:r>
        <w:t xml:space="preserve"> </w:t>
      </w:r>
      <w:r>
        <w:t xml:space="preserve">the collision is real with the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d>
                      <m:dPr>
                        <m:begChr m:val="("/>
                        <m:endChr m:val=")"/>
                        <m:sepChr m:val=""/>
                        <m:grow/>
                      </m:dPr>
                      <m:e>
                        <m:r>
                          <m:t>z</m:t>
                        </m:r>
                        <m:r>
                          <m:rPr>
                            <m:sty m:val="p"/>
                          </m:rPr>
                          <m:t>,</m:t>
                        </m:r>
                        <m:r>
                          <m:t>E</m:t>
                        </m:r>
                      </m:e>
                    </m:d>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d>
          <m:dPr>
            <m:begChr m:val="("/>
            <m:endChr m:val=")"/>
            <m:sepChr m:val=""/>
            <m:grow/>
          </m:dPr>
          <m:e>
            <m:r>
              <m:t>z</m:t>
            </m:r>
            <m:r>
              <m:rPr>
                <m:sty m:val="p"/>
              </m:rPr>
              <m:t>,</m:t>
            </m:r>
            <m:r>
              <m:t>E</m:t>
            </m:r>
          </m:e>
        </m:d>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tables of the Klein–Nishina cross-section times the incoherent scattering function and of the Thomson cross-section times the squared atomic form factor [64] for tissue, as silver contributes only a few per cent of the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d>
                      <m:dPr>
                        <m:begChr m:val="("/>
                        <m:endChr m:val=")"/>
                        <m:sepChr m:val=""/>
                        <m:grow/>
                      </m:dPr>
                      <m:e>
                        <m:r>
                          <m:t>1</m:t>
                        </m:r>
                        <m:r>
                          <m:rPr>
                            <m:sty m:val="p"/>
                          </m:rPr>
                          <m:t>−</m:t>
                        </m:r>
                        <m:r>
                          <m:rPr>
                            <m:sty m:val="p"/>
                          </m:rPr>
                          <m:t>cos</m:t>
                        </m:r>
                        <m:r>
                          <m:t>ϑ</m:t>
                        </m:r>
                      </m:e>
                    </m:d>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w:t>
      </w:r>
      <w:r>
        <w:t xml:space="preserve"> </w:t>
      </w:r>
      <m:oMath>
        <m:r>
          <m:t>E</m:t>
        </m:r>
        <m:r>
          <m:rPr>
            <m:sty m:val="p"/>
          </m:rPr>
          <m:t>−</m:t>
        </m:r>
        <m:r>
          <m:t>E</m:t>
        </m:r>
        <m:r>
          <m:rPr>
            <m:sty m:val="p"/>
          </m:rPr>
          <m:t>′</m:t>
        </m:r>
      </m:oMath>
      <w:r>
        <w:t xml:space="preserve"> </w:t>
      </w:r>
      <w:r>
        <w:t xml:space="preserve">is deposited locally, and the direction cosine becomes</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sty m:val="p"/>
              </m:rPr>
              <m:t>A</m:t>
            </m:r>
            <m:r>
              <m:rPr>
                <m:sty m:val="p"/>
              </m:rPr>
              <m:t>g</m:t>
            </m:r>
          </m:sub>
        </m:sSub>
      </m:oMath>
      <w:r>
        <w:t xml:space="preserve">) and</w:t>
      </w:r>
      <w:r>
        <w:t xml:space="preserve"> </w:t>
      </w:r>
      <m:oMath>
        <m:r>
          <m:t>Δ</m:t>
        </m:r>
        <m:r>
          <m:t>z</m:t>
        </m:r>
      </m:oMath>
      <w:r>
        <w:t xml:space="preserve"> </w:t>
      </w:r>
      <w:r>
        <w:t xml:space="preserve">= 0.25 mm.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the surface dose to the primary kerma is 1.31 owing to backscatter, which depends on field size and source distance [118], and the energy-transfer coefficient from the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taken from the NIST tables [59, 75]. The module</w:t>
      </w:r>
      <w:r>
        <w:t xml:space="preserve"> </w:t>
      </w:r>
      <w:r>
        <w:rPr>
          <w:rStyle w:val="VerbatimChar"/>
        </w:rPr>
        <w:t xml:space="preserve">nist.py</w:t>
      </w:r>
      <w:r>
        <w:t xml:space="preserve"> </w:t>
      </w:r>
      <w:r>
        <w:t xml:space="preserve">interpolates them log–log within each segment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1.72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with DM spectra used for comparison. The code is written in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(lines excluded)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(i) component checks, e.g. of the stopping power against NIST ESTAR [69] (Section 2.2); (ii) comparison with SpekPy for 25–50 kV and anode angles of 6–30°, with and without 1 mm Al, plus a tungsten-anode check; (iii) DEF comparison for DM and SpekPy spectra; (iv) MC verification; and (v)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(Chapter 3), i.e. 15.3 Gy/s at 40 mA, and the tissue surface receives 2 Gy in 0.12 s, so accidental hand exposure causes severe local injuries within seconds. The primary beam, the scatter from the sample and holder, and the housing leakage must all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the Republic of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 closed enclosure whose door interlocks switch off the high voltage or close the shutter, warning lights, and fixed holders and collimators that keep the hands out of the beam. Staff training, local rules, personal dosimetry and dose-rate surveys, particularly after maintenance, complement them. The high-voltage generator is a further hazard, and the beryllium window must not be touched, since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the unnecessary skin dose in the sense of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with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Beam-quality parameters (HVLs, homogeneity coefficient, mean and effective energies) and air kerma are calculated identically for DM and SpekPy spectra.</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sty m:val="p"/>
          </m:rPr>
          <m:t>D</m:t>
        </m:r>
        <m:r>
          <m:rPr>
            <m:sty m:val="p"/>
          </m:rPr>
          <m:t>E</m:t>
        </m:r>
        <m:r>
          <m:rPr>
            <m:sty m:val="p"/>
          </m:rPr>
          <m:t>F</m:t>
        </m:r>
        <m:r>
          <m:rPr>
            <m:sty m:val="p"/>
          </m:rPr>
          <m:t>−</m:t>
        </m:r>
        <m:r>
          <m:t>1</m:t>
        </m:r>
      </m:oMath>
      <w:r>
        <w:t xml:space="preserve"> </w:t>
      </w:r>
      <w:r>
        <w:t xml:space="preserve">is exactly proportional to</w:t>
      </w:r>
      <w:r>
        <w:t xml:space="preserve"> </w:t>
      </w:r>
      <m:oMath>
        <m:r>
          <m:t>w</m:t>
        </m:r>
      </m:oMath>
      <w:r>
        <w:t xml:space="preserve">, with a slope set by the dose spectrum above the Ag K-edge, while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37 %, which would overestimate the DEF (1.72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with the reference code SpekPy v2.5.4 [15, 58]. Unless stated otherwise, the baseline conditions of Table 2.1 apply: a constant potential of 45 kV, an anode angle θ = 12°, a 0.5 mm Be window, 10 cm of air between the focal spot and the sample, and 0.05 keV energy bins. The dose enhancement factor (DEF) is calculated in the kerma approximation, which assumes charged-particle equilibrium (CPE), for ICRU-44 soft tissue [61] with NIST mass energy-absorption coefficients [59];</w:t>
      </w:r>
      <w:r>
        <w:t xml:space="preserve"> </w:t>
      </w:r>
      <m:oMath>
        <m:r>
          <m:t>R</m:t>
        </m:r>
        <m:d>
          <m:dPr>
            <m:begChr m:val="("/>
            <m:endChr m:val=")"/>
            <m:sepChr m:val=""/>
            <m:grow/>
          </m:dPr>
          <m:e>
            <m:r>
              <m:t>E</m:t>
            </m:r>
          </m:e>
        </m:d>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No measured spectrum of the particular tube was available, so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d>
                  <m:dPr>
                    <m:begChr m:val="("/>
                    <m:endChr m:val=")"/>
                    <m:sepChr m:val=""/>
                    <m:grow/>
                  </m:dPr>
                  <m:e>
                    <m:r>
                      <m:t>η</m:t>
                    </m:r>
                  </m:e>
                </m:d>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d>
                                      <m:dPr>
                                        <m:begChr m:val="("/>
                                        <m:endChr m:val=")"/>
                                        <m:sepChr m:val=""/>
                                        <m:grow/>
                                      </m:dPr>
                                      <m:e>
                                        <m:r>
                                          <m:t>η</m:t>
                                        </m:r>
                                      </m:e>
                                    </m:d>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d>
          <m:dPr>
            <m:begChr m:val="("/>
            <m:endChr m:val=")"/>
            <m:sepChr m:val=""/>
            <m:grow/>
          </m:dPr>
          <m:e>
            <m:r>
              <m:t>η</m:t>
            </m:r>
          </m:e>
        </m:d>
      </m:oMath>
      <w:r>
        <w:t xml:space="preserve"> </w:t>
      </w:r>
      <w:r>
        <w:t xml:space="preserve">and</w:t>
      </w:r>
      <w:r>
        <w:t xml:space="preserve"> </w:t>
      </w:r>
      <m:oMath>
        <m:sSub>
          <m:e>
            <m:r>
              <m:t>b</m:t>
            </m:r>
          </m:e>
          <m:sub>
            <m:r>
              <m:t>i</m:t>
            </m:r>
          </m:sub>
        </m:sSub>
      </m:oMath>
      <w:r>
        <w:t xml:space="preserve"> </w:t>
      </w:r>
      <w:r>
        <w:t xml:space="preserve">are the bremsstrahlung fluences of the DM and of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 the factor</w:t>
      </w:r>
      <w:r>
        <w:t xml:space="preserve"> </w:t>
      </w:r>
      <m:oMath>
        <m:r>
          <m:t>1</m:t>
        </m:r>
        <m:r>
          <m:rPr>
            <m:sty m:val="p"/>
          </m:rPr>
          <m:t>/</m:t>
        </m:r>
        <m:sSub>
          <m:e>
            <m:r>
              <m:rPr>
                <m:sty m:val="p"/>
              </m:rPr>
              <m:t>max</m:t>
            </m:r>
          </m:e>
          <m:sub>
            <m:r>
              <m:t>i</m:t>
            </m:r>
          </m:sub>
        </m:sSub>
        <m:sSub>
          <m:e>
            <m:r>
              <m:t>b</m:t>
            </m:r>
          </m:e>
          <m:sub>
            <m:r>
              <m:t>i</m:t>
            </m:r>
          </m:sub>
        </m:sSub>
      </m:oMath>
      <w:r>
        <w:t xml:space="preserve"> </w:t>
      </w:r>
      <w:r>
        <w:t xml:space="preserve">expresses the deviation 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w:t>
      </w:r>
      <w:r>
        <w:t xml:space="preserve"> </w:t>
      </w:r>
      <m:oMath>
        <m:r>
          <m:t>δ</m:t>
        </m:r>
        <m:r>
          <m:rPr>
            <m:sty m:val="p"/>
          </m:rPr>
          <m:t>=</m:t>
        </m:r>
        <m:r>
          <m:t>8.47</m:t>
        </m:r>
      </m:oMath>
      <w:r>
        <w:t xml:space="preserve"> </w:t>
      </w:r>
      <w:r>
        <w:t xml:space="preserve">%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6.481 µm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lower than that of SpekPy by 3.5–4.6 %. Without added filtration the HVL deviation ranges from −2.6 % to −19.4 %, because the DM underestimates the Cu K lines by about 25–43 %, and a weaker 8 keV line gives more weight to the softer 3–8 keV continuum in the air kerma. The deficit is largest at low voltage, where the Gryzinski cross-section [57] rises too slowly above the ionisation threshold compared with the distorted-wave Born calculations [114, 115] underlying the K-line model of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of the two models agree within about 10 % between 10 and 30 keV (Fig. 3.1). The DM continuum is slightly richer in photons at 10–20 keV and poorer above about 25 keV, the ratio falling to 0.80–0.85 at 40 keV; this mild softening explains the HVL deficit of about 4 % for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5219999" cy="358280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5219999" cy="358280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of the IEC 61267 quality RQR3 (1.78 mm Al) [111]. As for copper, the DM spectra have a slightly weaker high-energy tail (Fig. 3.2). A single value of</w:t>
      </w:r>
      <w:r>
        <w:t xml:space="preserve"> </w:t>
      </w:r>
      <m:oMath>
        <m:r>
          <m:t>η</m:t>
        </m:r>
      </m:oMath>
      <w:r>
        <w:t xml:space="preserve"> </w:t>
      </w:r>
      <w:r>
        <w:t xml:space="preserve">thus serves anodes with Z = 29 and Z = 74. The main weakness of the DM is the underestimated Cu K-line intensity, which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5219999" cy="3077486"/>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5219999" cy="3077486"/>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the air path remove practically all photons below about 3 keV. The continuum rises to a plateau at about 7–9 keV and drops abruptly at the Cu K-edge (8.98 keV), above which photons are absorbed in the anode much more strongly, so that the anode acts as its own K-edge filter. It then recovers to a shallow maximum near 12–13 keV and decreases to zero at 45 keV, so the Ag K-edge falls into its weak high-energy part. The Cu Kα (8.05 keV) and Kβ (8.91 keV) lines exceed the neighbouring continuum by more than two orders of magnitude.</w:t>
      </w:r>
    </w:p>
    <w:p>
      <w:pPr>
        <w:pStyle w:val="CaptionedFigure"/>
      </w:pPr>
      <w:r>
        <w:drawing>
          <wp:inline>
            <wp:extent cx="5219999" cy="3077486"/>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5219999" cy="3077486"/>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In the DM the line intensities follow from the K-shell ionisation yield (Section 2.4), the fluorescence yield</w:t>
      </w:r>
      <w:r>
        <w:t xml:space="preserve"> </w:t>
      </w:r>
      <m:oMath>
        <m:sSub>
          <m:e>
            <m:r>
              <m:t>ω</m:t>
            </m:r>
          </m:e>
          <m:sub>
            <m:r>
              <m:t>K</m:t>
            </m:r>
          </m:sub>
        </m:sSub>
        <m:r>
          <m:rPr>
            <m:sty m:val="p"/>
          </m:rPr>
          <m:t>=</m:t>
        </m:r>
        <m:r>
          <m:t>0.4538</m:t>
        </m:r>
      </m:oMath>
      <w:r>
        <w:t xml:space="preserve"> </w:t>
      </w:r>
      <w:r>
        <w:t xml:space="preserve">and the radiative rates of xraylib [60]. The Kβ/Kα fluence ratio of SpekPy, 0.1431, slightly exceeds the ratio of the radiative rates (0.134),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with a mean energy (2.19) of 10.38 keV, a first HVL below 50 µm Al and an effective energy below the Kα energy, the dose to soft tissue is delivered mainly by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 Combined with the dominance of 8 keV photons, for which</w:t>
      </w:r>
      <w:r>
        <w:t xml:space="preserve"> </w:t>
      </w:r>
      <m:oMath>
        <m:r>
          <m:t>R</m:t>
        </m:r>
        <m:d>
          <m:dPr>
            <m:begChr m:val="("/>
            <m:endChr m:val=")"/>
            <m:sepChr m:val=""/>
            <m:grow/>
          </m:dPr>
          <m:e>
            <m:r>
              <m:t>E</m:t>
            </m:r>
          </m:e>
        </m:d>
      </m:oMath>
      <w:r>
        <w:t xml:space="preserve"> </w:t>
      </w:r>
      <w:r>
        <w:t xml:space="preserve">is only 21.0, this predicts a modest DEF for the bare beam.</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the tube voltage and the Be window thickness were varied one at a time around the baseline (Table 3.4). Increasing the anode angle from 6° to 30° raises the air kerma by a factor of 1.56 because of weaker self-filtration in the anode: the exit path</w:t>
      </w:r>
      <w:r>
        <w:t xml:space="preserve"> </w:t>
      </w:r>
      <m:oMath>
        <m:r>
          <m:t>d</m:t>
        </m:r>
        <m:r>
          <m:rPr>
            <m:sty m:val="p"/>
          </m:rPr>
          <m:t>/</m:t>
        </m:r>
        <m:r>
          <m:rPr>
            <m:sty m:val="p"/>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 while the DEF hardly changes.</w:t>
      </w:r>
    </w:p>
    <w:p>
      <w:pPr>
        <w:pStyle w:val="CaptionedFigure"/>
      </w:pPr>
      <w:r>
        <w:drawing>
          <wp:inline>
            <wp:extent cx="5219999" cy="3077486"/>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5219999" cy="3077486"/>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from 25 to 50 kV the air kerma increases from 163 to 430 mGy/mAs,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to 1.2027 at 50 kV; at 25 kV no photon reaches the Ag K-edge, yet the DEF is already 1.19, so the enhancement of the unfiltered beam is caused almost entirely by photoabsorption in the L and M shells of Ag, where</w:t>
      </w:r>
      <w:r>
        <w:t xml:space="preserve"> </w:t>
      </w:r>
      <m:oMath>
        <m:r>
          <m:t>R</m:t>
        </m:r>
        <m:d>
          <m:dPr>
            <m:begChr m:val="("/>
            <m:endChr m:val=")"/>
            <m:sepChr m:val=""/>
            <m:grow/>
          </m:dPr>
          <m:e>
            <m:r>
              <m:t>E</m:t>
            </m:r>
          </m:e>
        </m:d>
      </m:oMath>
      <w:r>
        <w:t xml:space="preserve"> </w:t>
      </w:r>
      <w:r>
        <w:t xml:space="preserve">is 21–32.</w:t>
      </w:r>
    </w:p>
    <w:p>
      <w:pPr>
        <w:pStyle w:val="CaptionedFigure"/>
      </w:pPr>
      <w:r>
        <w:drawing>
          <wp:inline>
            <wp:extent cx="5219999" cy="3077486"/>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5219999" cy="3077486"/>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affects only the soft end of the spectrum (Fig. 3.6). Because beryllium (Z = 4) absorbs weakly, increasing the window thickness from 0.15 to 2.0 mm removes mainly photons below about 6 keV and lowers the air kerma from 423 to 271 mGy/mAs, while the DEF rises only slightly. The thickness is fixed by the tube design but must be known accurately, since it changes the output by more than one third.</w:t>
      </w:r>
    </w:p>
    <w:p>
      <w:pPr>
        <w:pStyle w:val="CaptionedFigure"/>
      </w:pPr>
      <w:r>
        <w:drawing>
          <wp:inline>
            <wp:extent cx="5219999" cy="3013448"/>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5219999" cy="3013448"/>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0.003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for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Added filters reshape the spectrum through the transmission</w:t>
      </w:r>
      <w:r>
        <w:t xml:space="preserve"> </w:t>
      </w:r>
      <m:oMath>
        <m:r>
          <m:rPr>
            <m:sty m:val="p"/>
          </m:rPr>
          <m:t>exp</m:t>
        </m:r>
        <m:d>
          <m:dPr>
            <m:begChr m:val="["/>
            <m:endChr m:val="]"/>
            <m:sepChr m:val=""/>
            <m:grow/>
          </m:dPr>
          <m:e>
            <m:r>
              <m:rPr>
                <m:sty m:val="p"/>
              </m:rPr>
              <m:t>−</m:t>
            </m:r>
            <m:sSub>
              <m:e>
                <m:r>
                  <m:t>μ</m:t>
                </m:r>
              </m:e>
              <m:sub>
                <m:r>
                  <m:t>f</m:t>
                </m:r>
              </m:sub>
            </m:sSub>
            <m:d>
              <m:dPr>
                <m:begChr m:val="("/>
                <m:endChr m:val=")"/>
                <m:sepChr m:val=""/>
                <m:grow/>
              </m:dPr>
              <m:e>
                <m:r>
                  <m:t>E</m:t>
                </m:r>
              </m:e>
            </m:d>
            <m:r>
              <m:t> </m:t>
            </m:r>
            <m:r>
              <m:t>t</m:t>
            </m:r>
          </m:e>
        </m:d>
      </m:oMath>
      <w:r>
        <w:t xml:space="preserve"> </w:t>
      </w:r>
      <w:r>
        <w:t xml:space="preserve">of (2.15), where</w:t>
      </w:r>
      <w:r>
        <w:t xml:space="preserve"> </w:t>
      </w:r>
      <m:oMath>
        <m:sSub>
          <m:e>
            <m:r>
              <m:t>μ</m:t>
            </m:r>
          </m:e>
          <m:sub>
            <m:r>
              <m:t>f</m:t>
            </m:r>
          </m:sub>
        </m:sSub>
        <m:d>
          <m:dPr>
            <m:begChr m:val="("/>
            <m:endChr m:val=")"/>
            <m:sepChr m:val=""/>
            <m:grow/>
          </m:dPr>
          <m:e>
            <m:r>
              <m:t>E</m:t>
            </m:r>
          </m:e>
        </m:d>
      </m:oMath>
      <w:r>
        <w:t xml:space="preserve"> </w:t>
      </w:r>
      <w:r>
        <w:t xml:space="preserve">and</w:t>
      </w:r>
      <w:r>
        <w:t xml:space="preserve"> </w:t>
      </w:r>
      <m:oMath>
        <m:r>
          <m:t>t</m:t>
        </m:r>
      </m:oMath>
      <w:r>
        <w:t xml:space="preserve"> </w:t>
      </w:r>
      <w:r>
        <w:t xml:space="preserve">are the linear attenuation coefficient and the thickness of the filter. Three groups were studied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and 49.8–65.0 % of the photons lie above the Ag K-edge.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5219999" cy="3080655"/>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5219999" cy="3080655"/>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The Cu K-edge (8.979 keV) lies just above the Cu Kα and Kβ energies, so copper is relatively transparent to its own K radiation while absorbing the 9–20 keV continuum very strongly. With 0.1 mm Cu the mean energy is close to that with 0.5 mm Al, yet the HVL is 6.5 times smaller: the mean energy is weighted by fluence and reflects the hard continuum, whereas the HVL is weighted by air kerma and is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 only</w:t>
      </w:r>
      <w:r>
        <w:t xml:space="preserve"> </w:t>
      </w:r>
      <m:oMath>
        <m:r>
          <m:t>7.64</m:t>
        </m:r>
        <m:r>
          <m:rPr>
            <m:sty m:val="p"/>
          </m:rPr>
          <m:t>×</m:t>
        </m:r>
        <m:sSup>
          <m:e>
            <m:r>
              <m:t>10</m:t>
            </m:r>
          </m:e>
          <m:sup>
            <m:r>
              <m:rPr>
                <m:sty m:val="p"/>
              </m:rPr>
              <m:t>−</m:t>
            </m:r>
            <m:r>
              <m:t>4</m:t>
            </m:r>
          </m:sup>
        </m:sSup>
      </m:oMath>
      <w:r>
        <w:t xml:space="preserve">. A 0.02 mm Ni filter, with its K-edge between Kα and Kβ, removes Kβ and the continuum just above 8.33 keV while transmitting Kα; the resulting quasi-monochromatic 8 keV beam suits x-ray diffraction but not dose enhancement by Ag.</w:t>
      </w:r>
    </w:p>
    <w:p>
      <w:pPr>
        <w:pStyle w:val="CaptionedFigure"/>
      </w:pPr>
      <w:r>
        <w:drawing>
          <wp:inline>
            <wp:extent cx="5219999" cy="3080655"/>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5219999" cy="3080655"/>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Mo filter thus leaves only 31.5 % of its photons above the Ag K-edge, and the 0.05 mm Ag filter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d>
          <m:dPr>
            <m:begChr m:val="("/>
            <m:endChr m:val=")"/>
            <m:sepChr m:val=""/>
            <m:grow/>
          </m:dPr>
          <m:e>
            <m:r>
              <m:t>E</m:t>
            </m:r>
          </m:e>
        </m:d>
      </m:oMath>
      <w:r>
        <w:t xml:space="preserve"> </w:t>
      </w:r>
      <w:r>
        <w:t xml:space="preserve">is highest, so 0.1 mm Sn gives a slightly larger HVL than 1 mm Al but fewer photons above the Ag K-edge (40.4 % against 49.8 %). Neither the mean energy nor the HVL alone therefore characterises the part of the spectrum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5219999" cy="3176549"/>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5219999" cy="3176549"/>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In the kerma approximation the DEF is a ratio of two spectrum-weighted integrals (2.23), determined by the energy distribution of the dose integrand</w:t>
      </w:r>
      <w:r>
        <w:t xml:space="preserve"> </w:t>
      </w:r>
      <m:oMath>
        <m:r>
          <m:t>E</m:t>
        </m:r>
        <m:r>
          <m:t> </m:t>
        </m:r>
        <m:r>
          <m:t>Φ</m:t>
        </m:r>
        <m:d>
          <m:dPr>
            <m:begChr m:val="("/>
            <m:endChr m:val=")"/>
            <m:sepChr m:val=""/>
            <m:grow/>
          </m:dPr>
          <m:e>
            <m:r>
              <m:t>E</m:t>
            </m:r>
          </m:e>
        </m:d>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d>
          <m:dPr>
            <m:begChr m:val="("/>
            <m:endChr m:val=")"/>
            <m:sepChr m:val=""/>
            <m:grow/>
          </m:dPr>
          <m:e>
            <m:r>
              <m:t>E</m:t>
            </m:r>
          </m:e>
        </m:d>
      </m:oMath>
      <w:r>
        <w:t xml:space="preserve"> </w:t>
      </w:r>
      <w:r>
        <w:t xml:space="preserve">is only 21.0 at 8 keV and 26.9 at 15 keV, so 1 % Ag raises the integrand almost uniformly by about 20 %. With 1 mm Al the integrand is concentrated between 15 and 45 keV, and above the Ag K-edge, where the integrand of the loaded tissue jumps,</w:t>
      </w:r>
      <w:r>
        <w:t xml:space="preserve"> </w:t>
      </w:r>
      <m:oMath>
        <m:r>
          <m:t>R</m:t>
        </m:r>
        <m:d>
          <m:dPr>
            <m:begChr m:val="("/>
            <m:endChr m:val=")"/>
            <m:sepChr m:val=""/>
            <m:grow/>
          </m:dPr>
          <m:e>
            <m:r>
              <m:t>E</m:t>
            </m:r>
          </m:e>
        </m:d>
      </m:oMath>
      <w:r>
        <w:t xml:space="preserve"> </w:t>
      </w:r>
      <w:r>
        <w:t xml:space="preserve">increases from 76.2 at 25.6 keV to 138.8 at 45 keV. Since about half of the photons of this beam lie above the edge, this region provides the larger part of the enhancement.</w:t>
      </w:r>
    </w:p>
    <w:p>
      <w:pPr>
        <w:pStyle w:val="CaptionedFigure"/>
      </w:pPr>
      <w:r>
        <w:drawing>
          <wp:inline>
            <wp:extent cx="5219999" cy="2199260"/>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5219999" cy="2199260"/>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d>
          <m:dPr>
            <m:begChr m:val="("/>
            <m:endChr m:val=")"/>
            <m:sepChr m:val=""/>
            <m:grow/>
          </m:dPr>
          <m:e>
            <m:r>
              <m:t>E</m:t>
            </m:r>
          </m:e>
        </m:d>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sty m:val="p"/>
          </m:rPr>
          <m:t>D</m:t>
        </m:r>
        <m:r>
          <m:rPr>
            <m:sty m:val="p"/>
          </m:rPr>
          <m:t>E</m:t>
        </m:r>
        <m:r>
          <m:rPr>
            <m:sty m:val="p"/>
          </m:rPr>
          <m:t>F</m:t>
        </m:r>
        <m:r>
          <m:rPr>
            <m:sty m:val="p"/>
          </m:rPr>
          <m:t>=</m:t>
        </m:r>
        <m:r>
          <m:t>1</m:t>
        </m:r>
        <m:r>
          <m:rPr>
            <m:sty m:val="p"/>
          </m:rPr>
          <m:t>+</m:t>
        </m:r>
        <m:r>
          <m:t>w</m:t>
        </m:r>
        <m:d>
          <m:dPr>
            <m:begChr m:val="("/>
            <m:endChr m:val=")"/>
            <m:sepChr m:val=""/>
            <m:grow/>
          </m:dPr>
          <m:e>
            <m:r>
              <m:rPr>
                <m:sty m:val="p"/>
              </m:rPr>
              <m:t>⟨</m:t>
            </m:r>
            <m:r>
              <m:t>R</m:t>
            </m:r>
            <m:r>
              <m:rPr>
                <m:sty m:val="p"/>
              </m:rPr>
              <m:t>⟩</m:t>
            </m:r>
            <m:r>
              <m:rPr>
                <m:sty m:val="p"/>
              </m:rPr>
              <m:t>−</m:t>
            </m:r>
            <m:r>
              <m:t>1</m:t>
            </m:r>
          </m:e>
        </m:d>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d>
          <m:dPr>
            <m:begChr m:val="("/>
            <m:endChr m:val=")"/>
            <m:sepChr m:val=""/>
            <m:grow/>
          </m:dPr>
          <m:e>
            <m:r>
              <m:t>E</m:t>
            </m:r>
          </m:e>
        </m:d>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is governed by the share of the dose integrand above the Ag K-edge rather than by the mean energy: the nearly pure Cu Kα beam behind the Ni filter gives practically the same DEF as the unfiltered beam (1.208 against 1.202), and at a similar HVL 0.1 mm Sn yields less than 1 mm Al (1.444 against 1.482) because it removes the hardest photons. Strict linearity holds at the surface; inside an extended Ag-loaded region the attenuation by Ag itself makes the dependence non-linear (Section 3.7).</w:t>
      </w:r>
    </w:p>
    <w:p>
      <w:pPr>
        <w:pStyle w:val="CaptionedFigure"/>
      </w:pPr>
      <w:r>
        <w:drawing>
          <wp:inline>
            <wp:extent cx="5219999" cy="3132645"/>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5219999" cy="3132645"/>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Such differences are small compared with those between filters, so the DEF is robust to the choice of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 this must be considered when DEF values for water and tissue are compared.</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lies below Al and Ti at all transmissions, Mo levels off near 1.4, and Ag passes through a maximum of about 1.35.</w:t>
      </w:r>
    </w:p>
    <w:p>
      <w:pPr>
        <w:pStyle w:val="CaptionedFigure"/>
      </w:pPr>
      <w:r>
        <w:drawing>
          <wp:inline>
            <wp:extent cx="5219999" cy="3086553"/>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5219999" cy="3086553"/>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found from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d>
                  <m:dPr>
                    <m:begChr m:val="("/>
                    <m:endChr m:val=")"/>
                    <m:sepChr m:val=""/>
                    <m:grow/>
                  </m:dPr>
                  <m:e>
                    <m:r>
                      <m:t>t</m:t>
                    </m:r>
                  </m:e>
                </m:d>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d>
                      <m:dPr>
                        <m:begChr m:val="("/>
                        <m:endChr m:val=")"/>
                        <m:sepChr m:val=""/>
                        <m:grow/>
                      </m:dPr>
                      <m:e>
                        <m:r>
                          <m:t>E</m:t>
                        </m:r>
                      </m:e>
                    </m:d>
                    <m:r>
                      <m:t> </m:t>
                    </m:r>
                    <m:r>
                      <m:t>E</m:t>
                    </m:r>
                    <m:r>
                      <m:t> </m:t>
                    </m:r>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d>
                          <m:dPr>
                            <m:begChr m:val="("/>
                            <m:endChr m:val=")"/>
                            <m:sepChr m:val=""/>
                            <m:grow/>
                          </m:dPr>
                          <m:e>
                            <m:r>
                              <m:t>E</m:t>
                            </m:r>
                          </m:e>
                        </m:d>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d>
                      <m:dPr>
                        <m:begChr m:val="("/>
                        <m:endChr m:val=")"/>
                        <m:sepChr m:val=""/>
                        <m:grow/>
                      </m:dPr>
                      <m:e>
                        <m:r>
                          <m:t>E</m:t>
                        </m:r>
                      </m:e>
                    </m:d>
                    <m:r>
                      <m:t> </m:t>
                    </m:r>
                    <m:r>
                      <m:t>E</m:t>
                    </m:r>
                    <m:r>
                      <m:t> </m:t>
                    </m:r>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sty m:val="p"/>
                <m:scr m:val="script"/>
              </m:rPr>
              <m:t>T</m:t>
            </m:r>
          </m:e>
          <m:sub>
            <m:r>
              <m:t>K</m:t>
            </m:r>
          </m:sub>
        </m:sSub>
        <m:d>
          <m:dPr>
            <m:begChr m:val="("/>
            <m:endChr m:val=")"/>
            <m:sepChr m:val=""/>
            <m:grow/>
          </m:dPr>
          <m:e>
            <m:r>
              <m:t>t</m:t>
            </m:r>
          </m:e>
        </m:d>
      </m:oMath>
      <w:r>
        <w:t xml:space="preserve"> </w:t>
      </w:r>
      <w:r>
        <w:t xml:space="preserve">is the air-kerma transmission,</w:t>
      </w:r>
      <w:r>
        <w:t xml:space="preserve"> </w:t>
      </w:r>
      <m:oMath>
        <m:sSub>
          <m:e>
            <m:r>
              <m:t>Φ</m:t>
            </m:r>
          </m:e>
          <m:sub>
            <m:r>
              <m:t>0</m:t>
            </m:r>
          </m:sub>
        </m:sSub>
        <m:d>
          <m:dPr>
            <m:begChr m:val="("/>
            <m:endChr m:val=")"/>
            <m:sepChr m:val=""/>
            <m:grow/>
          </m:dPr>
          <m:e>
            <m:r>
              <m:t>E</m:t>
            </m:r>
          </m:e>
        </m:d>
      </m:oMath>
      <w:r>
        <w:t xml:space="preserve"> </w:t>
      </w:r>
      <w:r>
        <w:t xml:space="preserve">the fluence spectrum of the unfiltered beam,</w:t>
      </w:r>
      <w:r>
        <w:t xml:space="preserve"> </w:t>
      </w:r>
      <m:oMath>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oMath>
      <w:r>
        <w:t xml:space="preserve"> </w:t>
      </w:r>
      <w:r>
        <w:t xml:space="preserve">the mass energy-absorption coefficient of air,</w:t>
      </w:r>
      <w:r>
        <w:t xml:space="preserve"> </w:t>
      </w:r>
      <m:oMath>
        <m:sSub>
          <m:e>
            <m:r>
              <m:t>μ</m:t>
            </m:r>
          </m:e>
          <m:sub>
            <m:r>
              <m:t>f</m:t>
            </m:r>
          </m:sub>
        </m:sSub>
        <m:d>
          <m:dPr>
            <m:begChr m:val="("/>
            <m:endChr m:val=")"/>
            <m:sepChr m:val=""/>
            <m:grow/>
          </m:dPr>
          <m:e>
            <m:r>
              <m:t>E</m:t>
            </m:r>
          </m:e>
        </m:d>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sty m:val="p"/>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Elements from Al to Co (Z = 13–27), with K-edges below the Cu Kα energy, absorb the Cu lines strongly and give 1.88–1.91 at 0.1 %, whereas for Ni to As (Z = 28–33) the K-edge lies above Kα, the transmitted line dominates the kerma, and these are the worst filters at 10 % and 1 %. Elements from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5219999" cy="315200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5219999" cy="315200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r>
                      <m:t> </m:t>
                    </m:r>
                    <m:sSub>
                      <m:e>
                        <m:d>
                          <m:dPr>
                            <m:begChr m:val="("/>
                            <m:endChr m:val=")"/>
                            <m:sepChr m:val=""/>
                            <m:grow/>
                          </m:dPr>
                          <m:e>
                            <m:sSub>
                              <m:e>
                                <m:r>
                                  <m:t>μ</m:t>
                                </m:r>
                              </m:e>
                              <m:sub>
                                <m:r>
                                  <m:t>e</m:t>
                                </m:r>
                                <m:r>
                                  <m:t>n</m:t>
                                </m:r>
                              </m:sub>
                            </m:sSub>
                            <m:r>
                              <m:rPr>
                                <m:sty m:val="p"/>
                              </m:rPr>
                              <m:t>/</m:t>
                            </m:r>
                            <m:r>
                              <m:t>ρ</m:t>
                            </m:r>
                          </m:e>
                        </m:d>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d>
          <m:dPr>
            <m:begChr m:val="("/>
            <m:endChr m:val=")"/>
            <m:sepChr m:val=""/>
            <m:grow/>
          </m:dPr>
          <m:e>
            <m:r>
              <m:t>E</m:t>
            </m:r>
          </m:e>
        </m:d>
      </m:oMath>
      <w:r>
        <w:t xml:space="preserve"> </w:t>
      </w:r>
      <w:r>
        <w:t xml:space="preserve">is the fluence spectrum per unit tube charge at 10 cm (cm</w:t>
      </w:r>
      <m:oMath>
        <m:sSup>
          <m:e>
            <m:r>
              <m:t>​</m:t>
            </m:r>
          </m:e>
          <m:sup>
            <m:r>
              <m:rPr>
                <m:sty m:val="p"/>
              </m:rPr>
              <m:t>−</m:t>
            </m:r>
            <m:r>
              <m:t>2</m:t>
            </m:r>
          </m:sup>
        </m:sSup>
      </m:oMath>
      <w:r>
        <w:t xml:space="preserve"> </w:t>
      </w:r>
      <w:r>
        <w:t xml:space="preserve">keV</w:t>
      </w:r>
      <m:oMath>
        <m:sSup>
          <m:e>
            <m:r>
              <m:t>​</m:t>
            </m:r>
          </m:e>
          <m:sup>
            <m:r>
              <m:rPr>
                <m:sty m:val="p"/>
              </m:rPr>
              <m:t>−</m:t>
            </m:r>
            <m:r>
              <m:t>1</m:t>
            </m:r>
          </m:sup>
        </m:sSup>
      </m:oMath>
      <w:r>
        <w:t xml:space="preserve"> </w:t>
      </w:r>
      <w:r>
        <w:t xml:space="preserve">mAs</w:t>
      </w:r>
      <m:oMath>
        <m:sSup>
          <m:e>
            <m:r>
              <m:t>​</m:t>
            </m:r>
          </m:e>
          <m:sup>
            <m:r>
              <m:rPr>
                <m:sty m:val="p"/>
              </m:rPr>
              <m:t>−</m:t>
            </m:r>
            <m:r>
              <m:t>1</m:t>
            </m:r>
          </m:sup>
        </m:sSup>
      </m:oMath>
      <w:r>
        <w:t xml:space="preserve">),</w:t>
      </w:r>
      <w:r>
        <w:t xml:space="preserve"> </w:t>
      </w:r>
      <m:oMath>
        <m:sSub>
          <m:e>
            <m:d>
              <m:dPr>
                <m:begChr m:val="("/>
                <m:endChr m:val=")"/>
                <m:sepChr m:val=""/>
                <m:grow/>
              </m:dPr>
              <m:e>
                <m:sSub>
                  <m:e>
                    <m:r>
                      <m:t>μ</m:t>
                    </m:r>
                  </m:e>
                  <m:sub>
                    <m:r>
                      <m:t>e</m:t>
                    </m:r>
                    <m:r>
                      <m:t>n</m:t>
                    </m:r>
                  </m:sub>
                </m:sSub>
                <m:r>
                  <m:rPr>
                    <m:sty m:val="p"/>
                  </m:rPr>
                  <m:t>/</m:t>
                </m:r>
                <m:r>
                  <m:t>ρ</m:t>
                </m:r>
              </m:e>
            </m:d>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m:oMath>
        <m:sSup>
          <m:e>
            <m:r>
              <m:t>​</m:t>
            </m:r>
          </m:e>
          <m:sup>
            <m:r>
              <m:rPr>
                <m:sty m:val="p"/>
              </m:rPr>
              <m:t>−</m:t>
            </m:r>
            <m:r>
              <m:t>1</m:t>
            </m:r>
          </m:sup>
        </m:sSup>
      </m:oMath>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raises the DEF for 1 % Ag from 1.20 to 1.48–1.62 at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In samples, phantoms or animals the Ag-loaded target lies beneath tissue that modifies the beam.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 ratio of</w:t>
      </w:r>
      <w:r>
        <w:t xml:space="preserve"> </w:t>
      </w:r>
      <m:oMath>
        <m:sSub>
          <m:e>
            <m:r>
              <m:t>μ</m:t>
            </m:r>
          </m:e>
          <m:sub>
            <m:r>
              <m:t>e</m:t>
            </m:r>
            <m:r>
              <m:t>n</m:t>
            </m:r>
          </m:sub>
        </m:sSub>
        <m:r>
          <m:rPr>
            <m:sty m:val="p"/>
          </m:rPr>
          <m:t>/</m:t>
        </m:r>
        <m:r>
          <m:t>ρ</m:t>
        </m:r>
      </m:oMath>
      <w:r>
        <w:t xml:space="preserve"> </w:t>
      </w:r>
      <w:r>
        <w:t xml:space="preserve">is larger. Without a filter the DEF for 1 % Ag rises from 1.20 to 1.56 at 20 mm, but the dose falls to 0.0090 at 10 mm as the Cu K lines and soft bremsstrahlung are absorbed: tissue acts as an added filter (Section 3.6). With Al 1 mm, which has already hardened the beam, the DEF rises only to 1.69 at 20 mm and the dose falls only to 0.439 at 10 mm.</w:t>
      </w:r>
    </w:p>
    <w:p>
      <w:pPr>
        <w:pStyle w:val="CaptionedFigure"/>
      </w:pPr>
      <w:r>
        <w:drawing>
          <wp:inline>
            <wp:extent cx="5219999" cy="3132645"/>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5219999" cy="3132645"/>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and Sn are the extremes. 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 Enhancement in a loaded region several millimetres thick is thus non-uniform and on average much lower than at the surface.</w:t>
      </w:r>
    </w:p>
    <w:p>
      <w:pPr>
        <w:pStyle w:val="CaptionedFigure"/>
      </w:pPr>
      <w:r>
        <w:drawing>
          <wp:inline>
            <wp:extent cx="5219999" cy="3158454"/>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5219999" cy="3158454"/>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since the maximum photon energy is</w:t>
      </w:r>
      <w:r>
        <w:t xml:space="preserve"> </w:t>
      </w:r>
      <m:oMath>
        <m:r>
          <m:t>e</m:t>
        </m:r>
        <m:r>
          <m:t>U</m:t>
        </m:r>
      </m:oMath>
      <w:r>
        <w:t xml:space="preserve"> </w:t>
      </w:r>
      <w:r>
        <w:t xml:space="preserve">(</w:t>
      </w:r>
      <m:oMath>
        <m:r>
          <m:t>e</m:t>
        </m:r>
      </m:oMath>
      <w:r>
        <w:t xml:space="preserve"> </w:t>
      </w:r>
      <w:r>
        <w:t xml:space="preserve">is the elementary charge),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5219999" cy="3174585"/>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5219999" cy="3174585"/>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DEF becomes 2.13–2.23 for Pt, Au and Bi and 1.71 for Gd, against 1.48 for Ag and 1.46 for I.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 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w:t>
      </w:r>
    </w:p>
    <w:p>
      <w:pPr>
        <w:pStyle w:val="CaptionedFigure"/>
      </w:pPr>
      <w:r>
        <w:drawing>
          <wp:inline>
            <wp:extent cx="5219999" cy="2993918"/>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5219999" cy="2993918"/>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Per unit mass, Ag is thus a weaker physical sensitizer at 45 kV than Gd, Pt, Au and Bi and comparable to iodine. With Al 1 mm its</w:t>
      </w:r>
      <w:r>
        <w:t xml:space="preserve"> </w:t>
      </w:r>
      <m:oMath>
        <m:r>
          <m:rPr>
            <m:sty m:val="p"/>
          </m:rPr>
          <m:t>D</m:t>
        </m:r>
        <m:r>
          <m:rPr>
            <m:sty m:val="p"/>
          </m:rPr>
          <m:t>E</m:t>
        </m:r>
        <m:r>
          <m:rPr>
            <m:sty m:val="p"/>
          </m:rPr>
          <m:t>F</m:t>
        </m:r>
        <m:r>
          <m:rPr>
            <m:sty m:val="p"/>
          </m:rPr>
          <m:t>−</m:t>
        </m:r>
        <m:r>
          <m:t>1</m:t>
        </m:r>
      </m:oMath>
      <w:r>
        <w:t xml:space="preserve"> </w:t>
      </w:r>
      <w:r>
        <w:t xml:space="preserve">(0.48) is less than half that of Au.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energy of Ag K-fluorescence, excluded from</w:t>
      </w:r>
      <w:r>
        <w:t xml:space="preserve"> </w:t>
      </w:r>
      <m:oMath>
        <m:sSub>
          <m:e>
            <m:r>
              <m:t>μ</m:t>
            </m:r>
          </m:e>
          <m:sub>
            <m:r>
              <m:t>e</m:t>
            </m:r>
            <m:r>
              <m:t>n</m:t>
            </m:r>
          </m:sub>
        </m:sSub>
        <m:r>
          <m:rPr>
            <m:sty m:val="p"/>
          </m:rPr>
          <m:t>/</m:t>
        </m:r>
        <m:r>
          <m:t>ρ</m:t>
        </m:r>
      </m:oMath>
      <w:r>
        <w:t xml:space="preserve"> </w:t>
      </w:r>
      <w:r>
        <w:t xml:space="preserve">of Ag, escapes. Both assumptions were tested with the Monte Carlo (MC) code of Section 2.7: a laterally infinite 30 mm slab of ICRU-44 tissue with 1 % Ag in a 10 mm layer at 2–12 mm depth was irradiated by a broad parallel beam with the unfiltered and Al 1 mm-filtered SpekPy spectra (</w:t>
      </w:r>
      <m:oMath>
        <m:r>
          <m:t>4</m:t>
        </m:r>
        <m:r>
          <m:rPr>
            <m:sty m:val="p"/>
          </m:rPr>
          <m:t>×</m:t>
        </m:r>
        <m:sSup>
          <m:e>
            <m:r>
              <m:t>10</m:t>
            </m:r>
          </m:e>
          <m:sup>
            <m:r>
              <m:t>6</m:t>
            </m:r>
          </m:sup>
        </m:sSup>
      </m:oMath>
      <w:r>
        <w:t xml:space="preserve"> </w:t>
      </w:r>
      <w:r>
        <w:t xml:space="preserve">histories in 5 batches). The reference is the primary-beam kerma model for the same geometry, including attenuation by Ag.</w:t>
      </w:r>
    </w:p>
    <w:p>
      <w:pPr>
        <w:pStyle w:val="BodyText"/>
      </w:pPr>
      <w:r>
        <w:t xml:space="preserve">Both methods give the same profile shape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 The agreement is within 1.2 % (unfiltered) and 3.0 % (Al 1 mm) at the entrance and 6.5 % and 10.1 % at the exit, MC being higher everywhere.</w:t>
      </w:r>
    </w:p>
    <w:p>
      <w:pPr>
        <w:pStyle w:val="CaptionedFigure"/>
      </w:pPr>
      <w:r>
        <w:drawing>
          <wp:inline>
            <wp:extent cx="5219999" cy="2283210"/>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5219999" cy="2283210"/>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which protects normal tissue behind a loaded tumour but also lowers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in the loaded and reference media together, so that it acts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5219999" cy="2261592"/>
            <wp:effectExtent b="0" l="0" r="0" t="0"/>
            <wp:docPr descr="Fig. 3.19. Sensitivity of the dose enhancement factor (1 % Ag, Al 1.0 mm, DEF = 1.482) to the input parameters at the two limits of each variation. Spectrum model: DM versus SpekPy; reference medium: ICRU four-component tissue (larger change) and water; η: relative to the DM value."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5219999" cy="2261592"/>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 Spectrum model: DM versus SpekPy; reference medium: ICRU four-component tissue (larger change) and water; η: relative to the DM value.</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Being a matter of definition, this is excluded from the uncertainty, but the reference medium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d>
                  <m:dPr>
                    <m:begChr m:val="("/>
                    <m:endChr m:val=")"/>
                    <m:sepChr m:val=""/>
                    <m:grow/>
                  </m:dPr>
                  <m:e>
                    <m:r>
                      <m:rPr>
                        <m:sty m:val="p"/>
                      </m:rPr>
                      <m:t>D</m:t>
                    </m:r>
                    <m:r>
                      <m:rPr>
                        <m:sty m:val="p"/>
                      </m:rPr>
                      <m:t>E</m:t>
                    </m:r>
                    <m:r>
                      <m:rPr>
                        <m:sty m:val="p"/>
                      </m:rPr>
                      <m:t>F</m:t>
                    </m:r>
                  </m:e>
                </m:d>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sty m:val="p"/>
          </m:rPr>
          <m:t>D</m:t>
        </m:r>
        <m:r>
          <m:rPr>
            <m:sty m:val="p"/>
          </m:rPr>
          <m:t>E</m:t>
        </m:r>
        <m:r>
          <m:rPr>
            <m:sty m:val="p"/>
          </m:rPr>
          <m:t>F</m:t>
        </m:r>
        <m:r>
          <m:rPr>
            <m:sty m:val="p"/>
          </m:rPr>
          <m:t>−</m:t>
        </m:r>
        <m:r>
          <m:t>1</m:t>
        </m:r>
        <m:r>
          <m:rPr>
            <m:sty m:val="p"/>
          </m:rPr>
          <m:t>=</m:t>
        </m:r>
        <m:r>
          <m:t>0.48</m:t>
        </m:r>
      </m:oMath>
      <w:r>
        <w:t xml:space="preserve">) and the differences between the main filters, so the filtration conclusions are robust. Incorrect interaction data would matter far more: the xraylib 4.3.0 function CS_Energy would give 1.72 instead of 1.48 (Section 2.8).</w:t>
      </w:r>
    </w:p>
    <w:p>
      <w:pPr>
        <w:pStyle w:val="Heading2"/>
      </w:pPr>
      <w:r>
        <w:t xml:space="preserve">3.11. Discussion</w:t>
      </w:r>
    </w:p>
    <w:p>
      <w:pPr>
        <w:pStyle w:val="FirstParagraph"/>
      </w:pPr>
      <w:r>
        <w:t xml:space="preserve">The results agree with earlier work. Enhancement in iodine-loaded tumours under kilovoltage x-rays was calculated in early studies [19, 20]; MC estimates for gold nanoparticles (AuNPs) showed a much larger macroscopic enhancement for kilovoltage than megavoltage beams [10]; and the enhancement by nanoparticles of various elements was characterised versus photon energy with a kerma-based approach like the present one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w:t>
      </w:r>
    </w:p>
    <w:p>
      <w:pPr>
        <w:pStyle w:val="BodyText"/>
      </w:pPr>
      <w:r>
        <w:t xml:space="preserve">MC studies of silver address AgNPs implanted in a brain tumour during brachytherapy [38], the effect of tumour dose enhancement by AgNPs on surrounding healthy tissues [39] and Ag versus Au nanoparticles in layered skin geometries [40]. Their conditions differ,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larger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the ratio of doses giving equal effect without and with the sensitizer, which, unlike the DEF, reflects all mechanisms [3]. Macroscopic physics predicts the opposite Ag–Au ranking at equal mass fraction and little enhancement at low loading (DEF 1.048 for 0.1 % Ag with Al 1 mm). Although the biological effect also depends on radiation quality, concentration and cellular localisation, the reported radiosensitization by AgNPs, especially their advantage over AuNPs, is unlikely to result from macroscopic dose enhancement alone. Two mechanisms may explain it: AgNPs cause ROS formation, DNA damage,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25–43 %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rather than xraylib CS_Energy coefficients, and always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for Al-filtered beams within −4.6 to −3.5 % in HVL and 1–2 % in DEF but underestimates the Cu K lines by 25–43 %.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The DEF rises with tube voltage, most steeply once photons above the Ag K-edge appear (above about 27 kV); per unit mass, Ag is a weaker physical sensitizer than Gd, Pt, Au and Bi and comparable to iodine.</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100–139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25–43 % and overestimates the air kerma by 8–42 %, yet its DEFs with Al filters agree with SpekPy within 1–2 %.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Cu K lines and 3–15 keV photons, where the Ag/tissue ratio is only 21–27.</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1.72,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w:t>
      </w:r>
      <w:r>
        <w:t xml:space="preserve"> </w:t>
      </w:r>
      <m:oMath>
        <m:r>
          <m:t>U</m:t>
        </m:r>
        <m:r>
          <m:rPr>
            <m:sty m:val="p"/>
          </m:rPr>
          <m:t>=</m:t>
        </m:r>
        <m:r>
          <m:t>T</m:t>
        </m:r>
        <m:r>
          <m:rPr>
            <m:sty m:val="p"/>
          </m:rPr>
          <m:t>/</m:t>
        </m:r>
        <m:sSub>
          <m:e>
            <m:r>
              <m:t>E</m:t>
            </m:r>
          </m:e>
          <m:sub>
            <m:r>
              <m:t>K</m:t>
            </m:r>
          </m:sub>
        </m:sSub>
      </m:oMath>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2026-10-27T18:59:51Z</dcterms:created>
  <dcterms:modified xsi:type="dcterms:W3CDTF">2026-10-27T18:59:51Z</dcterms:modified>
</cp:coreProperties>
</file>

<file path=docProps/custom.xml><?xml version="1.0" encoding="utf-8"?>
<Properties xmlns="http://schemas.openxmlformats.org/officeDocument/2006/custom-properties" xmlns:vt="http://schemas.openxmlformats.org/officeDocument/2006/docPropsVTypes"/>
</file>